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72F6" w14:textId="77777777" w:rsidR="00AF22A0" w:rsidRPr="00AC4E33" w:rsidRDefault="007A21D9" w:rsidP="00AF22A0">
      <w:pPr>
        <w:rPr>
          <w:b/>
        </w:rPr>
      </w:pPr>
      <w:r w:rsidRPr="00AC4E33">
        <w:rPr>
          <w:b/>
        </w:rPr>
        <w:t>Chief Officer Forms</w:t>
      </w:r>
    </w:p>
    <w:p w14:paraId="0BF20B08" w14:textId="77777777" w:rsidR="007A21D9" w:rsidRPr="00AC4E33" w:rsidRDefault="007A21D9" w:rsidP="00AF22A0">
      <w:pPr>
        <w:rPr>
          <w:b/>
        </w:rPr>
      </w:pPr>
    </w:p>
    <w:p w14:paraId="5F9DE634" w14:textId="1944AE88" w:rsidR="007A21D9" w:rsidRPr="00AC4E33" w:rsidRDefault="007A21D9" w:rsidP="00AF22A0">
      <w:pPr>
        <w:rPr>
          <w:b/>
        </w:rPr>
      </w:pPr>
      <w:r w:rsidRPr="00AC4E33">
        <w:rPr>
          <w:b/>
        </w:rPr>
        <w:t xml:space="preserve">List of CO forms </w:t>
      </w:r>
      <w:r w:rsidR="006C4C11">
        <w:rPr>
          <w:b/>
        </w:rPr>
        <w:t xml:space="preserve">signed </w:t>
      </w:r>
      <w:r w:rsidRPr="00AC4E33">
        <w:rPr>
          <w:b/>
        </w:rPr>
        <w:t xml:space="preserve">in </w:t>
      </w:r>
      <w:r w:rsidR="00EF500E">
        <w:rPr>
          <w:b/>
        </w:rPr>
        <w:t>August</w:t>
      </w:r>
      <w:r w:rsidR="00EA0746" w:rsidRPr="00AC4E33">
        <w:rPr>
          <w:b/>
        </w:rPr>
        <w:t xml:space="preserve"> </w:t>
      </w:r>
      <w:r w:rsidRPr="00AC4E33">
        <w:rPr>
          <w:b/>
        </w:rPr>
        <w:t xml:space="preserve">2019. </w:t>
      </w:r>
    </w:p>
    <w:p w14:paraId="479550DA" w14:textId="77777777" w:rsidR="007A21D9" w:rsidRPr="00AC4E33" w:rsidRDefault="007A21D9" w:rsidP="00AF22A0">
      <w:pPr>
        <w:rPr>
          <w:b/>
        </w:rPr>
      </w:pPr>
    </w:p>
    <w:p w14:paraId="464B8D9E" w14:textId="77777777" w:rsidR="007A21D9" w:rsidRPr="00AC4E33"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rsidRPr="00AC4E33" w14:paraId="0859AA9A" w14:textId="77777777" w:rsidTr="00BB14CC">
        <w:tc>
          <w:tcPr>
            <w:tcW w:w="1516" w:type="dxa"/>
          </w:tcPr>
          <w:p w14:paraId="5B84B8BE" w14:textId="77777777" w:rsidR="007A21D9" w:rsidRPr="00AC4E33" w:rsidRDefault="007A21D9" w:rsidP="00AF22A0">
            <w:pPr>
              <w:rPr>
                <w:b/>
              </w:rPr>
            </w:pPr>
            <w:r w:rsidRPr="00AC4E33">
              <w:rPr>
                <w:b/>
              </w:rPr>
              <w:t>CO Number</w:t>
            </w:r>
          </w:p>
        </w:tc>
        <w:tc>
          <w:tcPr>
            <w:tcW w:w="11428" w:type="dxa"/>
          </w:tcPr>
          <w:p w14:paraId="0DB042C5" w14:textId="77777777" w:rsidR="007A21D9" w:rsidRPr="00AC4E33" w:rsidRDefault="007A21D9" w:rsidP="00AF22A0">
            <w:pPr>
              <w:rPr>
                <w:b/>
              </w:rPr>
            </w:pPr>
            <w:r w:rsidRPr="00AC4E33">
              <w:rPr>
                <w:b/>
              </w:rPr>
              <w:t>Decision</w:t>
            </w:r>
          </w:p>
          <w:p w14:paraId="3DFE28B4" w14:textId="77777777" w:rsidR="007A21D9" w:rsidRPr="00AC4E33" w:rsidRDefault="007A21D9" w:rsidP="00AF22A0">
            <w:pPr>
              <w:rPr>
                <w:b/>
              </w:rPr>
            </w:pPr>
          </w:p>
        </w:tc>
        <w:tc>
          <w:tcPr>
            <w:tcW w:w="2444" w:type="dxa"/>
          </w:tcPr>
          <w:p w14:paraId="5A6C5083" w14:textId="77777777" w:rsidR="007A21D9" w:rsidRPr="00AC4E33" w:rsidRDefault="007A21D9" w:rsidP="00AF22A0">
            <w:pPr>
              <w:rPr>
                <w:b/>
              </w:rPr>
            </w:pPr>
            <w:r w:rsidRPr="00AC4E33">
              <w:rPr>
                <w:b/>
              </w:rPr>
              <w:t>Directorate</w:t>
            </w:r>
          </w:p>
        </w:tc>
      </w:tr>
      <w:tr w:rsidR="006532A1" w:rsidRPr="00AC4E33" w14:paraId="0F753966" w14:textId="77777777" w:rsidTr="00BB14CC">
        <w:tc>
          <w:tcPr>
            <w:tcW w:w="1516" w:type="dxa"/>
          </w:tcPr>
          <w:p w14:paraId="097C4918" w14:textId="07A3381F" w:rsidR="006532A1" w:rsidRPr="00AC4E33" w:rsidRDefault="006532A1" w:rsidP="00AF22A0">
            <w:pPr>
              <w:rPr>
                <w:b/>
              </w:rPr>
            </w:pPr>
            <w:r>
              <w:rPr>
                <w:b/>
              </w:rPr>
              <w:t>CO-30</w:t>
            </w:r>
          </w:p>
        </w:tc>
        <w:tc>
          <w:tcPr>
            <w:tcW w:w="11428" w:type="dxa"/>
          </w:tcPr>
          <w:p w14:paraId="7D0B588A" w14:textId="759C9349" w:rsidR="006532A1" w:rsidRDefault="006532A1" w:rsidP="006532A1">
            <w:pPr>
              <w:pStyle w:val="Header"/>
              <w:tabs>
                <w:tab w:val="left" w:pos="720"/>
              </w:tabs>
              <w:ind w:left="0" w:firstLine="0"/>
              <w:rPr>
                <w:rFonts w:ascii="Foundry Form Sans" w:hAnsi="Foundry Form Sans"/>
                <w:b/>
                <w:bCs/>
              </w:rPr>
            </w:pPr>
            <w:r>
              <w:rPr>
                <w:rFonts w:ascii="Foundry Form Sans" w:hAnsi="Foundry Form Sans"/>
                <w:iCs/>
              </w:rPr>
              <w:t>That the Head of Paid Service</w:t>
            </w:r>
            <w:r>
              <w:rPr>
                <w:rFonts w:ascii="Foundry Form Sans" w:hAnsi="Foundry Form Sans"/>
                <w:iCs/>
              </w:rPr>
              <w:t xml:space="preserve"> approves</w:t>
            </w:r>
            <w:r>
              <w:rPr>
                <w:rFonts w:ascii="Foundry Form Sans" w:hAnsi="Foundry Form Sans"/>
                <w:iCs/>
              </w:rPr>
              <w:t>:</w:t>
            </w:r>
          </w:p>
          <w:p w14:paraId="3BB71650" w14:textId="77777777" w:rsidR="006532A1" w:rsidRDefault="006532A1" w:rsidP="006532A1">
            <w:pPr>
              <w:pStyle w:val="Header"/>
              <w:tabs>
                <w:tab w:val="left" w:pos="720"/>
              </w:tabs>
              <w:ind w:left="0" w:firstLine="0"/>
              <w:rPr>
                <w:rFonts w:ascii="Foundry Form Sans" w:hAnsi="Foundry Form Sans"/>
                <w:bCs/>
              </w:rPr>
            </w:pPr>
          </w:p>
          <w:p w14:paraId="3750928E" w14:textId="4A33AE6B"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T</w:t>
            </w:r>
            <w:r>
              <w:rPr>
                <w:rFonts w:ascii="Foundry Form Sans" w:hAnsi="Foundry Form Sans"/>
                <w:bCs/>
              </w:rPr>
              <w:t>he creation of four fixed-term posts within the Skills &amp; Employment Unit:</w:t>
            </w:r>
          </w:p>
          <w:p w14:paraId="29132522" w14:textId="77777777" w:rsidR="006532A1" w:rsidRDefault="006532A1" w:rsidP="006532A1">
            <w:pPr>
              <w:pStyle w:val="Header"/>
              <w:tabs>
                <w:tab w:val="left" w:pos="720"/>
              </w:tabs>
              <w:ind w:left="0" w:firstLine="0"/>
              <w:rPr>
                <w:rFonts w:ascii="Foundry Form Sans" w:hAnsi="Foundry Form Sans"/>
                <w:bCs/>
              </w:rPr>
            </w:pPr>
          </w:p>
          <w:p w14:paraId="5E845122" w14:textId="79DFD3ED"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Three fixed term posts to manage the delivery of the Mayor’s Construction Academy Programme.  These posts are to be funded from the Mayor’s Construction Academy Programme:</w:t>
            </w:r>
          </w:p>
          <w:p w14:paraId="1AD21546" w14:textId="77777777" w:rsidR="006532A1" w:rsidRDefault="006532A1" w:rsidP="006532A1">
            <w:pPr>
              <w:pStyle w:val="Header"/>
              <w:tabs>
                <w:tab w:val="left" w:pos="720"/>
              </w:tabs>
              <w:ind w:left="0" w:firstLine="0"/>
              <w:rPr>
                <w:rFonts w:ascii="Foundry Form Sans" w:hAnsi="Foundry Form Sans"/>
                <w:bCs/>
              </w:rPr>
            </w:pPr>
          </w:p>
          <w:p w14:paraId="15295FA5" w14:textId="77777777"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1 x Programme Manager, fixed-term for 22 months (Grade 11)</w:t>
            </w:r>
          </w:p>
          <w:p w14:paraId="6F46EBB2" w14:textId="77777777"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1 x Senior Project Officer, fixed term for 21 months (Grade 9)</w:t>
            </w:r>
          </w:p>
          <w:p w14:paraId="0ECCF2B2" w14:textId="66409850"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1 x Business Engagement Officer fixed-term for 22 months (Grade 8)</w:t>
            </w:r>
            <w:r>
              <w:rPr>
                <w:rFonts w:ascii="Foundry Form Sans" w:hAnsi="Foundry Form Sans"/>
                <w:bCs/>
              </w:rPr>
              <w:t>; and</w:t>
            </w:r>
          </w:p>
          <w:p w14:paraId="678740D9" w14:textId="77777777" w:rsidR="006532A1" w:rsidRDefault="006532A1" w:rsidP="006532A1">
            <w:pPr>
              <w:pStyle w:val="Header"/>
              <w:tabs>
                <w:tab w:val="left" w:pos="720"/>
              </w:tabs>
              <w:ind w:left="0" w:firstLine="0"/>
              <w:rPr>
                <w:rFonts w:ascii="Foundry Form Sans" w:hAnsi="Foundry Form Sans"/>
                <w:bCs/>
              </w:rPr>
            </w:pPr>
          </w:p>
          <w:p w14:paraId="4ACFA8C9" w14:textId="587E5C9E" w:rsidR="006532A1" w:rsidRDefault="006532A1" w:rsidP="006532A1">
            <w:pPr>
              <w:pStyle w:val="Header"/>
              <w:tabs>
                <w:tab w:val="left" w:pos="720"/>
              </w:tabs>
              <w:ind w:left="0" w:firstLine="0"/>
              <w:rPr>
                <w:rFonts w:ascii="Foundry Form Sans" w:hAnsi="Foundry Form Sans"/>
                <w:lang w:eastAsia="ar-SA"/>
              </w:rPr>
            </w:pPr>
            <w:r>
              <w:rPr>
                <w:rFonts w:ascii="Foundry Form Sans" w:hAnsi="Foundry Form Sans"/>
                <w:bCs/>
              </w:rPr>
              <w:t xml:space="preserve">A further fixed term post to work on Adult Education Budget (AEB) European Social Funding (ESF) delivery.  To </w:t>
            </w:r>
            <w:r>
              <w:rPr>
                <w:rFonts w:ascii="Foundry Form Sans" w:hAnsi="Foundry Form Sans"/>
                <w:lang w:eastAsia="ar-SA"/>
              </w:rPr>
              <w:t>be paid from the ESF Management and Administration budget, which has been matched by the AEB until 30 September 2023</w:t>
            </w:r>
            <w:r>
              <w:rPr>
                <w:rFonts w:ascii="Foundry Form Sans" w:hAnsi="Foundry Form Sans"/>
                <w:lang w:eastAsia="ar-SA"/>
              </w:rPr>
              <w:t>:</w:t>
            </w:r>
          </w:p>
          <w:p w14:paraId="02B3F20B" w14:textId="77777777" w:rsidR="006532A1" w:rsidRDefault="006532A1" w:rsidP="006532A1">
            <w:pPr>
              <w:pStyle w:val="Header"/>
              <w:tabs>
                <w:tab w:val="left" w:pos="720"/>
              </w:tabs>
              <w:ind w:left="0" w:firstLine="0"/>
              <w:rPr>
                <w:rFonts w:ascii="Foundry Form Sans" w:hAnsi="Foundry Form Sans"/>
                <w:bCs/>
              </w:rPr>
            </w:pPr>
          </w:p>
          <w:p w14:paraId="1B8B0CB3" w14:textId="77777777" w:rsidR="006532A1" w:rsidRDefault="006532A1" w:rsidP="006532A1">
            <w:pPr>
              <w:pStyle w:val="Header"/>
              <w:tabs>
                <w:tab w:val="left" w:pos="720"/>
              </w:tabs>
              <w:ind w:left="0" w:firstLine="0"/>
              <w:rPr>
                <w:rFonts w:ascii="Foundry Form Sans" w:hAnsi="Foundry Form Sans"/>
                <w:bCs/>
              </w:rPr>
            </w:pPr>
            <w:r>
              <w:rPr>
                <w:rFonts w:ascii="Foundry Form Sans" w:hAnsi="Foundry Form Sans"/>
                <w:bCs/>
              </w:rPr>
              <w:t>1 x Senior Project Officer, Programme Delivery, fixed term until September 2023 (Grade 9)</w:t>
            </w:r>
          </w:p>
          <w:p w14:paraId="000CE594" w14:textId="77777777" w:rsidR="006532A1" w:rsidRPr="00AC4E33" w:rsidRDefault="006532A1" w:rsidP="00AF22A0">
            <w:pPr>
              <w:rPr>
                <w:b/>
              </w:rPr>
            </w:pPr>
          </w:p>
        </w:tc>
        <w:tc>
          <w:tcPr>
            <w:tcW w:w="2444" w:type="dxa"/>
          </w:tcPr>
          <w:p w14:paraId="09D019AA" w14:textId="7DB75DB9" w:rsidR="006532A1" w:rsidRPr="00AC4E33" w:rsidRDefault="006532A1" w:rsidP="00AF22A0">
            <w:pPr>
              <w:rPr>
                <w:b/>
              </w:rPr>
            </w:pPr>
            <w:r>
              <w:t>Development</w:t>
            </w:r>
            <w:r>
              <w:t>,</w:t>
            </w:r>
            <w:r>
              <w:t xml:space="preserve"> Enterprise and Environment</w:t>
            </w:r>
          </w:p>
        </w:tc>
      </w:tr>
      <w:tr w:rsidR="006532A1" w:rsidRPr="00AC4E33" w14:paraId="4B74071C" w14:textId="77777777" w:rsidTr="00BB14CC">
        <w:tc>
          <w:tcPr>
            <w:tcW w:w="1516" w:type="dxa"/>
          </w:tcPr>
          <w:p w14:paraId="638C2FF9" w14:textId="1C05C923" w:rsidR="006532A1" w:rsidRPr="00AC4E33" w:rsidRDefault="006532A1" w:rsidP="00AF22A0">
            <w:pPr>
              <w:rPr>
                <w:b/>
              </w:rPr>
            </w:pPr>
            <w:r>
              <w:rPr>
                <w:b/>
              </w:rPr>
              <w:t>CO-31</w:t>
            </w:r>
          </w:p>
        </w:tc>
        <w:tc>
          <w:tcPr>
            <w:tcW w:w="11428" w:type="dxa"/>
          </w:tcPr>
          <w:p w14:paraId="7189925E" w14:textId="77777777" w:rsidR="006532A1" w:rsidRDefault="006532A1" w:rsidP="006532A1">
            <w:pPr>
              <w:pStyle w:val="Header"/>
              <w:tabs>
                <w:tab w:val="left" w:pos="720"/>
              </w:tabs>
              <w:ind w:left="0" w:firstLine="0"/>
              <w:rPr>
                <w:rFonts w:ascii="Foundry Form Sans" w:hAnsi="Foundry Form Sans"/>
                <w:iCs/>
              </w:rPr>
            </w:pPr>
            <w:r>
              <w:rPr>
                <w:rFonts w:ascii="Foundry Form Sans" w:hAnsi="Foundry Form Sans"/>
                <w:iCs/>
              </w:rPr>
              <w:t>That the Head of Paid Service approves:</w:t>
            </w:r>
          </w:p>
          <w:p w14:paraId="45C11197" w14:textId="77777777" w:rsidR="006532A1" w:rsidRDefault="006532A1" w:rsidP="006532A1">
            <w:pPr>
              <w:pStyle w:val="Header"/>
              <w:tabs>
                <w:tab w:val="left" w:pos="720"/>
              </w:tabs>
              <w:ind w:left="0" w:firstLine="0"/>
              <w:rPr>
                <w:b/>
                <w:bCs/>
              </w:rPr>
            </w:pPr>
          </w:p>
          <w:p w14:paraId="1ACCA7FF" w14:textId="77777777" w:rsidR="006532A1" w:rsidRPr="006532A1" w:rsidRDefault="006532A1" w:rsidP="006532A1">
            <w:pPr>
              <w:tabs>
                <w:tab w:val="left" w:pos="720"/>
                <w:tab w:val="center" w:pos="4320"/>
                <w:tab w:val="right" w:pos="8640"/>
              </w:tabs>
              <w:snapToGrid w:val="0"/>
              <w:rPr>
                <w:bCs/>
              </w:rPr>
            </w:pPr>
            <w:r w:rsidRPr="006532A1">
              <w:rPr>
                <w:bCs/>
              </w:rPr>
              <w:t>The deletion of the following posts:</w:t>
            </w:r>
          </w:p>
          <w:p w14:paraId="3855A8D2" w14:textId="77777777" w:rsidR="006532A1" w:rsidRDefault="006532A1" w:rsidP="006532A1">
            <w:pPr>
              <w:tabs>
                <w:tab w:val="left" w:pos="720"/>
                <w:tab w:val="center" w:pos="4320"/>
                <w:tab w:val="right" w:pos="8640"/>
              </w:tabs>
              <w:snapToGrid w:val="0"/>
              <w:rPr>
                <w:b/>
                <w:bCs/>
                <w:i/>
              </w:rPr>
            </w:pPr>
          </w:p>
          <w:p w14:paraId="493A4932" w14:textId="77777777" w:rsidR="006532A1" w:rsidRDefault="006532A1" w:rsidP="006532A1">
            <w:pPr>
              <w:numPr>
                <w:ilvl w:val="0"/>
                <w:numId w:val="10"/>
              </w:numPr>
              <w:tabs>
                <w:tab w:val="left" w:pos="720"/>
                <w:tab w:val="center" w:pos="4320"/>
                <w:tab w:val="right" w:pos="8640"/>
              </w:tabs>
              <w:snapToGrid w:val="0"/>
              <w:rPr>
                <w:bCs/>
              </w:rPr>
            </w:pPr>
            <w:r>
              <w:rPr>
                <w:bCs/>
              </w:rPr>
              <w:t>Head of Sport (grade 12) (permanent post)</w:t>
            </w:r>
          </w:p>
          <w:p w14:paraId="5C16D2E3" w14:textId="77777777" w:rsidR="006532A1" w:rsidRDefault="006532A1" w:rsidP="006532A1">
            <w:pPr>
              <w:numPr>
                <w:ilvl w:val="0"/>
                <w:numId w:val="10"/>
              </w:numPr>
              <w:tabs>
                <w:tab w:val="left" w:pos="720"/>
                <w:tab w:val="center" w:pos="4320"/>
                <w:tab w:val="right" w:pos="8640"/>
              </w:tabs>
              <w:snapToGrid w:val="0"/>
              <w:rPr>
                <w:bCs/>
              </w:rPr>
            </w:pPr>
            <w:r>
              <w:rPr>
                <w:bCs/>
              </w:rPr>
              <w:t>Senior Programme Delivery Manager (grade 10) (fixed term post, filled by an agency worker)</w:t>
            </w:r>
          </w:p>
          <w:p w14:paraId="72A5327E" w14:textId="77777777" w:rsidR="006532A1" w:rsidRDefault="006532A1" w:rsidP="006532A1">
            <w:pPr>
              <w:numPr>
                <w:ilvl w:val="0"/>
                <w:numId w:val="10"/>
              </w:numPr>
              <w:tabs>
                <w:tab w:val="left" w:pos="720"/>
                <w:tab w:val="center" w:pos="4320"/>
                <w:tab w:val="right" w:pos="8640"/>
              </w:tabs>
              <w:snapToGrid w:val="0"/>
              <w:rPr>
                <w:bCs/>
              </w:rPr>
            </w:pPr>
            <w:r>
              <w:rPr>
                <w:bCs/>
              </w:rPr>
              <w:t xml:space="preserve">A non-established Communications officer post (grade 8) filled by an agency worker. </w:t>
            </w:r>
          </w:p>
          <w:p w14:paraId="468EF86B" w14:textId="77777777" w:rsidR="006532A1" w:rsidRDefault="006532A1" w:rsidP="006532A1">
            <w:pPr>
              <w:tabs>
                <w:tab w:val="left" w:pos="720"/>
                <w:tab w:val="center" w:pos="4320"/>
                <w:tab w:val="right" w:pos="8640"/>
              </w:tabs>
              <w:snapToGrid w:val="0"/>
              <w:ind w:left="720"/>
              <w:rPr>
                <w:bCs/>
              </w:rPr>
            </w:pPr>
          </w:p>
          <w:p w14:paraId="75DD0965" w14:textId="77777777" w:rsidR="006532A1" w:rsidRPr="006532A1" w:rsidRDefault="006532A1" w:rsidP="006532A1">
            <w:pPr>
              <w:tabs>
                <w:tab w:val="left" w:pos="720"/>
                <w:tab w:val="center" w:pos="4320"/>
                <w:tab w:val="right" w:pos="8640"/>
              </w:tabs>
              <w:snapToGrid w:val="0"/>
              <w:rPr>
                <w:bCs/>
              </w:rPr>
            </w:pPr>
            <w:r w:rsidRPr="006532A1">
              <w:rPr>
                <w:bCs/>
              </w:rPr>
              <w:t>The creation of the following posts:</w:t>
            </w:r>
          </w:p>
          <w:p w14:paraId="3BBE5071" w14:textId="77777777" w:rsidR="006532A1" w:rsidRDefault="006532A1" w:rsidP="006532A1">
            <w:pPr>
              <w:tabs>
                <w:tab w:val="left" w:pos="720"/>
                <w:tab w:val="center" w:pos="4320"/>
                <w:tab w:val="right" w:pos="8640"/>
              </w:tabs>
              <w:snapToGrid w:val="0"/>
              <w:rPr>
                <w:b/>
                <w:bCs/>
                <w:i/>
              </w:rPr>
            </w:pPr>
          </w:p>
          <w:p w14:paraId="0F20D67F" w14:textId="77777777" w:rsidR="006532A1" w:rsidRDefault="006532A1" w:rsidP="006532A1">
            <w:pPr>
              <w:numPr>
                <w:ilvl w:val="0"/>
                <w:numId w:val="11"/>
              </w:numPr>
              <w:tabs>
                <w:tab w:val="left" w:pos="720"/>
                <w:tab w:val="center" w:pos="4320"/>
                <w:tab w:val="right" w:pos="8640"/>
              </w:tabs>
              <w:snapToGrid w:val="0"/>
              <w:rPr>
                <w:bCs/>
              </w:rPr>
            </w:pPr>
            <w:r>
              <w:rPr>
                <w:bCs/>
              </w:rPr>
              <w:t>Senior Manager, Community Sport (Grade 11) (Permanent)</w:t>
            </w:r>
          </w:p>
          <w:p w14:paraId="79D178A3" w14:textId="77777777" w:rsidR="006532A1" w:rsidRDefault="006532A1" w:rsidP="006532A1">
            <w:pPr>
              <w:numPr>
                <w:ilvl w:val="0"/>
                <w:numId w:val="11"/>
              </w:numPr>
              <w:tabs>
                <w:tab w:val="left" w:pos="720"/>
                <w:tab w:val="center" w:pos="4320"/>
                <w:tab w:val="right" w:pos="8640"/>
              </w:tabs>
              <w:snapToGrid w:val="0"/>
              <w:rPr>
                <w:bCs/>
              </w:rPr>
            </w:pPr>
            <w:r>
              <w:rPr>
                <w:bCs/>
              </w:rPr>
              <w:t>Project and Community Engagement Officer, Sport Unites (Grade 8 FTC) until 2022 to run co-terminus with the Sport Unites programme.</w:t>
            </w:r>
          </w:p>
          <w:p w14:paraId="740DEF63" w14:textId="77777777" w:rsidR="006532A1" w:rsidRDefault="006532A1" w:rsidP="006532A1">
            <w:pPr>
              <w:tabs>
                <w:tab w:val="left" w:pos="720"/>
                <w:tab w:val="center" w:pos="4320"/>
                <w:tab w:val="right" w:pos="8640"/>
              </w:tabs>
              <w:snapToGrid w:val="0"/>
              <w:rPr>
                <w:bCs/>
              </w:rPr>
            </w:pPr>
          </w:p>
          <w:p w14:paraId="55A591A4" w14:textId="77777777" w:rsidR="006532A1" w:rsidRPr="006532A1" w:rsidRDefault="006532A1" w:rsidP="006532A1">
            <w:pPr>
              <w:tabs>
                <w:tab w:val="left" w:pos="720"/>
                <w:tab w:val="center" w:pos="4320"/>
                <w:tab w:val="right" w:pos="8640"/>
              </w:tabs>
              <w:snapToGrid w:val="0"/>
              <w:rPr>
                <w:bCs/>
              </w:rPr>
            </w:pPr>
            <w:r w:rsidRPr="006532A1">
              <w:rPr>
                <w:bCs/>
              </w:rPr>
              <w:lastRenderedPageBreak/>
              <w:t>The extension of the following fixed-term establishment posts:</w:t>
            </w:r>
          </w:p>
          <w:p w14:paraId="4BD110FA" w14:textId="77777777" w:rsidR="006532A1" w:rsidRDefault="006532A1" w:rsidP="006532A1">
            <w:pPr>
              <w:tabs>
                <w:tab w:val="left" w:pos="720"/>
                <w:tab w:val="center" w:pos="4320"/>
                <w:tab w:val="right" w:pos="8640"/>
              </w:tabs>
              <w:snapToGrid w:val="0"/>
              <w:rPr>
                <w:bCs/>
              </w:rPr>
            </w:pPr>
          </w:p>
          <w:p w14:paraId="2E851CD7" w14:textId="77777777" w:rsidR="006532A1" w:rsidRDefault="006532A1" w:rsidP="006532A1">
            <w:pPr>
              <w:numPr>
                <w:ilvl w:val="0"/>
                <w:numId w:val="12"/>
              </w:numPr>
              <w:tabs>
                <w:tab w:val="left" w:pos="720"/>
                <w:tab w:val="center" w:pos="4320"/>
                <w:tab w:val="right" w:pos="8640"/>
              </w:tabs>
              <w:snapToGrid w:val="0"/>
              <w:rPr>
                <w:bCs/>
              </w:rPr>
            </w:pPr>
            <w:r>
              <w:rPr>
                <w:bCs/>
              </w:rPr>
              <w:t>Euro2020 Project Manager (Grade 10) FTC extended until end of October 2021</w:t>
            </w:r>
          </w:p>
          <w:p w14:paraId="43B02BA9" w14:textId="77777777" w:rsidR="006532A1" w:rsidRDefault="006532A1" w:rsidP="006532A1">
            <w:pPr>
              <w:numPr>
                <w:ilvl w:val="0"/>
                <w:numId w:val="12"/>
              </w:numPr>
              <w:tabs>
                <w:tab w:val="left" w:pos="720"/>
                <w:tab w:val="center" w:pos="4320"/>
                <w:tab w:val="right" w:pos="8640"/>
              </w:tabs>
              <w:snapToGrid w:val="0"/>
              <w:rPr>
                <w:bCs/>
              </w:rPr>
            </w:pPr>
            <w:r>
              <w:rPr>
                <w:bCs/>
              </w:rPr>
              <w:t>Project Officer Sport Unites (grade 8) FTC extended until 2022 to run co-terminus with the Sport Unites programme.</w:t>
            </w:r>
          </w:p>
          <w:p w14:paraId="5887DE24" w14:textId="77777777" w:rsidR="006532A1" w:rsidRDefault="006532A1" w:rsidP="006532A1">
            <w:pPr>
              <w:tabs>
                <w:tab w:val="left" w:pos="720"/>
                <w:tab w:val="center" w:pos="4320"/>
                <w:tab w:val="right" w:pos="8640"/>
              </w:tabs>
              <w:snapToGrid w:val="0"/>
              <w:rPr>
                <w:bCs/>
              </w:rPr>
            </w:pPr>
          </w:p>
          <w:p w14:paraId="6F61EC8F" w14:textId="77777777" w:rsidR="006532A1" w:rsidRPr="006532A1" w:rsidRDefault="006532A1" w:rsidP="006532A1">
            <w:pPr>
              <w:tabs>
                <w:tab w:val="left" w:pos="720"/>
                <w:tab w:val="center" w:pos="4320"/>
                <w:tab w:val="right" w:pos="8640"/>
              </w:tabs>
              <w:snapToGrid w:val="0"/>
              <w:rPr>
                <w:bCs/>
              </w:rPr>
            </w:pPr>
            <w:r w:rsidRPr="006532A1">
              <w:rPr>
                <w:bCs/>
              </w:rPr>
              <w:t>The regrade of the following posts:</w:t>
            </w:r>
          </w:p>
          <w:p w14:paraId="1ABD0FDB" w14:textId="77777777" w:rsidR="006532A1" w:rsidRDefault="006532A1" w:rsidP="006532A1">
            <w:pPr>
              <w:tabs>
                <w:tab w:val="left" w:pos="720"/>
                <w:tab w:val="center" w:pos="4320"/>
                <w:tab w:val="right" w:pos="8640"/>
              </w:tabs>
              <w:snapToGrid w:val="0"/>
              <w:rPr>
                <w:b/>
                <w:bCs/>
              </w:rPr>
            </w:pPr>
          </w:p>
          <w:p w14:paraId="6215F93B" w14:textId="77777777" w:rsidR="006532A1" w:rsidRDefault="006532A1" w:rsidP="006532A1">
            <w:pPr>
              <w:numPr>
                <w:ilvl w:val="0"/>
                <w:numId w:val="13"/>
              </w:numPr>
              <w:tabs>
                <w:tab w:val="left" w:pos="720"/>
                <w:tab w:val="center" w:pos="4320"/>
                <w:tab w:val="right" w:pos="8640"/>
              </w:tabs>
              <w:snapToGrid w:val="0"/>
              <w:rPr>
                <w:bCs/>
              </w:rPr>
            </w:pPr>
            <w:r>
              <w:rPr>
                <w:bCs/>
              </w:rPr>
              <w:t>Major Sports Events Manager (grade 10 honorarium to grade 11, permanent established post) is changed to Senior Manager, Major Sports Events and the post is regraded to grade 11 (permanent established post) subject to job evaluation to report to Senior Manager, Events and Commercial Partnerships, External Relations</w:t>
            </w:r>
          </w:p>
          <w:p w14:paraId="000740E0" w14:textId="77777777" w:rsidR="006532A1" w:rsidRPr="006532A1" w:rsidRDefault="006532A1" w:rsidP="006532A1">
            <w:pPr>
              <w:tabs>
                <w:tab w:val="left" w:pos="720"/>
                <w:tab w:val="center" w:pos="4320"/>
                <w:tab w:val="right" w:pos="8640"/>
              </w:tabs>
              <w:snapToGrid w:val="0"/>
              <w:rPr>
                <w:bCs/>
              </w:rPr>
            </w:pPr>
          </w:p>
          <w:p w14:paraId="31508F31" w14:textId="52BCF096" w:rsidR="006532A1" w:rsidRDefault="006532A1" w:rsidP="006532A1">
            <w:pPr>
              <w:tabs>
                <w:tab w:val="left" w:pos="720"/>
                <w:tab w:val="center" w:pos="4320"/>
                <w:tab w:val="right" w:pos="8640"/>
              </w:tabs>
              <w:snapToGrid w:val="0"/>
              <w:rPr>
                <w:bCs/>
              </w:rPr>
            </w:pPr>
            <w:r w:rsidRPr="006532A1">
              <w:rPr>
                <w:bCs/>
              </w:rPr>
              <w:t xml:space="preserve">Included for completeness only: </w:t>
            </w:r>
          </w:p>
          <w:p w14:paraId="35668861" w14:textId="77777777" w:rsidR="006532A1" w:rsidRPr="006532A1" w:rsidRDefault="006532A1" w:rsidP="006532A1">
            <w:pPr>
              <w:tabs>
                <w:tab w:val="left" w:pos="720"/>
                <w:tab w:val="center" w:pos="4320"/>
                <w:tab w:val="right" w:pos="8640"/>
              </w:tabs>
              <w:snapToGrid w:val="0"/>
              <w:rPr>
                <w:bCs/>
              </w:rPr>
            </w:pPr>
          </w:p>
          <w:p w14:paraId="7A921F05" w14:textId="77777777" w:rsidR="006532A1" w:rsidRDefault="006532A1" w:rsidP="006532A1">
            <w:pPr>
              <w:numPr>
                <w:ilvl w:val="0"/>
                <w:numId w:val="13"/>
              </w:numPr>
              <w:tabs>
                <w:tab w:val="left" w:pos="720"/>
                <w:tab w:val="center" w:pos="4320"/>
                <w:tab w:val="right" w:pos="8640"/>
              </w:tabs>
              <w:snapToGrid w:val="0"/>
              <w:rPr>
                <w:bCs/>
              </w:rPr>
            </w:pPr>
            <w:r>
              <w:rPr>
                <w:bCs/>
              </w:rPr>
              <w:t>Senior Manager, Events and Commercial Partnerships, External Relations (Grade 13, permanent established post) is changed to “Head of” and job description is updated.</w:t>
            </w:r>
          </w:p>
          <w:p w14:paraId="14195E7E" w14:textId="77777777" w:rsidR="006532A1" w:rsidRPr="00AC4E33" w:rsidRDefault="006532A1" w:rsidP="00AF22A0">
            <w:pPr>
              <w:rPr>
                <w:b/>
              </w:rPr>
            </w:pPr>
          </w:p>
        </w:tc>
        <w:tc>
          <w:tcPr>
            <w:tcW w:w="2444" w:type="dxa"/>
          </w:tcPr>
          <w:p w14:paraId="2C4AC4FE" w14:textId="2ABD199C" w:rsidR="006532A1" w:rsidRPr="00AC4E33" w:rsidRDefault="006532A1" w:rsidP="00AF22A0">
            <w:pPr>
              <w:rPr>
                <w:b/>
              </w:rPr>
            </w:pPr>
            <w:r>
              <w:lastRenderedPageBreak/>
              <w:t>Communities and Intelligence</w:t>
            </w:r>
          </w:p>
        </w:tc>
      </w:tr>
      <w:tr w:rsidR="006532A1" w:rsidRPr="00AC4E33" w14:paraId="252D1438" w14:textId="77777777" w:rsidTr="00BB14CC">
        <w:tc>
          <w:tcPr>
            <w:tcW w:w="1516" w:type="dxa"/>
          </w:tcPr>
          <w:p w14:paraId="2E5197C8" w14:textId="20E2DD6C" w:rsidR="006532A1" w:rsidRPr="00AC4E33" w:rsidRDefault="006532A1" w:rsidP="00AF22A0">
            <w:pPr>
              <w:rPr>
                <w:b/>
              </w:rPr>
            </w:pPr>
            <w:r>
              <w:rPr>
                <w:b/>
              </w:rPr>
              <w:t>CO-55</w:t>
            </w:r>
          </w:p>
        </w:tc>
        <w:tc>
          <w:tcPr>
            <w:tcW w:w="11428" w:type="dxa"/>
          </w:tcPr>
          <w:p w14:paraId="4C340158" w14:textId="77777777" w:rsidR="006532A1" w:rsidRDefault="006532A1" w:rsidP="006532A1">
            <w:pPr>
              <w:pStyle w:val="Header"/>
              <w:tabs>
                <w:tab w:val="left" w:pos="720"/>
              </w:tabs>
              <w:ind w:left="0" w:firstLine="0"/>
              <w:rPr>
                <w:b/>
                <w:bCs/>
              </w:rPr>
            </w:pPr>
            <w:r>
              <w:rPr>
                <w:rFonts w:ascii="Foundry Form Sans" w:hAnsi="Foundry Form Sans"/>
                <w:iCs/>
              </w:rPr>
              <w:t>That the Head of Paid Service:</w:t>
            </w:r>
          </w:p>
          <w:p w14:paraId="022475CC" w14:textId="77777777" w:rsidR="006532A1" w:rsidRDefault="006532A1" w:rsidP="006532A1">
            <w:pPr>
              <w:pStyle w:val="Header"/>
              <w:tabs>
                <w:tab w:val="left" w:pos="720"/>
              </w:tabs>
              <w:ind w:left="0" w:firstLine="0"/>
              <w:rPr>
                <w:rFonts w:ascii="Foundry Form Sans" w:hAnsi="Foundry Form Sans"/>
                <w:bCs/>
              </w:rPr>
            </w:pPr>
          </w:p>
          <w:p w14:paraId="4BC7CB01" w14:textId="77777777" w:rsidR="006532A1" w:rsidRDefault="006532A1" w:rsidP="006532A1">
            <w:pPr>
              <w:pStyle w:val="Header"/>
              <w:tabs>
                <w:tab w:val="left" w:pos="720"/>
              </w:tabs>
              <w:ind w:left="0" w:firstLine="0"/>
              <w:rPr>
                <w:rFonts w:ascii="Foundry Form Sans" w:hAnsi="Foundry Form Sans"/>
                <w:iCs/>
              </w:rPr>
            </w:pPr>
            <w:r>
              <w:rPr>
                <w:rFonts w:ascii="Foundry Form Sans" w:hAnsi="Foundry Form Sans"/>
                <w:iCs/>
              </w:rPr>
              <w:t>Extends the following fixed term post for a period of 30 months (until March 2022)</w:t>
            </w:r>
          </w:p>
          <w:p w14:paraId="4AC3D289" w14:textId="77777777" w:rsidR="006532A1" w:rsidRDefault="006532A1" w:rsidP="006532A1">
            <w:pPr>
              <w:pStyle w:val="Header"/>
              <w:tabs>
                <w:tab w:val="left" w:pos="720"/>
              </w:tabs>
              <w:ind w:left="0" w:firstLine="0"/>
              <w:rPr>
                <w:rFonts w:ascii="Foundry Form Sans" w:hAnsi="Foundry Form Sans"/>
                <w:iCs/>
              </w:rPr>
            </w:pPr>
          </w:p>
          <w:p w14:paraId="5570B533" w14:textId="77777777" w:rsidR="006532A1" w:rsidRDefault="006532A1" w:rsidP="006532A1">
            <w:pPr>
              <w:pStyle w:val="Header"/>
              <w:numPr>
                <w:ilvl w:val="0"/>
                <w:numId w:val="14"/>
              </w:numPr>
              <w:tabs>
                <w:tab w:val="left" w:pos="720"/>
              </w:tabs>
              <w:rPr>
                <w:rFonts w:ascii="Foundry Form Sans" w:hAnsi="Foundry Form Sans"/>
                <w:iCs/>
              </w:rPr>
            </w:pPr>
            <w:r>
              <w:rPr>
                <w:rFonts w:ascii="Foundry Form Sans" w:hAnsi="Foundry Form Sans"/>
                <w:iCs/>
              </w:rPr>
              <w:t>G12, 1.0: Public Health Specialist - Planning (Post number 002531)</w:t>
            </w:r>
          </w:p>
          <w:p w14:paraId="0B38B07F" w14:textId="77777777" w:rsidR="006532A1" w:rsidRPr="00AC4E33" w:rsidRDefault="006532A1" w:rsidP="00AF22A0">
            <w:pPr>
              <w:rPr>
                <w:b/>
              </w:rPr>
            </w:pPr>
          </w:p>
        </w:tc>
        <w:tc>
          <w:tcPr>
            <w:tcW w:w="2444" w:type="dxa"/>
          </w:tcPr>
          <w:p w14:paraId="18D7ADA3" w14:textId="025C2172" w:rsidR="006532A1" w:rsidRPr="00AC4E33" w:rsidRDefault="006532A1" w:rsidP="00AF22A0">
            <w:pPr>
              <w:rPr>
                <w:b/>
              </w:rPr>
            </w:pPr>
            <w:r>
              <w:t>Communities and Intelligence</w:t>
            </w:r>
          </w:p>
        </w:tc>
      </w:tr>
      <w:tr w:rsidR="006532A1" w:rsidRPr="00AC4E33" w14:paraId="1ECB9733" w14:textId="77777777" w:rsidTr="00BB14CC">
        <w:tc>
          <w:tcPr>
            <w:tcW w:w="1516" w:type="dxa"/>
          </w:tcPr>
          <w:p w14:paraId="5C15D26B" w14:textId="7E5C9B41" w:rsidR="006532A1" w:rsidRPr="00AC4E33" w:rsidRDefault="006532A1" w:rsidP="00AF22A0">
            <w:pPr>
              <w:rPr>
                <w:b/>
              </w:rPr>
            </w:pPr>
            <w:r>
              <w:rPr>
                <w:b/>
              </w:rPr>
              <w:t>CO-64</w:t>
            </w:r>
          </w:p>
        </w:tc>
        <w:tc>
          <w:tcPr>
            <w:tcW w:w="11428" w:type="dxa"/>
          </w:tcPr>
          <w:p w14:paraId="79AD87DB" w14:textId="77777777" w:rsidR="006532A1" w:rsidRDefault="006532A1" w:rsidP="006532A1">
            <w:pPr>
              <w:pStyle w:val="Header"/>
              <w:tabs>
                <w:tab w:val="left" w:pos="720"/>
              </w:tabs>
              <w:ind w:left="0" w:firstLine="0"/>
              <w:rPr>
                <w:rFonts w:ascii="Foundry Form Sans" w:hAnsi="Foundry Form Sans"/>
                <w:iCs/>
              </w:rPr>
            </w:pPr>
            <w:r>
              <w:rPr>
                <w:rFonts w:ascii="Foundry Form Sans" w:hAnsi="Foundry Form Sans"/>
                <w:iCs/>
              </w:rPr>
              <w:t>That the Head of Paid Service:</w:t>
            </w:r>
          </w:p>
          <w:p w14:paraId="1141D413" w14:textId="77777777" w:rsidR="006532A1" w:rsidRDefault="006532A1" w:rsidP="006532A1">
            <w:pPr>
              <w:pStyle w:val="Header"/>
              <w:tabs>
                <w:tab w:val="left" w:pos="720"/>
              </w:tabs>
              <w:ind w:left="0" w:firstLine="0"/>
              <w:rPr>
                <w:b/>
                <w:bCs/>
              </w:rPr>
            </w:pPr>
          </w:p>
          <w:p w14:paraId="2959F5C8" w14:textId="77777777" w:rsidR="006532A1" w:rsidRDefault="006532A1" w:rsidP="006532A1">
            <w:r>
              <w:t>Approves the proposal to extend the fixed term post of Giving Manager (Grade 11) in Team London and Community Sport by six months so that the current post holder can return from maternity leave and a full review of activity can take place.</w:t>
            </w:r>
          </w:p>
          <w:p w14:paraId="4C363554" w14:textId="0F1EBD89" w:rsidR="006532A1" w:rsidRPr="00AC4E33" w:rsidRDefault="006532A1" w:rsidP="006532A1">
            <w:pPr>
              <w:rPr>
                <w:b/>
              </w:rPr>
            </w:pPr>
          </w:p>
        </w:tc>
        <w:tc>
          <w:tcPr>
            <w:tcW w:w="2444" w:type="dxa"/>
          </w:tcPr>
          <w:p w14:paraId="56A8A4EA" w14:textId="7A1ED9BA" w:rsidR="006532A1" w:rsidRPr="00AC4E33" w:rsidRDefault="006532A1" w:rsidP="00AF22A0">
            <w:pPr>
              <w:rPr>
                <w:b/>
              </w:rPr>
            </w:pPr>
            <w:r>
              <w:t>Communities and Intelligence</w:t>
            </w:r>
          </w:p>
        </w:tc>
      </w:tr>
      <w:tr w:rsidR="006532A1" w:rsidRPr="00AC4E33" w14:paraId="714D6EDB" w14:textId="77777777" w:rsidTr="00BB14CC">
        <w:tc>
          <w:tcPr>
            <w:tcW w:w="1516" w:type="dxa"/>
          </w:tcPr>
          <w:p w14:paraId="70AC2F9F" w14:textId="4A9CA72A" w:rsidR="006532A1" w:rsidRPr="00AC4E33" w:rsidRDefault="006532A1" w:rsidP="00AF22A0">
            <w:pPr>
              <w:rPr>
                <w:b/>
              </w:rPr>
            </w:pPr>
            <w:r>
              <w:rPr>
                <w:b/>
              </w:rPr>
              <w:t>CO-66</w:t>
            </w:r>
          </w:p>
        </w:tc>
        <w:tc>
          <w:tcPr>
            <w:tcW w:w="11428" w:type="dxa"/>
          </w:tcPr>
          <w:p w14:paraId="2B7345B7" w14:textId="77777777" w:rsidR="006532A1" w:rsidRDefault="006532A1" w:rsidP="006532A1">
            <w:pPr>
              <w:pStyle w:val="Header"/>
              <w:tabs>
                <w:tab w:val="left" w:pos="720"/>
              </w:tabs>
              <w:rPr>
                <w:rFonts w:ascii="Foundry Form Sans" w:hAnsi="Foundry Form Sans"/>
                <w:iCs/>
              </w:rPr>
            </w:pPr>
            <w:r>
              <w:rPr>
                <w:rFonts w:ascii="Foundry Form Sans" w:hAnsi="Foundry Form Sans"/>
                <w:iCs/>
              </w:rPr>
              <w:t>That the Head of Paid Service:</w:t>
            </w:r>
          </w:p>
          <w:p w14:paraId="004650A8" w14:textId="77777777" w:rsidR="006532A1" w:rsidRDefault="006532A1" w:rsidP="006532A1">
            <w:pPr>
              <w:pStyle w:val="Header"/>
              <w:tabs>
                <w:tab w:val="left" w:pos="720"/>
              </w:tabs>
              <w:rPr>
                <w:rFonts w:ascii="Foundry Form Sans" w:hAnsi="Foundry Form Sans"/>
                <w:iCs/>
              </w:rPr>
            </w:pPr>
          </w:p>
          <w:p w14:paraId="2490E1F9" w14:textId="57150D97" w:rsidR="006532A1" w:rsidRDefault="006532A1" w:rsidP="006532A1">
            <w:pPr>
              <w:pStyle w:val="Header"/>
              <w:tabs>
                <w:tab w:val="left" w:pos="720"/>
              </w:tabs>
              <w:rPr>
                <w:rFonts w:ascii="Foundry Form Sans" w:hAnsi="Foundry Form Sans"/>
                <w:iCs/>
              </w:rPr>
            </w:pPr>
            <w:r>
              <w:rPr>
                <w:rFonts w:ascii="Foundry Form Sans" w:hAnsi="Foundry Form Sans"/>
                <w:iCs/>
              </w:rPr>
              <w:t>Agrees the 2019–20 pay award of</w:t>
            </w:r>
            <w:r>
              <w:rPr>
                <w:rFonts w:ascii="Foundry Form Sans" w:hAnsi="Foundry Form Sans"/>
                <w:iCs/>
              </w:rPr>
              <w:t>:</w:t>
            </w:r>
          </w:p>
          <w:p w14:paraId="2D80379B" w14:textId="77777777" w:rsidR="006532A1" w:rsidRDefault="006532A1" w:rsidP="006532A1">
            <w:pPr>
              <w:pStyle w:val="Header"/>
              <w:tabs>
                <w:tab w:val="left" w:pos="720"/>
              </w:tabs>
              <w:rPr>
                <w:rFonts w:ascii="Foundry Form Sans" w:hAnsi="Foundry Form Sans"/>
                <w:iCs/>
              </w:rPr>
            </w:pPr>
          </w:p>
          <w:p w14:paraId="6539D5FD" w14:textId="5DB75077" w:rsidR="006532A1" w:rsidRDefault="006532A1" w:rsidP="006532A1">
            <w:pPr>
              <w:pStyle w:val="Header"/>
              <w:numPr>
                <w:ilvl w:val="0"/>
                <w:numId w:val="14"/>
              </w:numPr>
              <w:tabs>
                <w:tab w:val="left" w:pos="720"/>
              </w:tabs>
              <w:rPr>
                <w:rFonts w:ascii="Foundry Form Sans" w:hAnsi="Foundry Form Sans"/>
                <w:iCs/>
              </w:rPr>
            </w:pPr>
            <w:r>
              <w:rPr>
                <w:rFonts w:ascii="Foundry Form Sans" w:hAnsi="Foundry Form Sans"/>
                <w:iCs/>
              </w:rPr>
              <w:t>2.5% for grades 1 – 6; and</w:t>
            </w:r>
          </w:p>
          <w:p w14:paraId="76D32C8A" w14:textId="02343895" w:rsidR="006532A1" w:rsidRDefault="006532A1" w:rsidP="006532A1">
            <w:pPr>
              <w:pStyle w:val="Header"/>
              <w:numPr>
                <w:ilvl w:val="0"/>
                <w:numId w:val="14"/>
              </w:numPr>
              <w:tabs>
                <w:tab w:val="left" w:pos="720"/>
              </w:tabs>
              <w:rPr>
                <w:rFonts w:ascii="Foundry Form Sans" w:hAnsi="Foundry Form Sans"/>
                <w:iCs/>
              </w:rPr>
            </w:pPr>
            <w:r>
              <w:rPr>
                <w:rFonts w:ascii="Foundry Form Sans" w:hAnsi="Foundry Form Sans"/>
                <w:iCs/>
              </w:rPr>
              <w:t>2% for grades 7 and above</w:t>
            </w:r>
          </w:p>
          <w:p w14:paraId="7B992C66" w14:textId="77777777" w:rsidR="006532A1" w:rsidRDefault="006532A1" w:rsidP="006532A1">
            <w:pPr>
              <w:pStyle w:val="Header"/>
              <w:tabs>
                <w:tab w:val="left" w:pos="720"/>
              </w:tabs>
              <w:ind w:left="0" w:firstLine="0"/>
              <w:rPr>
                <w:rFonts w:ascii="Foundry Form Sans" w:hAnsi="Foundry Form Sans"/>
                <w:iCs/>
              </w:rPr>
            </w:pPr>
          </w:p>
          <w:p w14:paraId="3B566270" w14:textId="77777777" w:rsidR="006532A1" w:rsidRDefault="006532A1" w:rsidP="006532A1">
            <w:pPr>
              <w:rPr>
                <w:iCs/>
              </w:rPr>
            </w:pPr>
            <w:r>
              <w:rPr>
                <w:iCs/>
              </w:rPr>
              <w:t xml:space="preserve">for all GLA staff following the submission of the Unison pay claim.  </w:t>
            </w:r>
          </w:p>
          <w:p w14:paraId="18ABD715" w14:textId="286B66E0" w:rsidR="006532A1" w:rsidRPr="00AC4E33" w:rsidRDefault="006532A1" w:rsidP="006532A1">
            <w:pPr>
              <w:rPr>
                <w:b/>
              </w:rPr>
            </w:pPr>
          </w:p>
        </w:tc>
        <w:tc>
          <w:tcPr>
            <w:tcW w:w="2444" w:type="dxa"/>
          </w:tcPr>
          <w:p w14:paraId="1366FEE6" w14:textId="03DC2AC2" w:rsidR="006532A1" w:rsidRPr="00AC4E33" w:rsidRDefault="006532A1" w:rsidP="00AF22A0">
            <w:pPr>
              <w:rPr>
                <w:b/>
              </w:rPr>
            </w:pPr>
            <w:r>
              <w:t>GLA Wide</w:t>
            </w:r>
          </w:p>
        </w:tc>
      </w:tr>
      <w:tr w:rsidR="006532A1" w:rsidRPr="00AC4E33" w14:paraId="4D365D95" w14:textId="77777777" w:rsidTr="00BB14CC">
        <w:tc>
          <w:tcPr>
            <w:tcW w:w="1516" w:type="dxa"/>
          </w:tcPr>
          <w:p w14:paraId="5A8C01D5" w14:textId="46B67DDD" w:rsidR="006532A1" w:rsidRPr="00AC4E33" w:rsidRDefault="006532A1" w:rsidP="00AF22A0">
            <w:pPr>
              <w:rPr>
                <w:b/>
              </w:rPr>
            </w:pPr>
            <w:r>
              <w:rPr>
                <w:b/>
              </w:rPr>
              <w:lastRenderedPageBreak/>
              <w:t>CO-68</w:t>
            </w:r>
          </w:p>
        </w:tc>
        <w:tc>
          <w:tcPr>
            <w:tcW w:w="11428" w:type="dxa"/>
          </w:tcPr>
          <w:p w14:paraId="211CF926" w14:textId="77777777" w:rsidR="006532A1" w:rsidRDefault="006532A1" w:rsidP="006532A1">
            <w:pPr>
              <w:pStyle w:val="Header"/>
              <w:tabs>
                <w:tab w:val="left" w:pos="720"/>
              </w:tabs>
              <w:ind w:left="0" w:firstLine="0"/>
              <w:rPr>
                <w:rFonts w:ascii="Foundry Form Sans" w:hAnsi="Foundry Form Sans"/>
                <w:iCs/>
              </w:rPr>
            </w:pPr>
            <w:r>
              <w:rPr>
                <w:rFonts w:ascii="Foundry Form Sans" w:hAnsi="Foundry Form Sans"/>
                <w:iCs/>
              </w:rPr>
              <w:t>That the Head of Paid Service:</w:t>
            </w:r>
          </w:p>
          <w:p w14:paraId="6F8EF733" w14:textId="77777777" w:rsidR="006532A1" w:rsidRDefault="006532A1" w:rsidP="006532A1">
            <w:pPr>
              <w:pStyle w:val="Header"/>
              <w:tabs>
                <w:tab w:val="left" w:pos="720"/>
              </w:tabs>
              <w:ind w:left="0" w:firstLine="0"/>
              <w:rPr>
                <w:b/>
                <w:bCs/>
              </w:rPr>
            </w:pPr>
          </w:p>
          <w:p w14:paraId="5AAE5BE8" w14:textId="77777777" w:rsidR="006532A1" w:rsidRPr="006532A1" w:rsidRDefault="006532A1" w:rsidP="006532A1">
            <w:pPr>
              <w:tabs>
                <w:tab w:val="left" w:pos="720"/>
                <w:tab w:val="center" w:pos="4320"/>
                <w:tab w:val="right" w:pos="8640"/>
              </w:tabs>
              <w:snapToGrid w:val="0"/>
              <w:rPr>
                <w:iCs/>
              </w:rPr>
            </w:pPr>
            <w:r w:rsidRPr="006532A1">
              <w:rPr>
                <w:iCs/>
              </w:rPr>
              <w:t>Extends the Grade 9 fixed term Senior Community Engagement Coordinator post for 3 months to enable the Community Engagement Team to extend backfill arrangements for the Grade 11 post of Community Engagement Manager, which is currently vacant due to the post holder being on secondment.</w:t>
            </w:r>
          </w:p>
          <w:p w14:paraId="482F29EF" w14:textId="77777777" w:rsidR="006532A1" w:rsidRPr="00AC4E33" w:rsidRDefault="006532A1" w:rsidP="00AF22A0">
            <w:pPr>
              <w:rPr>
                <w:b/>
              </w:rPr>
            </w:pPr>
            <w:bookmarkStart w:id="0" w:name="_GoBack"/>
            <w:bookmarkEnd w:id="0"/>
          </w:p>
        </w:tc>
        <w:tc>
          <w:tcPr>
            <w:tcW w:w="2444" w:type="dxa"/>
          </w:tcPr>
          <w:p w14:paraId="5468A2B2" w14:textId="2494D702" w:rsidR="006532A1" w:rsidRPr="00AC4E33" w:rsidRDefault="006532A1" w:rsidP="00AF22A0">
            <w:pPr>
              <w:rPr>
                <w:b/>
              </w:rPr>
            </w:pPr>
            <w:r>
              <w:t>Communities and Intelligence</w:t>
            </w:r>
          </w:p>
        </w:tc>
      </w:tr>
      <w:tr w:rsidR="007A66C7" w:rsidRPr="00AC4E33" w14:paraId="49CF2D9F" w14:textId="77777777" w:rsidTr="00BB14CC">
        <w:trPr>
          <w:trHeight w:val="328"/>
        </w:trPr>
        <w:tc>
          <w:tcPr>
            <w:tcW w:w="1516" w:type="dxa"/>
          </w:tcPr>
          <w:p w14:paraId="56E72C4B" w14:textId="5EFA4745" w:rsidR="007A66C7" w:rsidRDefault="00EF500E" w:rsidP="00AF22A0">
            <w:pPr>
              <w:rPr>
                <w:b/>
              </w:rPr>
            </w:pPr>
            <w:r>
              <w:rPr>
                <w:b/>
              </w:rPr>
              <w:t>CO-77</w:t>
            </w:r>
          </w:p>
        </w:tc>
        <w:tc>
          <w:tcPr>
            <w:tcW w:w="11428" w:type="dxa"/>
          </w:tcPr>
          <w:p w14:paraId="49C379F5" w14:textId="77777777" w:rsidR="007A66C7" w:rsidRDefault="007A66C7" w:rsidP="00A06C18">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 approves:</w:t>
            </w:r>
          </w:p>
          <w:p w14:paraId="5B20CCD6" w14:textId="77777777" w:rsidR="007A66C7" w:rsidRDefault="007A66C7" w:rsidP="00A06C18">
            <w:pPr>
              <w:pStyle w:val="Header"/>
              <w:tabs>
                <w:tab w:val="clear" w:pos="4320"/>
                <w:tab w:val="clear" w:pos="8640"/>
              </w:tabs>
              <w:ind w:left="0" w:firstLine="0"/>
              <w:rPr>
                <w:rFonts w:ascii="Foundry Form Sans" w:hAnsi="Foundry Form Sans"/>
                <w:iCs/>
              </w:rPr>
            </w:pPr>
          </w:p>
          <w:p w14:paraId="67F12EE3" w14:textId="6B69092C" w:rsidR="007A66C7" w:rsidRDefault="00EF500E" w:rsidP="00A06C18">
            <w:pPr>
              <w:pStyle w:val="Header"/>
              <w:tabs>
                <w:tab w:val="clear" w:pos="4320"/>
                <w:tab w:val="clear" w:pos="8640"/>
              </w:tabs>
              <w:ind w:left="0" w:firstLine="0"/>
              <w:rPr>
                <w:rFonts w:ascii="Foundry Form Sans" w:hAnsi="Foundry Form Sans"/>
                <w:iCs/>
              </w:rPr>
            </w:pPr>
            <w:r>
              <w:rPr>
                <w:rFonts w:ascii="Foundry Form Sans" w:hAnsi="Foundry Form Sans"/>
                <w:iCs/>
              </w:rPr>
              <w:t>The deletion of the following six posts in the Finance &amp; Governance unit (all 1.0 FTE):</w:t>
            </w:r>
          </w:p>
          <w:p w14:paraId="3791DF10" w14:textId="5A45E48E"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1 x Grade 8 Accountant post in the Accountancy function</w:t>
            </w:r>
          </w:p>
          <w:p w14:paraId="465E0E4D" w14:textId="0140BCF4"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1 x Grade 12 Finance Manager post in the Budgeting &amp; Monitoring function</w:t>
            </w:r>
          </w:p>
          <w:p w14:paraId="2B9D9942" w14:textId="40A49BE2"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2 x Grade 8 Accountant posts in the Budgeting &amp; Monitoring function</w:t>
            </w:r>
          </w:p>
          <w:p w14:paraId="05FCFBDB" w14:textId="263DE6BB"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2 x Grade 6 Senior Finance Officer posts in the Budgeting &amp; Monitoring function; and</w:t>
            </w:r>
          </w:p>
          <w:p w14:paraId="2FC95ABE" w14:textId="5AAAF773" w:rsidR="00EF500E" w:rsidRDefault="00EF500E" w:rsidP="00EF500E">
            <w:pPr>
              <w:pStyle w:val="Header"/>
              <w:tabs>
                <w:tab w:val="clear" w:pos="4320"/>
                <w:tab w:val="clear" w:pos="8640"/>
              </w:tabs>
              <w:rPr>
                <w:rFonts w:ascii="Foundry Form Sans" w:hAnsi="Foundry Form Sans"/>
                <w:iCs/>
              </w:rPr>
            </w:pPr>
          </w:p>
          <w:p w14:paraId="6BE3DB1B" w14:textId="567B0F13" w:rsidR="00EF500E" w:rsidRDefault="00EF500E" w:rsidP="00EF500E">
            <w:pPr>
              <w:pStyle w:val="Header"/>
              <w:tabs>
                <w:tab w:val="clear" w:pos="4320"/>
                <w:tab w:val="clear" w:pos="8640"/>
              </w:tabs>
              <w:rPr>
                <w:rFonts w:ascii="Foundry Form Sans" w:hAnsi="Foundry Form Sans"/>
                <w:iCs/>
              </w:rPr>
            </w:pPr>
            <w:r>
              <w:rPr>
                <w:rFonts w:ascii="Foundry Form Sans" w:hAnsi="Foundry Form Sans"/>
                <w:iCs/>
              </w:rPr>
              <w:t>The creation of the following seven posts in the Finance &amp; Governance unit (all 1.0 FTE):</w:t>
            </w:r>
          </w:p>
          <w:p w14:paraId="49FE3DF1" w14:textId="710305DC"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2 x Grade 10 Senior Accountant posts in the Accountancy function</w:t>
            </w:r>
          </w:p>
          <w:p w14:paraId="1C04BAAA" w14:textId="02F57D0E"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1 x Grade 13 Senior Finance Manager post in the Budgeting &amp; Monitoring function</w:t>
            </w:r>
          </w:p>
          <w:p w14:paraId="1ECB2C93" w14:textId="38062AD3" w:rsidR="00EF500E" w:rsidRDefault="00EF500E" w:rsidP="00EF500E">
            <w:pPr>
              <w:pStyle w:val="Header"/>
              <w:numPr>
                <w:ilvl w:val="0"/>
                <w:numId w:val="9"/>
              </w:numPr>
              <w:tabs>
                <w:tab w:val="clear" w:pos="4320"/>
                <w:tab w:val="clear" w:pos="8640"/>
              </w:tabs>
              <w:rPr>
                <w:rFonts w:ascii="Foundry Form Sans" w:hAnsi="Foundry Form Sans"/>
                <w:iCs/>
              </w:rPr>
            </w:pPr>
            <w:r>
              <w:rPr>
                <w:rFonts w:ascii="Foundry Form Sans" w:hAnsi="Foundry Form Sans"/>
                <w:iCs/>
              </w:rPr>
              <w:t>4 x Grade 10 Senior Accountant posts in the Budgeting &amp; Monitoring function.</w:t>
            </w:r>
          </w:p>
          <w:p w14:paraId="7D9B2A29" w14:textId="623D624E" w:rsidR="007A66C7" w:rsidRPr="006C4C11" w:rsidRDefault="007A66C7" w:rsidP="00A06C18">
            <w:pPr>
              <w:pStyle w:val="Header"/>
              <w:tabs>
                <w:tab w:val="clear" w:pos="4320"/>
                <w:tab w:val="clear" w:pos="8640"/>
              </w:tabs>
              <w:ind w:left="0" w:firstLine="0"/>
              <w:rPr>
                <w:rFonts w:ascii="Foundry Form Sans" w:hAnsi="Foundry Form Sans"/>
                <w:iCs/>
              </w:rPr>
            </w:pPr>
          </w:p>
        </w:tc>
        <w:tc>
          <w:tcPr>
            <w:tcW w:w="2444" w:type="dxa"/>
          </w:tcPr>
          <w:p w14:paraId="44AD5CD5" w14:textId="5E5F9025" w:rsidR="007A66C7" w:rsidRDefault="006532A1" w:rsidP="00AF22A0">
            <w:r>
              <w:t>Resources</w:t>
            </w:r>
          </w:p>
        </w:tc>
      </w:tr>
    </w:tbl>
    <w:p w14:paraId="1D36611D" w14:textId="77777777" w:rsidR="00AC4E33" w:rsidRPr="00AC4E33" w:rsidRDefault="00AC4E33" w:rsidP="00AF22A0">
      <w:pPr>
        <w:rPr>
          <w:b/>
        </w:rPr>
      </w:pPr>
    </w:p>
    <w:sectPr w:rsidR="00AC4E33" w:rsidRPr="00AC4E33"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D"/>
    <w:multiLevelType w:val="hybridMultilevel"/>
    <w:tmpl w:val="192E7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2E6087"/>
    <w:multiLevelType w:val="hybridMultilevel"/>
    <w:tmpl w:val="BA8C1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975A5B"/>
    <w:multiLevelType w:val="hybridMultilevel"/>
    <w:tmpl w:val="1A56AC7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A604CF"/>
    <w:multiLevelType w:val="hybridMultilevel"/>
    <w:tmpl w:val="C1B61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821394"/>
    <w:multiLevelType w:val="hybridMultilevel"/>
    <w:tmpl w:val="A69E8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750B4"/>
    <w:multiLevelType w:val="hybridMultilevel"/>
    <w:tmpl w:val="CA8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330F"/>
    <w:multiLevelType w:val="hybridMultilevel"/>
    <w:tmpl w:val="1CBC9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00701C"/>
    <w:multiLevelType w:val="hybridMultilevel"/>
    <w:tmpl w:val="73CA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11" w15:restartNumberingAfterBreak="0">
    <w:nsid w:val="72266357"/>
    <w:multiLevelType w:val="hybridMultilevel"/>
    <w:tmpl w:val="7334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0"/>
  </w:num>
  <w:num w:numId="7">
    <w:abstractNumId w:val="6"/>
  </w:num>
  <w:num w:numId="8">
    <w:abstractNumId w:val="2"/>
  </w:num>
  <w:num w:numId="9">
    <w:abstractNumId w:val="11"/>
  </w:num>
  <w:num w:numId="10">
    <w:abstractNumId w:val="5"/>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D9"/>
    <w:rsid w:val="00013007"/>
    <w:rsid w:val="000136B9"/>
    <w:rsid w:val="00103412"/>
    <w:rsid w:val="00192545"/>
    <w:rsid w:val="001A1DDB"/>
    <w:rsid w:val="001B6DFE"/>
    <w:rsid w:val="00225632"/>
    <w:rsid w:val="0027582F"/>
    <w:rsid w:val="002B4869"/>
    <w:rsid w:val="002E66FC"/>
    <w:rsid w:val="00323D47"/>
    <w:rsid w:val="0035694F"/>
    <w:rsid w:val="003D1F75"/>
    <w:rsid w:val="00513B54"/>
    <w:rsid w:val="005B35D7"/>
    <w:rsid w:val="005B5F35"/>
    <w:rsid w:val="005D0BC4"/>
    <w:rsid w:val="006067BD"/>
    <w:rsid w:val="00652FB8"/>
    <w:rsid w:val="006532A1"/>
    <w:rsid w:val="00661ECF"/>
    <w:rsid w:val="006C4C11"/>
    <w:rsid w:val="006D6218"/>
    <w:rsid w:val="007518AC"/>
    <w:rsid w:val="007A21D9"/>
    <w:rsid w:val="007A66C7"/>
    <w:rsid w:val="00847A1A"/>
    <w:rsid w:val="008A096C"/>
    <w:rsid w:val="009D1818"/>
    <w:rsid w:val="00A06C18"/>
    <w:rsid w:val="00A32D35"/>
    <w:rsid w:val="00A56446"/>
    <w:rsid w:val="00A767D7"/>
    <w:rsid w:val="00AB5680"/>
    <w:rsid w:val="00AC4E33"/>
    <w:rsid w:val="00AD79EE"/>
    <w:rsid w:val="00AF22A0"/>
    <w:rsid w:val="00B710C5"/>
    <w:rsid w:val="00BB14CC"/>
    <w:rsid w:val="00C66EBB"/>
    <w:rsid w:val="00C71E72"/>
    <w:rsid w:val="00C84B7E"/>
    <w:rsid w:val="00C869AC"/>
    <w:rsid w:val="00CE602B"/>
    <w:rsid w:val="00CF4FE9"/>
    <w:rsid w:val="00D43831"/>
    <w:rsid w:val="00D530B8"/>
    <w:rsid w:val="00D76DB5"/>
    <w:rsid w:val="00D9065C"/>
    <w:rsid w:val="00DE2865"/>
    <w:rsid w:val="00E67FB6"/>
    <w:rsid w:val="00E747A0"/>
    <w:rsid w:val="00EA0746"/>
    <w:rsid w:val="00ED38AC"/>
    <w:rsid w:val="00EF500E"/>
    <w:rsid w:val="00F150A4"/>
    <w:rsid w:val="00FA3953"/>
    <w:rsid w:val="00FF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75F1"/>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873">
      <w:bodyDiv w:val="1"/>
      <w:marLeft w:val="0"/>
      <w:marRight w:val="0"/>
      <w:marTop w:val="0"/>
      <w:marBottom w:val="0"/>
      <w:divBdr>
        <w:top w:val="none" w:sz="0" w:space="0" w:color="auto"/>
        <w:left w:val="none" w:sz="0" w:space="0" w:color="auto"/>
        <w:bottom w:val="none" w:sz="0" w:space="0" w:color="auto"/>
        <w:right w:val="none" w:sz="0" w:space="0" w:color="auto"/>
      </w:divBdr>
    </w:div>
    <w:div w:id="408159559">
      <w:bodyDiv w:val="1"/>
      <w:marLeft w:val="0"/>
      <w:marRight w:val="0"/>
      <w:marTop w:val="0"/>
      <w:marBottom w:val="0"/>
      <w:divBdr>
        <w:top w:val="none" w:sz="0" w:space="0" w:color="auto"/>
        <w:left w:val="none" w:sz="0" w:space="0" w:color="auto"/>
        <w:bottom w:val="none" w:sz="0" w:space="0" w:color="auto"/>
        <w:right w:val="none" w:sz="0" w:space="0" w:color="auto"/>
      </w:divBdr>
    </w:div>
    <w:div w:id="475882702">
      <w:bodyDiv w:val="1"/>
      <w:marLeft w:val="0"/>
      <w:marRight w:val="0"/>
      <w:marTop w:val="0"/>
      <w:marBottom w:val="0"/>
      <w:divBdr>
        <w:top w:val="none" w:sz="0" w:space="0" w:color="auto"/>
        <w:left w:val="none" w:sz="0" w:space="0" w:color="auto"/>
        <w:bottom w:val="none" w:sz="0" w:space="0" w:color="auto"/>
        <w:right w:val="none" w:sz="0" w:space="0" w:color="auto"/>
      </w:divBdr>
    </w:div>
    <w:div w:id="479007599">
      <w:bodyDiv w:val="1"/>
      <w:marLeft w:val="0"/>
      <w:marRight w:val="0"/>
      <w:marTop w:val="0"/>
      <w:marBottom w:val="0"/>
      <w:divBdr>
        <w:top w:val="none" w:sz="0" w:space="0" w:color="auto"/>
        <w:left w:val="none" w:sz="0" w:space="0" w:color="auto"/>
        <w:bottom w:val="none" w:sz="0" w:space="0" w:color="auto"/>
        <w:right w:val="none" w:sz="0" w:space="0" w:color="auto"/>
      </w:divBdr>
    </w:div>
    <w:div w:id="555824591">
      <w:bodyDiv w:val="1"/>
      <w:marLeft w:val="0"/>
      <w:marRight w:val="0"/>
      <w:marTop w:val="0"/>
      <w:marBottom w:val="0"/>
      <w:divBdr>
        <w:top w:val="none" w:sz="0" w:space="0" w:color="auto"/>
        <w:left w:val="none" w:sz="0" w:space="0" w:color="auto"/>
        <w:bottom w:val="none" w:sz="0" w:space="0" w:color="auto"/>
        <w:right w:val="none" w:sz="0" w:space="0" w:color="auto"/>
      </w:divBdr>
    </w:div>
    <w:div w:id="561216032">
      <w:bodyDiv w:val="1"/>
      <w:marLeft w:val="0"/>
      <w:marRight w:val="0"/>
      <w:marTop w:val="0"/>
      <w:marBottom w:val="0"/>
      <w:divBdr>
        <w:top w:val="none" w:sz="0" w:space="0" w:color="auto"/>
        <w:left w:val="none" w:sz="0" w:space="0" w:color="auto"/>
        <w:bottom w:val="none" w:sz="0" w:space="0" w:color="auto"/>
        <w:right w:val="none" w:sz="0" w:space="0" w:color="auto"/>
      </w:divBdr>
    </w:div>
    <w:div w:id="584143547">
      <w:bodyDiv w:val="1"/>
      <w:marLeft w:val="0"/>
      <w:marRight w:val="0"/>
      <w:marTop w:val="0"/>
      <w:marBottom w:val="0"/>
      <w:divBdr>
        <w:top w:val="none" w:sz="0" w:space="0" w:color="auto"/>
        <w:left w:val="none" w:sz="0" w:space="0" w:color="auto"/>
        <w:bottom w:val="none" w:sz="0" w:space="0" w:color="auto"/>
        <w:right w:val="none" w:sz="0" w:space="0" w:color="auto"/>
      </w:divBdr>
    </w:div>
    <w:div w:id="653803401">
      <w:bodyDiv w:val="1"/>
      <w:marLeft w:val="0"/>
      <w:marRight w:val="0"/>
      <w:marTop w:val="0"/>
      <w:marBottom w:val="0"/>
      <w:divBdr>
        <w:top w:val="none" w:sz="0" w:space="0" w:color="auto"/>
        <w:left w:val="none" w:sz="0" w:space="0" w:color="auto"/>
        <w:bottom w:val="none" w:sz="0" w:space="0" w:color="auto"/>
        <w:right w:val="none" w:sz="0" w:space="0" w:color="auto"/>
      </w:divBdr>
    </w:div>
    <w:div w:id="827476277">
      <w:bodyDiv w:val="1"/>
      <w:marLeft w:val="0"/>
      <w:marRight w:val="0"/>
      <w:marTop w:val="0"/>
      <w:marBottom w:val="0"/>
      <w:divBdr>
        <w:top w:val="none" w:sz="0" w:space="0" w:color="auto"/>
        <w:left w:val="none" w:sz="0" w:space="0" w:color="auto"/>
        <w:bottom w:val="none" w:sz="0" w:space="0" w:color="auto"/>
        <w:right w:val="none" w:sz="0" w:space="0" w:color="auto"/>
      </w:divBdr>
    </w:div>
    <w:div w:id="845511221">
      <w:bodyDiv w:val="1"/>
      <w:marLeft w:val="0"/>
      <w:marRight w:val="0"/>
      <w:marTop w:val="0"/>
      <w:marBottom w:val="0"/>
      <w:divBdr>
        <w:top w:val="none" w:sz="0" w:space="0" w:color="auto"/>
        <w:left w:val="none" w:sz="0" w:space="0" w:color="auto"/>
        <w:bottom w:val="none" w:sz="0" w:space="0" w:color="auto"/>
        <w:right w:val="none" w:sz="0" w:space="0" w:color="auto"/>
      </w:divBdr>
    </w:div>
    <w:div w:id="866219594">
      <w:bodyDiv w:val="1"/>
      <w:marLeft w:val="0"/>
      <w:marRight w:val="0"/>
      <w:marTop w:val="0"/>
      <w:marBottom w:val="0"/>
      <w:divBdr>
        <w:top w:val="none" w:sz="0" w:space="0" w:color="auto"/>
        <w:left w:val="none" w:sz="0" w:space="0" w:color="auto"/>
        <w:bottom w:val="none" w:sz="0" w:space="0" w:color="auto"/>
        <w:right w:val="none" w:sz="0" w:space="0" w:color="auto"/>
      </w:divBdr>
    </w:div>
    <w:div w:id="958268403">
      <w:bodyDiv w:val="1"/>
      <w:marLeft w:val="0"/>
      <w:marRight w:val="0"/>
      <w:marTop w:val="0"/>
      <w:marBottom w:val="0"/>
      <w:divBdr>
        <w:top w:val="none" w:sz="0" w:space="0" w:color="auto"/>
        <w:left w:val="none" w:sz="0" w:space="0" w:color="auto"/>
        <w:bottom w:val="none" w:sz="0" w:space="0" w:color="auto"/>
        <w:right w:val="none" w:sz="0" w:space="0" w:color="auto"/>
      </w:divBdr>
    </w:div>
    <w:div w:id="1022629473">
      <w:bodyDiv w:val="1"/>
      <w:marLeft w:val="0"/>
      <w:marRight w:val="0"/>
      <w:marTop w:val="0"/>
      <w:marBottom w:val="0"/>
      <w:divBdr>
        <w:top w:val="none" w:sz="0" w:space="0" w:color="auto"/>
        <w:left w:val="none" w:sz="0" w:space="0" w:color="auto"/>
        <w:bottom w:val="none" w:sz="0" w:space="0" w:color="auto"/>
        <w:right w:val="none" w:sz="0" w:space="0" w:color="auto"/>
      </w:divBdr>
    </w:div>
    <w:div w:id="1078020419">
      <w:bodyDiv w:val="1"/>
      <w:marLeft w:val="0"/>
      <w:marRight w:val="0"/>
      <w:marTop w:val="0"/>
      <w:marBottom w:val="0"/>
      <w:divBdr>
        <w:top w:val="none" w:sz="0" w:space="0" w:color="auto"/>
        <w:left w:val="none" w:sz="0" w:space="0" w:color="auto"/>
        <w:bottom w:val="none" w:sz="0" w:space="0" w:color="auto"/>
        <w:right w:val="none" w:sz="0" w:space="0" w:color="auto"/>
      </w:divBdr>
    </w:div>
    <w:div w:id="1524637633">
      <w:bodyDiv w:val="1"/>
      <w:marLeft w:val="0"/>
      <w:marRight w:val="0"/>
      <w:marTop w:val="0"/>
      <w:marBottom w:val="0"/>
      <w:divBdr>
        <w:top w:val="none" w:sz="0" w:space="0" w:color="auto"/>
        <w:left w:val="none" w:sz="0" w:space="0" w:color="auto"/>
        <w:bottom w:val="none" w:sz="0" w:space="0" w:color="auto"/>
        <w:right w:val="none" w:sz="0" w:space="0" w:color="auto"/>
      </w:divBdr>
    </w:div>
    <w:div w:id="1828134688">
      <w:bodyDiv w:val="1"/>
      <w:marLeft w:val="0"/>
      <w:marRight w:val="0"/>
      <w:marTop w:val="0"/>
      <w:marBottom w:val="0"/>
      <w:divBdr>
        <w:top w:val="none" w:sz="0" w:space="0" w:color="auto"/>
        <w:left w:val="none" w:sz="0" w:space="0" w:color="auto"/>
        <w:bottom w:val="none" w:sz="0" w:space="0" w:color="auto"/>
        <w:right w:val="none" w:sz="0" w:space="0" w:color="auto"/>
      </w:divBdr>
    </w:div>
    <w:div w:id="1851941673">
      <w:bodyDiv w:val="1"/>
      <w:marLeft w:val="0"/>
      <w:marRight w:val="0"/>
      <w:marTop w:val="0"/>
      <w:marBottom w:val="0"/>
      <w:divBdr>
        <w:top w:val="none" w:sz="0" w:space="0" w:color="auto"/>
        <w:left w:val="none" w:sz="0" w:space="0" w:color="auto"/>
        <w:bottom w:val="none" w:sz="0" w:space="0" w:color="auto"/>
        <w:right w:val="none" w:sz="0" w:space="0" w:color="auto"/>
      </w:divBdr>
    </w:div>
    <w:div w:id="1865246792">
      <w:bodyDiv w:val="1"/>
      <w:marLeft w:val="0"/>
      <w:marRight w:val="0"/>
      <w:marTop w:val="0"/>
      <w:marBottom w:val="0"/>
      <w:divBdr>
        <w:top w:val="none" w:sz="0" w:space="0" w:color="auto"/>
        <w:left w:val="none" w:sz="0" w:space="0" w:color="auto"/>
        <w:bottom w:val="none" w:sz="0" w:space="0" w:color="auto"/>
        <w:right w:val="none" w:sz="0" w:space="0" w:color="auto"/>
      </w:divBdr>
    </w:div>
    <w:div w:id="1895193511">
      <w:bodyDiv w:val="1"/>
      <w:marLeft w:val="0"/>
      <w:marRight w:val="0"/>
      <w:marTop w:val="0"/>
      <w:marBottom w:val="0"/>
      <w:divBdr>
        <w:top w:val="none" w:sz="0" w:space="0" w:color="auto"/>
        <w:left w:val="none" w:sz="0" w:space="0" w:color="auto"/>
        <w:bottom w:val="none" w:sz="0" w:space="0" w:color="auto"/>
        <w:right w:val="none" w:sz="0" w:space="0" w:color="auto"/>
      </w:divBdr>
    </w:div>
    <w:div w:id="19952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463D-6FE2-4FDB-9C0A-3219FBAB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664</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13</cp:revision>
  <dcterms:created xsi:type="dcterms:W3CDTF">2019-07-04T10:56:00Z</dcterms:created>
  <dcterms:modified xsi:type="dcterms:W3CDTF">2019-08-22T13:06:00Z</dcterms:modified>
</cp:coreProperties>
</file>