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06"/>
        <w:tblW w:w="10637" w:type="dxa"/>
        <w:tblBorders>
          <w:top w:val="single" w:sz="4" w:space="0" w:color="A4A6A4"/>
          <w:left w:val="single" w:sz="4" w:space="0" w:color="A4A6A4"/>
          <w:bottom w:val="single" w:sz="4" w:space="0" w:color="A4A6A4"/>
          <w:right w:val="single" w:sz="4" w:space="0" w:color="A4A6A4"/>
          <w:insideH w:val="single" w:sz="4" w:space="0" w:color="A4A6A4"/>
          <w:insideV w:val="single" w:sz="4" w:space="0" w:color="A4A6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7371"/>
        <w:gridCol w:w="1276"/>
        <w:gridCol w:w="851"/>
      </w:tblGrid>
      <w:tr w:rsidR="00094C20" w:rsidRPr="00A75815" w:rsidTr="00094C20">
        <w:trPr>
          <w:trHeight w:val="557"/>
        </w:trPr>
        <w:tc>
          <w:tcPr>
            <w:tcW w:w="1139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bookmarkStart w:id="0" w:name="_GoBack"/>
            <w:bookmarkEnd w:id="0"/>
            <w:r w:rsidRPr="00A75815">
              <w:rPr>
                <w:sz w:val="24"/>
                <w:szCs w:val="24"/>
              </w:rPr>
              <w:t>Section 1</w:t>
            </w:r>
          </w:p>
        </w:tc>
        <w:tc>
          <w:tcPr>
            <w:tcW w:w="7371" w:type="dxa"/>
            <w:shd w:val="clear" w:color="auto" w:fill="DFC2C3"/>
          </w:tcPr>
          <w:p w:rsidR="00094C20" w:rsidRPr="00A75815" w:rsidRDefault="00094C20" w:rsidP="00094C20">
            <w:pPr>
              <w:rPr>
                <w:rFonts w:ascii="Arial" w:hAnsi="Arial" w:cs="Arial"/>
              </w:rPr>
            </w:pPr>
            <w:r w:rsidRPr="00A75815">
              <w:rPr>
                <w:rFonts w:ascii="Arial" w:hAnsi="Arial" w:cs="Arial"/>
                <w:b/>
              </w:rPr>
              <w:t>Project scope and rationale</w:t>
            </w:r>
          </w:p>
        </w:tc>
        <w:tc>
          <w:tcPr>
            <w:tcW w:w="1276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% Weighting</w:t>
            </w:r>
          </w:p>
        </w:tc>
        <w:tc>
          <w:tcPr>
            <w:tcW w:w="851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Scale</w:t>
            </w:r>
          </w:p>
        </w:tc>
      </w:tr>
      <w:tr w:rsidR="00094C20" w:rsidRPr="00A75815" w:rsidTr="00094C20">
        <w:trPr>
          <w:trHeight w:val="36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094C20" w:rsidRDefault="00094C20" w:rsidP="00094C20">
            <w:pPr>
              <w:spacing w:after="120"/>
              <w:rPr>
                <w:rFonts w:ascii="Arial" w:hAnsi="Arial" w:cs="Arial"/>
                <w:b/>
              </w:rPr>
            </w:pPr>
            <w:r w:rsidRPr="00A75815">
              <w:rPr>
                <w:rFonts w:ascii="Arial" w:hAnsi="Arial" w:cs="Arial"/>
                <w:b/>
              </w:rPr>
              <w:t>Please provide a short summary</w:t>
            </w:r>
            <w:r>
              <w:rPr>
                <w:rFonts w:ascii="Arial" w:hAnsi="Arial" w:cs="Arial"/>
                <w:b/>
              </w:rPr>
              <w:t xml:space="preserve"> of</w:t>
            </w:r>
            <w:r w:rsidRPr="00A758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A75815">
              <w:rPr>
                <w:rFonts w:ascii="Arial" w:hAnsi="Arial" w:cs="Arial"/>
                <w:b/>
              </w:rPr>
              <w:t xml:space="preserve">proposed </w:t>
            </w:r>
            <w:r>
              <w:rPr>
                <w:rFonts w:ascii="Arial" w:hAnsi="Arial" w:cs="Arial"/>
                <w:b/>
              </w:rPr>
              <w:t>activities</w:t>
            </w:r>
            <w:r w:rsidRPr="00A75815">
              <w:rPr>
                <w:rFonts w:ascii="Arial" w:hAnsi="Arial" w:cs="Arial"/>
                <w:b/>
              </w:rPr>
              <w:t xml:space="preserve">, setting out the key aims and delivery approach and </w:t>
            </w:r>
            <w:r>
              <w:rPr>
                <w:rFonts w:ascii="Arial" w:hAnsi="Arial" w:cs="Arial"/>
                <w:b/>
              </w:rPr>
              <w:t>explain</w:t>
            </w:r>
            <w:r w:rsidRPr="00A75815">
              <w:rPr>
                <w:rFonts w:ascii="Arial" w:hAnsi="Arial" w:cs="Arial"/>
                <w:b/>
              </w:rPr>
              <w:t xml:space="preserve"> how these are linked with the aims and objectives of the Apprenticeships for Londoners programme.</w:t>
            </w:r>
          </w:p>
          <w:p w:rsidR="00094C20" w:rsidRDefault="00094C20" w:rsidP="00094C20">
            <w:pPr>
              <w:pStyle w:val="TableParagraph"/>
              <w:spacing w:before="240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To meet minimum requirements, applicants will need to demonstrate the following: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3"/>
              </w:numPr>
              <w:spacing w:before="4"/>
              <w:ind w:left="428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 xml:space="preserve">An introduction to the </w:t>
            </w:r>
            <w:r>
              <w:rPr>
                <w:sz w:val="24"/>
                <w:szCs w:val="24"/>
              </w:rPr>
              <w:t xml:space="preserve">proposed </w:t>
            </w:r>
            <w:r w:rsidRPr="00A75815">
              <w:rPr>
                <w:sz w:val="24"/>
                <w:szCs w:val="24"/>
              </w:rPr>
              <w:t>activities</w:t>
            </w:r>
            <w:r>
              <w:rPr>
                <w:sz w:val="24"/>
                <w:szCs w:val="24"/>
              </w:rPr>
              <w:t>, including use of innovative methods,</w:t>
            </w:r>
            <w:r w:rsidRPr="00A75815">
              <w:rPr>
                <w:sz w:val="24"/>
                <w:szCs w:val="24"/>
              </w:rPr>
              <w:t xml:space="preserve"> and how these enable you to deliver the project.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3"/>
              </w:numPr>
              <w:spacing w:before="4"/>
              <w:ind w:left="428"/>
              <w:rPr>
                <w:b/>
              </w:rPr>
            </w:pPr>
            <w:r w:rsidRPr="00A75815">
              <w:rPr>
                <w:sz w:val="24"/>
                <w:szCs w:val="24"/>
              </w:rPr>
              <w:t>A clear narrative that links the aims and objectives of the proposed project with those of the Apprenticeships for Londoners Programme.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250</w:t>
            </w:r>
            <w:r w:rsidRPr="00A75815">
              <w:rPr>
                <w:b/>
                <w:sz w:val="24"/>
                <w:szCs w:val="24"/>
              </w:rPr>
              <w:t xml:space="preserve">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widowControl/>
              <w:autoSpaceDE/>
              <w:autoSpaceDN/>
              <w:spacing w:after="120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Outputs</w:t>
            </w:r>
            <w:r>
              <w:rPr>
                <w:b/>
                <w:sz w:val="24"/>
                <w:szCs w:val="24"/>
              </w:rPr>
              <w:t>/Outcomes</w:t>
            </w:r>
            <w:r w:rsidRPr="00A75815">
              <w:rPr>
                <w:b/>
                <w:sz w:val="24"/>
                <w:szCs w:val="24"/>
              </w:rPr>
              <w:t xml:space="preserve">: applicants should describe a range of activities, quantifying frequency and intensity to help the GLA assess the application. </w:t>
            </w:r>
          </w:p>
          <w:p w:rsidR="00094C20" w:rsidRDefault="00094C20" w:rsidP="00094C20">
            <w:pPr>
              <w:pStyle w:val="TableParagraph"/>
              <w:widowControl/>
              <w:autoSpaceDE/>
              <w:autoSpaceDN/>
              <w:spacing w:after="120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 xml:space="preserve">Successful applicants will be expected to demonstrate that their proposed project </w:t>
            </w:r>
            <w:r>
              <w:rPr>
                <w:b/>
                <w:sz w:val="24"/>
                <w:szCs w:val="24"/>
              </w:rPr>
              <w:t>will</w:t>
            </w:r>
            <w:r w:rsidRPr="00A75815">
              <w:rPr>
                <w:b/>
                <w:sz w:val="24"/>
                <w:szCs w:val="24"/>
              </w:rPr>
              <w:t xml:space="preserve"> engag</w:t>
            </w:r>
            <w:r>
              <w:rPr>
                <w:b/>
                <w:sz w:val="24"/>
                <w:szCs w:val="24"/>
              </w:rPr>
              <w:t>e</w:t>
            </w:r>
            <w:r w:rsidRPr="00A75815">
              <w:rPr>
                <w:b/>
                <w:sz w:val="24"/>
                <w:szCs w:val="24"/>
              </w:rPr>
              <w:t xml:space="preserve"> with both levy and non-levy paying businesses to deliver the outcome measures</w:t>
            </w:r>
            <w:r>
              <w:rPr>
                <w:b/>
                <w:sz w:val="24"/>
                <w:szCs w:val="24"/>
              </w:rPr>
              <w:t xml:space="preserve"> below</w:t>
            </w:r>
            <w:r w:rsidRPr="00A75815">
              <w:rPr>
                <w:b/>
                <w:sz w:val="24"/>
                <w:szCs w:val="24"/>
              </w:rPr>
              <w:t>.</w:t>
            </w:r>
          </w:p>
          <w:p w:rsidR="00094C20" w:rsidRDefault="00094C20" w:rsidP="00094C2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To meet minimum requirements, applicants will need to demonstrate the following: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3"/>
              </w:numPr>
              <w:spacing w:before="240"/>
              <w:ind w:left="0" w:firstLine="0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Minimum requirements for outputs: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"/>
              </w:numPr>
              <w:spacing w:before="14" w:line="261" w:lineRule="auto"/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experience of engaging with businesses and proposed s</w:t>
            </w:r>
            <w:r w:rsidRPr="0048478D">
              <w:rPr>
                <w:sz w:val="24"/>
                <w:szCs w:val="24"/>
              </w:rPr>
              <w:t>trategy for business engagement</w:t>
            </w:r>
            <w:r>
              <w:rPr>
                <w:sz w:val="24"/>
                <w:szCs w:val="24"/>
              </w:rPr>
              <w:t xml:space="preserve"> for this project</w:t>
            </w:r>
            <w:r w:rsidRPr="004847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including </w:t>
            </w:r>
            <w:r w:rsidRPr="0048478D">
              <w:rPr>
                <w:sz w:val="24"/>
                <w:szCs w:val="24"/>
              </w:rPr>
              <w:t>what innovative methods are being introduced to guarantee success</w:t>
            </w:r>
            <w:r>
              <w:rPr>
                <w:sz w:val="24"/>
                <w:szCs w:val="24"/>
              </w:rPr>
              <w:t>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"/>
              </w:numPr>
              <w:spacing w:before="14" w:line="261" w:lineRule="auto"/>
              <w:ind w:right="425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 xml:space="preserve">Expected minimum number of businesses to be engaged. 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"/>
              </w:numPr>
              <w:spacing w:before="14" w:line="261" w:lineRule="auto"/>
              <w:ind w:right="425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Activities in support of levy-paying businesses</w:t>
            </w:r>
            <w:r>
              <w:rPr>
                <w:sz w:val="24"/>
                <w:szCs w:val="24"/>
              </w:rPr>
              <w:t>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"/>
              </w:numPr>
              <w:spacing w:before="14" w:line="261" w:lineRule="auto"/>
              <w:ind w:right="425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Activities in support of non-levy paying businesses</w:t>
            </w:r>
            <w:r>
              <w:rPr>
                <w:sz w:val="24"/>
                <w:szCs w:val="24"/>
              </w:rPr>
              <w:t>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"/>
              </w:numPr>
              <w:spacing w:before="14" w:line="261" w:lineRule="auto"/>
              <w:ind w:right="425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Activities in support of levy transfers</w:t>
            </w:r>
            <w:r>
              <w:rPr>
                <w:sz w:val="24"/>
                <w:szCs w:val="24"/>
              </w:rPr>
              <w:t>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"/>
              </w:numPr>
              <w:spacing w:before="14" w:line="261" w:lineRule="auto"/>
              <w:ind w:right="425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Resource management to guarantee timely delivery and that quality apprenticeship providers are identified.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"/>
              </w:numPr>
              <w:spacing w:before="14" w:line="261" w:lineRule="auto"/>
              <w:ind w:right="425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Activities in support of participants to access the apprenticeships created</w:t>
            </w:r>
            <w:r>
              <w:rPr>
                <w:sz w:val="24"/>
                <w:szCs w:val="24"/>
              </w:rPr>
              <w:t>.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1"/>
              </w:numPr>
              <w:spacing w:before="14" w:line="261" w:lineRule="auto"/>
              <w:ind w:right="425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Activities in support of employers to sustain apprenticeships</w:t>
            </w:r>
            <w:r>
              <w:rPr>
                <w:sz w:val="24"/>
                <w:szCs w:val="24"/>
              </w:rPr>
              <w:t>.</w:t>
            </w:r>
          </w:p>
          <w:p w:rsidR="00094C20" w:rsidRDefault="00094C20" w:rsidP="00094C20">
            <w:pPr>
              <w:widowControl w:val="0"/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doing so, applicants will also need to provide their current baseline for engagement with both levy paying and non-levy paying businesses, as requested in the payment profiles in Appendix 1 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2"/>
              </w:numPr>
              <w:spacing w:before="240"/>
              <w:ind w:left="0" w:firstLine="0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Minimum requirements for outcomes:</w:t>
            </w:r>
          </w:p>
          <w:p w:rsidR="00094C20" w:rsidRPr="00AC1FE6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</w:pPr>
            <w:r w:rsidRPr="00E02524">
              <w:rPr>
                <w:sz w:val="24"/>
                <w:szCs w:val="24"/>
              </w:rPr>
              <w:t xml:space="preserve">Create a minimum of </w:t>
            </w:r>
            <w:r>
              <w:rPr>
                <w:sz w:val="24"/>
                <w:szCs w:val="24"/>
              </w:rPr>
              <w:t>357</w:t>
            </w:r>
            <w:r w:rsidRPr="00E02524">
              <w:rPr>
                <w:sz w:val="24"/>
                <w:szCs w:val="24"/>
              </w:rPr>
              <w:t xml:space="preserve"> apprenticeships starts (per project) deriving from recruitment, internal workforce or </w:t>
            </w:r>
            <w:r w:rsidRPr="00E02524">
              <w:rPr>
                <w:sz w:val="24"/>
                <w:szCs w:val="24"/>
              </w:rPr>
              <w:lastRenderedPageBreak/>
              <w:t xml:space="preserve">apprenticeship transfer aligned to proposed sectors. </w:t>
            </w:r>
            <w:r w:rsidRPr="00AC1FE6">
              <w:rPr>
                <w:sz w:val="24"/>
                <w:szCs w:val="24"/>
              </w:rPr>
              <w:t xml:space="preserve">  </w:t>
            </w:r>
            <w:r w:rsidRPr="00E02524">
              <w:rPr>
                <w:sz w:val="24"/>
                <w:szCs w:val="24"/>
              </w:rPr>
              <w:t>A start is defined as the start of employment and apprenticeship as defined by a contract of employment and an apprenticeship agreement between employer and provider.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Ensure that at least 75% (2</w:t>
            </w:r>
            <w:r>
              <w:rPr>
                <w:sz w:val="24"/>
                <w:szCs w:val="24"/>
              </w:rPr>
              <w:t>68</w:t>
            </w:r>
            <w:r w:rsidRPr="00A75815">
              <w:rPr>
                <w:sz w:val="24"/>
                <w:szCs w:val="24"/>
              </w:rPr>
              <w:t>) of these apprenticeships are sustained for at least 52 weeks</w:t>
            </w:r>
            <w:r>
              <w:rPr>
                <w:sz w:val="24"/>
                <w:szCs w:val="24"/>
              </w:rPr>
              <w:t xml:space="preserve"> from contract start date.</w:t>
            </w:r>
            <w:r w:rsidRPr="00A75815" w:rsidDel="006A7F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GLA </w:t>
            </w:r>
            <w:r w:rsidRPr="00466031">
              <w:rPr>
                <w:sz w:val="24"/>
                <w:szCs w:val="24"/>
              </w:rPr>
              <w:t>would consider less than 75% on an exceptional basis where an organisation can make a strong case  that the target groups or sector will make 75% very challenging.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Increase the number of businesses accessing funding to support apprenticeships, including both levy and supply chain, and non-levy paying businesses</w:t>
            </w:r>
            <w:r>
              <w:rPr>
                <w:sz w:val="24"/>
                <w:szCs w:val="24"/>
              </w:rPr>
              <w:t xml:space="preserve"> demonstrating an increase on organisation(s) baseline 2019/20.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Increase the amount of levy contributions spent by engaged levy-paying businesses.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Share practice to help inform future Mayoral apprenticeships policy by working with the GLA and partners as required.</w:t>
            </w:r>
          </w:p>
          <w:p w:rsidR="00094C20" w:rsidRDefault="00094C20" w:rsidP="00094C20">
            <w:pPr>
              <w:pStyle w:val="TableParagraph"/>
              <w:spacing w:before="240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Successful applicants will be required to ensure diversity targets are achieved by ensuring providers find ways to support women</w:t>
            </w:r>
            <w:r>
              <w:rPr>
                <w:sz w:val="24"/>
                <w:szCs w:val="24"/>
              </w:rPr>
              <w:t>,</w:t>
            </w:r>
            <w:r w:rsidRPr="00A75815">
              <w:rPr>
                <w:sz w:val="24"/>
                <w:szCs w:val="24"/>
              </w:rPr>
              <w:t xml:space="preserve"> BAME participants</w:t>
            </w:r>
            <w:r>
              <w:rPr>
                <w:sz w:val="24"/>
                <w:szCs w:val="24"/>
              </w:rPr>
              <w:t xml:space="preserve"> and disabled Londoners </w:t>
            </w:r>
            <w:r w:rsidRPr="00A75815">
              <w:rPr>
                <w:sz w:val="24"/>
                <w:szCs w:val="24"/>
              </w:rPr>
              <w:t xml:space="preserve">to participate in apprenticeships. </w:t>
            </w:r>
          </w:p>
          <w:p w:rsidR="00094C20" w:rsidRPr="00A75815" w:rsidRDefault="00094C20" w:rsidP="00094C20">
            <w:pPr>
              <w:pStyle w:val="TableParagraph"/>
              <w:spacing w:before="4"/>
              <w:ind w:left="49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 xml:space="preserve">As a </w:t>
            </w:r>
            <w:r>
              <w:rPr>
                <w:sz w:val="24"/>
                <w:szCs w:val="24"/>
              </w:rPr>
              <w:t>guide</w:t>
            </w:r>
            <w:r w:rsidRPr="00A75815">
              <w:rPr>
                <w:sz w:val="24"/>
                <w:szCs w:val="24"/>
              </w:rPr>
              <w:t>:</w:t>
            </w:r>
          </w:p>
          <w:p w:rsidR="00094C20" w:rsidRPr="00A75815" w:rsidRDefault="00094C20" w:rsidP="00094C20">
            <w:pPr>
              <w:pStyle w:val="TableParagraph"/>
              <w:spacing w:before="4"/>
              <w:ind w:left="49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ab/>
            </w:r>
            <w:r w:rsidRPr="00A75815">
              <w:rPr>
                <w:sz w:val="24"/>
                <w:szCs w:val="24"/>
              </w:rPr>
              <w:t>Female starts should form 50% of each indicator</w:t>
            </w:r>
            <w:r>
              <w:rPr>
                <w:sz w:val="24"/>
                <w:szCs w:val="24"/>
              </w:rPr>
              <w:t>.</w:t>
            </w:r>
          </w:p>
          <w:p w:rsidR="00094C20" w:rsidRPr="00A75815" w:rsidRDefault="00094C20" w:rsidP="00094C20">
            <w:pPr>
              <w:pStyle w:val="TableParagraph"/>
              <w:spacing w:before="4"/>
              <w:ind w:left="49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ab/>
            </w:r>
            <w:r w:rsidRPr="00A75815">
              <w:rPr>
                <w:sz w:val="24"/>
                <w:szCs w:val="24"/>
              </w:rPr>
              <w:t>BAME starts should form 42% of each indicator.</w:t>
            </w:r>
          </w:p>
          <w:p w:rsidR="00094C20" w:rsidRDefault="00094C20" w:rsidP="00094C20">
            <w:pPr>
              <w:pStyle w:val="TableParagraph"/>
              <w:spacing w:before="4"/>
              <w:ind w:left="720" w:hanging="22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ab/>
            </w:r>
            <w:r w:rsidRPr="00A75815">
              <w:rPr>
                <w:sz w:val="24"/>
                <w:szCs w:val="24"/>
              </w:rPr>
              <w:t xml:space="preserve">Disabled starts should form at least 10% of each </w:t>
            </w:r>
            <w:r>
              <w:rPr>
                <w:sz w:val="24"/>
                <w:szCs w:val="24"/>
              </w:rPr>
              <w:t xml:space="preserve">      </w:t>
            </w:r>
            <w:r w:rsidRPr="00A75815">
              <w:rPr>
                <w:sz w:val="24"/>
                <w:szCs w:val="24"/>
              </w:rPr>
              <w:t>indicator</w:t>
            </w:r>
            <w:r>
              <w:rPr>
                <w:sz w:val="24"/>
                <w:szCs w:val="24"/>
              </w:rPr>
              <w:t>.</w:t>
            </w:r>
          </w:p>
          <w:p w:rsidR="00094C20" w:rsidRDefault="00094C20" w:rsidP="00094C20">
            <w:pPr>
              <w:pStyle w:val="TableParagraph"/>
              <w:spacing w:before="4"/>
              <w:ind w:lef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Applicants should propose appropriate diversity targets which reflect issues and diversity underrepresentation specific to a particular sector evidenced by related research. Final diversity targets will be set by the GLA.</w:t>
            </w:r>
          </w:p>
          <w:p w:rsidR="00094C20" w:rsidRPr="00A75815" w:rsidRDefault="00094C20" w:rsidP="00094C20">
            <w:pPr>
              <w:pStyle w:val="TableParagraph"/>
              <w:spacing w:before="4"/>
              <w:ind w:left="42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400</w:t>
            </w:r>
            <w:r w:rsidRPr="00A75815">
              <w:rPr>
                <w:b/>
                <w:sz w:val="24"/>
                <w:szCs w:val="24"/>
              </w:rPr>
              <w:t xml:space="preserve">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  <w:tr w:rsidR="00094C20" w:rsidRPr="00A75815" w:rsidTr="00094C20">
        <w:trPr>
          <w:trHeight w:val="2117"/>
        </w:trPr>
        <w:tc>
          <w:tcPr>
            <w:tcW w:w="1139" w:type="dxa"/>
            <w:hideMark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widowControl/>
              <w:autoSpaceDE/>
              <w:autoSpaceDN/>
              <w:spacing w:after="120"/>
              <w:rPr>
                <w:b/>
                <w:sz w:val="24"/>
                <w:szCs w:val="24"/>
              </w:rPr>
            </w:pPr>
            <w:r w:rsidRPr="00A75815">
              <w:rPr>
                <w:b/>
                <w:color w:val="303130"/>
                <w:sz w:val="24"/>
                <w:szCs w:val="24"/>
              </w:rPr>
              <w:t>Please explain in what sector or sectors and locality you are proposing to target activity.</w:t>
            </w:r>
          </w:p>
          <w:p w:rsidR="00094C20" w:rsidRPr="00A75815" w:rsidRDefault="00094C20" w:rsidP="00094C20">
            <w:pPr>
              <w:pStyle w:val="TableParagraph"/>
              <w:spacing w:line="259" w:lineRule="auto"/>
              <w:ind w:right="765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Your response might include, but not be limited to, providing: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5"/>
              </w:numPr>
              <w:spacing w:before="14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evidence of the need within the sector(s)/localit</w:t>
            </w:r>
            <w:r>
              <w:rPr>
                <w:color w:val="303130"/>
                <w:sz w:val="24"/>
                <w:szCs w:val="24"/>
              </w:rPr>
              <w:t>y</w:t>
            </w:r>
            <w:r w:rsidRPr="00A75815">
              <w:rPr>
                <w:color w:val="303130"/>
                <w:sz w:val="24"/>
                <w:szCs w:val="24"/>
              </w:rPr>
              <w:t xml:space="preserve"> and how will your proposal will address this 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5"/>
              </w:numPr>
              <w:spacing w:before="14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evidence of any specific skills gaps within the sector(s)/locality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5"/>
              </w:numPr>
              <w:spacing w:before="14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 xml:space="preserve">details of what levels and in which areas those skills are needed 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5"/>
              </w:numPr>
              <w:spacing w:before="14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evidence of any barriers that are preventing employers from taking on more apprentices in the sector(s)/locality</w:t>
            </w:r>
          </w:p>
          <w:p w:rsidR="00094C20" w:rsidRDefault="00094C20" w:rsidP="00094C2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75815">
              <w:rPr>
                <w:rFonts w:ascii="Arial" w:hAnsi="Arial" w:cs="Arial"/>
              </w:rPr>
              <w:t>what outcome measures you would propose for underrepresented groups. These measures should be sector specific</w:t>
            </w:r>
          </w:p>
          <w:p w:rsidR="00094C20" w:rsidRPr="00A75815" w:rsidRDefault="00094C20" w:rsidP="00094C2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To meet minimum requirements, applicants will need to demonstrate the following: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5"/>
              </w:numPr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a clear understanding of targeted sectors and apprenticeship standards applicable to sectors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5"/>
              </w:numPr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 xml:space="preserve">how their proposed starts will meet local demand and address </w:t>
            </w:r>
            <w:r w:rsidRPr="00A75815">
              <w:rPr>
                <w:sz w:val="24"/>
                <w:szCs w:val="24"/>
              </w:rPr>
              <w:lastRenderedPageBreak/>
              <w:t>employer skills gaps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5"/>
              </w:numPr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A75815">
              <w:rPr>
                <w:sz w:val="24"/>
                <w:szCs w:val="24"/>
              </w:rPr>
              <w:t>dentification of the key stakeholders to engage with and an effective plan for engagement and example of previous engagement</w:t>
            </w:r>
          </w:p>
        </w:tc>
        <w:tc>
          <w:tcPr>
            <w:tcW w:w="1276" w:type="dxa"/>
            <w:hideMark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hideMark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</w:t>
            </w:r>
            <w:r w:rsidRPr="00A75815">
              <w:rPr>
                <w:b/>
                <w:sz w:val="24"/>
                <w:szCs w:val="24"/>
              </w:rPr>
              <w:t>00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  <w:tr w:rsidR="00094C20" w:rsidRPr="00A75815" w:rsidTr="00094C20">
        <w:trPr>
          <w:trHeight w:val="557"/>
        </w:trPr>
        <w:tc>
          <w:tcPr>
            <w:tcW w:w="1139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Section 2</w:t>
            </w:r>
          </w:p>
        </w:tc>
        <w:tc>
          <w:tcPr>
            <w:tcW w:w="7371" w:type="dxa"/>
            <w:shd w:val="clear" w:color="auto" w:fill="DFC2C3"/>
          </w:tcPr>
          <w:p w:rsidR="00094C20" w:rsidRPr="00A75815" w:rsidRDefault="00094C20" w:rsidP="00094C20">
            <w:pPr>
              <w:rPr>
                <w:rFonts w:ascii="Arial" w:hAnsi="Arial" w:cs="Arial"/>
                <w:b/>
              </w:rPr>
            </w:pPr>
            <w:r w:rsidRPr="00A75815">
              <w:rPr>
                <w:rFonts w:ascii="Arial" w:hAnsi="Arial" w:cs="Arial"/>
                <w:b/>
              </w:rPr>
              <w:t>Deliverability</w:t>
            </w:r>
          </w:p>
        </w:tc>
        <w:tc>
          <w:tcPr>
            <w:tcW w:w="1276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Scale</w:t>
            </w:r>
          </w:p>
        </w:tc>
      </w:tr>
      <w:tr w:rsidR="00094C20" w:rsidRPr="00A75815" w:rsidTr="00094C20">
        <w:trPr>
          <w:trHeight w:val="983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bookmarkStart w:id="1" w:name="_Hlk22569315"/>
            <w:r w:rsidRPr="00A75815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widowControl/>
              <w:autoSpaceDE/>
              <w:autoSpaceDN/>
              <w:spacing w:after="120"/>
              <w:rPr>
                <w:color w:val="303130"/>
                <w:sz w:val="24"/>
                <w:szCs w:val="24"/>
              </w:rPr>
            </w:pPr>
            <w:r w:rsidRPr="00A75815">
              <w:rPr>
                <w:b/>
                <w:color w:val="303130"/>
                <w:sz w:val="24"/>
                <w:szCs w:val="24"/>
              </w:rPr>
              <w:t>Please complete</w:t>
            </w:r>
            <w:r>
              <w:rPr>
                <w:b/>
                <w:color w:val="303130"/>
                <w:sz w:val="24"/>
                <w:szCs w:val="24"/>
              </w:rPr>
              <w:t xml:space="preserve"> </w:t>
            </w:r>
            <w:r w:rsidRPr="00A75815">
              <w:rPr>
                <w:b/>
                <w:color w:val="303130"/>
                <w:sz w:val="24"/>
                <w:szCs w:val="24"/>
              </w:rPr>
              <w:t>proposed delivery profile</w:t>
            </w:r>
            <w:r w:rsidRPr="00A75815">
              <w:rPr>
                <w:color w:val="303130"/>
                <w:sz w:val="24"/>
                <w:szCs w:val="24"/>
              </w:rPr>
              <w:t xml:space="preserve"> </w:t>
            </w:r>
          </w:p>
          <w:p w:rsidR="00094C20" w:rsidRDefault="00094C20" w:rsidP="00094C20">
            <w:pPr>
              <w:pStyle w:val="TableParagraph"/>
              <w:spacing w:line="259" w:lineRule="auto"/>
              <w:ind w:left="107" w:right="233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Appendix 1 helps you present how</w:t>
            </w:r>
            <w:r w:rsidRPr="00A75815">
              <w:rPr>
                <w:color w:val="303130"/>
                <w:sz w:val="24"/>
                <w:szCs w:val="24"/>
              </w:rPr>
              <w:t xml:space="preserve"> your proposed project will meet required outputs</w:t>
            </w:r>
            <w:r>
              <w:rPr>
                <w:color w:val="303130"/>
                <w:sz w:val="24"/>
                <w:szCs w:val="24"/>
              </w:rPr>
              <w:t xml:space="preserve"> and </w:t>
            </w:r>
            <w:r w:rsidRPr="00A75815">
              <w:rPr>
                <w:color w:val="303130"/>
                <w:sz w:val="24"/>
                <w:szCs w:val="24"/>
              </w:rPr>
              <w:t>outcomes</w:t>
            </w:r>
            <w:r>
              <w:rPr>
                <w:color w:val="303130"/>
                <w:sz w:val="24"/>
                <w:szCs w:val="24"/>
              </w:rPr>
              <w:t xml:space="preserve"> which are matched to funding values</w:t>
            </w:r>
            <w:r w:rsidRPr="00A75815">
              <w:rPr>
                <w:color w:val="303130"/>
                <w:sz w:val="24"/>
                <w:szCs w:val="24"/>
              </w:rPr>
              <w:t xml:space="preserve"> (maximum funding available £</w:t>
            </w:r>
            <w:r>
              <w:rPr>
                <w:color w:val="303130"/>
                <w:sz w:val="24"/>
                <w:szCs w:val="24"/>
              </w:rPr>
              <w:t>393</w:t>
            </w:r>
            <w:r w:rsidRPr="00A75815">
              <w:rPr>
                <w:color w:val="303130"/>
                <w:sz w:val="24"/>
                <w:szCs w:val="24"/>
              </w:rPr>
              <w:t>,</w:t>
            </w:r>
            <w:r>
              <w:rPr>
                <w:color w:val="303130"/>
                <w:sz w:val="24"/>
                <w:szCs w:val="24"/>
              </w:rPr>
              <w:t>2</w:t>
            </w:r>
            <w:r w:rsidRPr="00A75815">
              <w:rPr>
                <w:color w:val="303130"/>
                <w:sz w:val="24"/>
                <w:szCs w:val="24"/>
              </w:rPr>
              <w:t>00)</w:t>
            </w:r>
            <w:r>
              <w:rPr>
                <w:color w:val="303130"/>
                <w:sz w:val="24"/>
                <w:szCs w:val="24"/>
              </w:rPr>
              <w:t>.</w:t>
            </w:r>
            <w:r w:rsidRPr="00A75815">
              <w:rPr>
                <w:color w:val="303130"/>
                <w:sz w:val="24"/>
                <w:szCs w:val="24"/>
              </w:rPr>
              <w:t xml:space="preserve"> Please complete and upload a delivery </w:t>
            </w:r>
            <w:r>
              <w:rPr>
                <w:color w:val="303130"/>
                <w:sz w:val="24"/>
                <w:szCs w:val="24"/>
              </w:rPr>
              <w:t>p</w:t>
            </w:r>
            <w:r w:rsidRPr="00A75815">
              <w:rPr>
                <w:color w:val="303130"/>
                <w:sz w:val="24"/>
                <w:szCs w:val="24"/>
              </w:rPr>
              <w:t>rofile spreadsheet</w:t>
            </w:r>
            <w:r>
              <w:rPr>
                <w:color w:val="303130"/>
                <w:sz w:val="24"/>
                <w:szCs w:val="24"/>
              </w:rPr>
              <w:t>, alongside this narrative,</w:t>
            </w:r>
            <w:r w:rsidRPr="00A75815">
              <w:rPr>
                <w:color w:val="303130"/>
                <w:sz w:val="24"/>
                <w:szCs w:val="24"/>
              </w:rPr>
              <w:t xml:space="preserve"> indicating propose</w:t>
            </w:r>
            <w:r>
              <w:rPr>
                <w:color w:val="303130"/>
                <w:sz w:val="24"/>
                <w:szCs w:val="24"/>
              </w:rPr>
              <w:t>d</w:t>
            </w:r>
            <w:r w:rsidRPr="00A75815">
              <w:rPr>
                <w:color w:val="303130"/>
                <w:sz w:val="24"/>
                <w:szCs w:val="24"/>
              </w:rPr>
              <w:t xml:space="preserve"> starts and sustained outcomes over </w:t>
            </w:r>
            <w:r>
              <w:rPr>
                <w:color w:val="303130"/>
                <w:sz w:val="24"/>
                <w:szCs w:val="24"/>
              </w:rPr>
              <w:t>a three</w:t>
            </w:r>
            <w:r w:rsidRPr="00A75815">
              <w:rPr>
                <w:color w:val="303130"/>
                <w:sz w:val="24"/>
                <w:szCs w:val="24"/>
              </w:rPr>
              <w:t>-year period.</w:t>
            </w:r>
            <w:r w:rsidRPr="00A75815" w:rsidDel="006971D0">
              <w:rPr>
                <w:color w:val="303130"/>
                <w:sz w:val="24"/>
                <w:szCs w:val="24"/>
              </w:rPr>
              <w:t xml:space="preserve"> </w:t>
            </w:r>
          </w:p>
          <w:p w:rsidR="00094C20" w:rsidRDefault="00094C20" w:rsidP="00094C20">
            <w:pPr>
              <w:pStyle w:val="TableParagraph"/>
              <w:spacing w:line="259" w:lineRule="auto"/>
              <w:ind w:left="107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minimum</w:t>
            </w:r>
            <w:r w:rsidRPr="00A75815">
              <w:rPr>
                <w:sz w:val="24"/>
                <w:szCs w:val="24"/>
              </w:rPr>
              <w:t>, applicants will need to</w:t>
            </w:r>
            <w:r>
              <w:rPr>
                <w:sz w:val="24"/>
                <w:szCs w:val="24"/>
              </w:rPr>
              <w:t>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4"/>
              </w:numPr>
              <w:spacing w:before="120"/>
              <w:ind w:left="850" w:hanging="35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Creat</w:t>
            </w:r>
            <w:r>
              <w:rPr>
                <w:sz w:val="24"/>
                <w:szCs w:val="24"/>
              </w:rPr>
              <w:t>e</w:t>
            </w:r>
            <w:r w:rsidRPr="00A75815">
              <w:rPr>
                <w:sz w:val="24"/>
                <w:szCs w:val="24"/>
              </w:rPr>
              <w:t xml:space="preserve"> a minimum of 3</w:t>
            </w:r>
            <w:r>
              <w:rPr>
                <w:sz w:val="24"/>
                <w:szCs w:val="24"/>
              </w:rPr>
              <w:t>57</w:t>
            </w:r>
            <w:r w:rsidRPr="00A75815">
              <w:rPr>
                <w:sz w:val="24"/>
                <w:szCs w:val="24"/>
              </w:rPr>
              <w:t xml:space="preserve"> apprenticeships starts (per project) deriving from recruitment, internal workforce or apprenticeship transfer. The funding per start will be equivalent to £</w:t>
            </w:r>
            <w:r>
              <w:rPr>
                <w:sz w:val="24"/>
                <w:szCs w:val="24"/>
              </w:rPr>
              <w:t>8</w:t>
            </w:r>
            <w:r w:rsidRPr="00A7581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</w:t>
            </w:r>
            <w:r w:rsidRPr="00A758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Please see the payment profile in Appendix 1 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Ensure that at least 75% (2</w:t>
            </w:r>
            <w:r>
              <w:rPr>
                <w:sz w:val="24"/>
                <w:szCs w:val="24"/>
              </w:rPr>
              <w:t>68</w:t>
            </w:r>
            <w:r w:rsidRPr="00A75815">
              <w:rPr>
                <w:sz w:val="24"/>
                <w:szCs w:val="24"/>
              </w:rPr>
              <w:t>) of these apprenticeships are sustained for at least 52 weeks</w:t>
            </w:r>
            <w:r>
              <w:rPr>
                <w:sz w:val="24"/>
                <w:szCs w:val="24"/>
              </w:rPr>
              <w:t xml:space="preserve"> from contract start date</w:t>
            </w:r>
            <w:r w:rsidRPr="00A7581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Each sustained apprenticeship will be funded £400. The GLA </w:t>
            </w:r>
            <w:r w:rsidRPr="00466031">
              <w:rPr>
                <w:sz w:val="24"/>
                <w:szCs w:val="24"/>
              </w:rPr>
              <w:t>would consider less than 75% on an exceptional basis where an organisation can make a strong case that the target groups or sector will make 75% very challenging.</w:t>
            </w:r>
            <w:r>
              <w:rPr>
                <w:sz w:val="24"/>
                <w:szCs w:val="24"/>
              </w:rPr>
              <w:t xml:space="preserve"> Please see the payment profile in Appendix 1 for more details on calculations.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Increase the number of businesses accessing funding to support apprenticeships, including both levy and supply chain, and non-levy paying businesses.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Increase the amount of levy contributions spent by engaged levy-paying businesses.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Specify what sector(s) your project is in relation to 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4"/>
              </w:numPr>
              <w:spacing w:before="4"/>
              <w:ind w:left="8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75815">
              <w:rPr>
                <w:sz w:val="24"/>
                <w:szCs w:val="24"/>
              </w:rPr>
              <w:t xml:space="preserve">hare </w:t>
            </w:r>
            <w:r>
              <w:rPr>
                <w:sz w:val="24"/>
                <w:szCs w:val="24"/>
              </w:rPr>
              <w:t xml:space="preserve">good </w:t>
            </w:r>
            <w:r w:rsidRPr="00A75815">
              <w:rPr>
                <w:sz w:val="24"/>
                <w:szCs w:val="24"/>
              </w:rPr>
              <w:t>practice to help inform future Mayoral apprenticeships policy by working with the GLA and partners as required.</w:t>
            </w:r>
          </w:p>
          <w:p w:rsidR="00094C20" w:rsidRDefault="00094C20" w:rsidP="00094C20">
            <w:pPr>
              <w:pStyle w:val="TableParagraph"/>
              <w:spacing w:before="120" w:line="259" w:lineRule="auto"/>
              <w:ind w:left="108" w:right="232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 xml:space="preserve">The GLA will </w:t>
            </w:r>
            <w:r>
              <w:rPr>
                <w:color w:val="303130"/>
                <w:sz w:val="24"/>
                <w:szCs w:val="24"/>
              </w:rPr>
              <w:t>pay project set up fees equating to a maximum of 20% of project value. The GLA will decide on rates on a case-by-case basis in accordance with projects’ needs. This will be recouped against year 1 starts (values adjusted see Appendix 1).</w:t>
            </w:r>
            <w:r w:rsidRPr="00A75815">
              <w:rPr>
                <w:color w:val="303130"/>
                <w:sz w:val="24"/>
                <w:szCs w:val="24"/>
              </w:rPr>
              <w:t xml:space="preserve"> </w:t>
            </w:r>
          </w:p>
          <w:p w:rsidR="00094C20" w:rsidRPr="00A75815" w:rsidRDefault="00094C20" w:rsidP="00094C20">
            <w:pPr>
              <w:pStyle w:val="TableParagraph"/>
              <w:spacing w:line="259" w:lineRule="auto"/>
              <w:ind w:left="107" w:right="233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Applicants will need to profile o</w:t>
            </w:r>
            <w:r w:rsidRPr="00A75815">
              <w:rPr>
                <w:color w:val="303130"/>
                <w:sz w:val="24"/>
                <w:szCs w:val="24"/>
              </w:rPr>
              <w:t>utputs and outcomes</w:t>
            </w:r>
            <w:r>
              <w:rPr>
                <w:color w:val="303130"/>
                <w:sz w:val="24"/>
                <w:szCs w:val="24"/>
              </w:rPr>
              <w:t xml:space="preserve"> and payments accurately. The application pack includes a payment profile (Appendix 1) </w:t>
            </w:r>
          </w:p>
          <w:p w:rsidR="00094C20" w:rsidRPr="00A75815" w:rsidRDefault="00094C20" w:rsidP="00094C20">
            <w:pPr>
              <w:pStyle w:val="TableParagraph"/>
              <w:spacing w:line="259" w:lineRule="auto"/>
              <w:ind w:left="107" w:right="233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All starts must be profiled for completion by end of 202</w:t>
            </w:r>
            <w:r>
              <w:rPr>
                <w:color w:val="303130"/>
                <w:sz w:val="24"/>
                <w:szCs w:val="24"/>
              </w:rPr>
              <w:t xml:space="preserve">1 </w:t>
            </w:r>
            <w:r w:rsidRPr="00A75815">
              <w:rPr>
                <w:color w:val="303130"/>
                <w:sz w:val="24"/>
                <w:szCs w:val="24"/>
              </w:rPr>
              <w:t xml:space="preserve">to allow </w:t>
            </w:r>
            <w:r w:rsidRPr="00A75815">
              <w:rPr>
                <w:color w:val="303130"/>
                <w:sz w:val="24"/>
                <w:szCs w:val="24"/>
              </w:rPr>
              <w:lastRenderedPageBreak/>
              <w:t>for 52 weeks sustained outcomes</w:t>
            </w:r>
            <w:r>
              <w:rPr>
                <w:color w:val="303130"/>
                <w:sz w:val="24"/>
                <w:szCs w:val="24"/>
              </w:rPr>
              <w:t xml:space="preserve"> (benchmarked from employment start date)</w:t>
            </w:r>
            <w:r w:rsidRPr="00A75815">
              <w:rPr>
                <w:color w:val="303130"/>
                <w:sz w:val="24"/>
                <w:szCs w:val="24"/>
              </w:rPr>
              <w:t xml:space="preserve"> </w:t>
            </w:r>
            <w:r>
              <w:rPr>
                <w:color w:val="303130"/>
                <w:sz w:val="24"/>
                <w:szCs w:val="24"/>
              </w:rPr>
              <w:t>to be recorded by the end of this programme.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bookmarkEnd w:id="1"/>
      <w:tr w:rsidR="00094C20" w:rsidRPr="00A75815" w:rsidTr="00094C20">
        <w:trPr>
          <w:trHeight w:val="7577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spacing w:after="120"/>
              <w:ind w:right="147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Please describe your project management approach, including governance, to ensure targets are met and the quality of provision is consistently high.</w:t>
            </w:r>
          </w:p>
          <w:p w:rsidR="00094C20" w:rsidRPr="00A75815" w:rsidRDefault="00094C20" w:rsidP="00094C20">
            <w:pPr>
              <w:pStyle w:val="TableParagraph"/>
              <w:spacing w:before="14"/>
              <w:ind w:right="14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Your response might include, but not be limited to, providing details of: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7"/>
              </w:numPr>
              <w:spacing w:before="220" w:line="245" w:lineRule="auto"/>
              <w:ind w:left="714" w:right="658" w:hanging="35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 xml:space="preserve">a planned delivery timeline 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7"/>
              </w:numPr>
              <w:spacing w:before="14"/>
              <w:ind w:right="14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how you will monitor progress and what actions you will take to correct any potential shortfalls during the course of the contract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7"/>
              </w:numPr>
              <w:spacing w:before="14"/>
              <w:ind w:right="14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how you will identify key delivery risks and the steps you will take to mitigate those risks during the course of the contract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7"/>
              </w:numPr>
              <w:spacing w:before="14"/>
              <w:ind w:right="14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how you will capture and use feedback and course evaluation to drive continual improvement</w:t>
            </w:r>
          </w:p>
          <w:p w:rsidR="00094C20" w:rsidRPr="00A75815" w:rsidRDefault="00094C20" w:rsidP="00094C20">
            <w:pPr>
              <w:pStyle w:val="TableParagraph"/>
              <w:spacing w:before="120"/>
              <w:ind w:right="14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To meet minimum requirements, applicants will need to demonstrate the following: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6"/>
              </w:numPr>
              <w:spacing w:before="220" w:line="245" w:lineRule="auto"/>
              <w:ind w:left="714" w:right="658" w:hanging="35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robust operational delivery planning detailing how the contractual targets and delivery profile will be generated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6"/>
              </w:numPr>
              <w:spacing w:before="14"/>
              <w:ind w:right="14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clear and effective processes in place to track performance against the delivery plan and to ensure early identification of issues, and to implement actions to address shortfalls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6"/>
              </w:numPr>
              <w:spacing w:before="14"/>
              <w:ind w:right="14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clear and effective risk management processes in place, including steps for review, escalation and mitigation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6"/>
              </w:numPr>
              <w:spacing w:before="14"/>
              <w:ind w:right="147"/>
              <w:rPr>
                <w:sz w:val="24"/>
                <w:szCs w:val="24"/>
              </w:rPr>
            </w:pPr>
            <w:r w:rsidRPr="00484B09">
              <w:rPr>
                <w:sz w:val="24"/>
                <w:szCs w:val="24"/>
              </w:rPr>
              <w:t>processes in place to use feedback and reflective practice to improve provision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70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</w:t>
            </w:r>
            <w:r w:rsidRPr="00A75815">
              <w:rPr>
                <w:b/>
                <w:sz w:val="24"/>
                <w:szCs w:val="24"/>
              </w:rPr>
              <w:t>00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  <w:tr w:rsidR="00094C20" w:rsidRPr="00A75815" w:rsidTr="00094C20">
        <w:trPr>
          <w:trHeight w:val="1550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spacing w:after="120" w:line="262" w:lineRule="auto"/>
              <w:ind w:left="108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color w:val="303130"/>
                <w:sz w:val="24"/>
                <w:szCs w:val="24"/>
              </w:rPr>
              <w:t>Please demonstrate how you will resource the proposed delivery of your projects.</w:t>
            </w:r>
          </w:p>
          <w:p w:rsidR="00094C20" w:rsidRPr="00A75815" w:rsidRDefault="00094C20" w:rsidP="00094C20">
            <w:pPr>
              <w:pStyle w:val="TableParagraph"/>
              <w:spacing w:line="261" w:lineRule="auto"/>
              <w:ind w:left="107" w:right="690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Your response might include, but not be limited to, providing details of: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220" w:line="245" w:lineRule="auto"/>
              <w:ind w:left="714" w:right="658" w:hanging="357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key project staff</w:t>
            </w:r>
            <w:r>
              <w:rPr>
                <w:color w:val="303130"/>
                <w:sz w:val="24"/>
                <w:szCs w:val="24"/>
              </w:rPr>
              <w:t xml:space="preserve"> (including </w:t>
            </w:r>
            <w:r w:rsidRPr="00A75815">
              <w:rPr>
                <w:color w:val="303130"/>
                <w:sz w:val="24"/>
                <w:szCs w:val="24"/>
              </w:rPr>
              <w:t>employer engagement team</w:t>
            </w:r>
            <w:r>
              <w:rPr>
                <w:color w:val="303130"/>
                <w:sz w:val="24"/>
                <w:szCs w:val="24"/>
              </w:rPr>
              <w:t>)</w:t>
            </w:r>
            <w:r w:rsidRPr="00A75815">
              <w:rPr>
                <w:color w:val="303130"/>
                <w:sz w:val="24"/>
                <w:szCs w:val="24"/>
              </w:rPr>
              <w:t xml:space="preserve">, management structure and governance 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91" w:lineRule="exact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how you will manage project resources so that delivery is high quality and meets your target volumes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90" w:lineRule="exact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contingency arrangements in place in the event</w:t>
            </w:r>
            <w:r w:rsidRPr="00A75815">
              <w:rPr>
                <w:color w:val="303130"/>
                <w:spacing w:val="-13"/>
                <w:sz w:val="24"/>
                <w:szCs w:val="24"/>
              </w:rPr>
              <w:t xml:space="preserve"> </w:t>
            </w:r>
            <w:r w:rsidRPr="00A75815">
              <w:rPr>
                <w:color w:val="303130"/>
                <w:sz w:val="24"/>
                <w:szCs w:val="24"/>
              </w:rPr>
              <w:t>of</w:t>
            </w:r>
            <w:r>
              <w:rPr>
                <w:color w:val="303130"/>
                <w:sz w:val="24"/>
                <w:szCs w:val="24"/>
              </w:rPr>
              <w:t xml:space="preserve"> </w:t>
            </w:r>
            <w:r w:rsidRPr="00A75815">
              <w:rPr>
                <w:color w:val="303130"/>
                <w:sz w:val="24"/>
                <w:szCs w:val="24"/>
              </w:rPr>
              <w:t xml:space="preserve">reduced resources </w:t>
            </w:r>
          </w:p>
          <w:p w:rsidR="00094C20" w:rsidRDefault="00094C20" w:rsidP="00094C20">
            <w:pPr>
              <w:pStyle w:val="TableParagraph"/>
              <w:spacing w:before="120" w:line="262" w:lineRule="auto"/>
              <w:ind w:left="108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Please upload your project organogram to demonstrate the structure of your delivery resource.</w:t>
            </w:r>
          </w:p>
          <w:p w:rsidR="00094C20" w:rsidRPr="00A75815" w:rsidRDefault="00094C20" w:rsidP="00094C20">
            <w:pPr>
              <w:pStyle w:val="TableParagraph"/>
              <w:spacing w:before="1" w:line="261" w:lineRule="auto"/>
              <w:ind w:left="107" w:right="424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To meet minimum requirements, applicants will need to demonstrate the following: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220" w:line="245" w:lineRule="auto"/>
              <w:ind w:left="714" w:right="658" w:hanging="357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sufficient capacity to deliver the project to a</w:t>
            </w:r>
            <w:r w:rsidRPr="00A75815">
              <w:rPr>
                <w:color w:val="303130"/>
                <w:spacing w:val="-17"/>
                <w:sz w:val="24"/>
                <w:szCs w:val="24"/>
              </w:rPr>
              <w:t xml:space="preserve"> </w:t>
            </w:r>
            <w:r w:rsidRPr="00A75815">
              <w:rPr>
                <w:color w:val="303130"/>
                <w:sz w:val="24"/>
                <w:szCs w:val="24"/>
              </w:rPr>
              <w:t>high quality</w:t>
            </w:r>
          </w:p>
          <w:p w:rsidR="00094C20" w:rsidRPr="00160E13" w:rsidRDefault="00094C20" w:rsidP="00094C20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line="311" w:lineRule="exact"/>
              <w:rPr>
                <w:sz w:val="24"/>
                <w:szCs w:val="24"/>
              </w:rPr>
            </w:pPr>
            <w:r w:rsidRPr="00484B09">
              <w:rPr>
                <w:color w:val="303130"/>
                <w:sz w:val="24"/>
                <w:szCs w:val="24"/>
              </w:rPr>
              <w:t>robust resource management processes and</w:t>
            </w:r>
            <w:r w:rsidRPr="00484B09">
              <w:rPr>
                <w:color w:val="303130"/>
                <w:spacing w:val="-11"/>
                <w:sz w:val="24"/>
                <w:szCs w:val="24"/>
              </w:rPr>
              <w:t xml:space="preserve"> </w:t>
            </w:r>
            <w:r w:rsidRPr="00484B09">
              <w:rPr>
                <w:color w:val="303130"/>
                <w:sz w:val="24"/>
                <w:szCs w:val="24"/>
              </w:rPr>
              <w:t xml:space="preserve">clear </w:t>
            </w:r>
            <w:r w:rsidRPr="00484B09">
              <w:rPr>
                <w:color w:val="303130"/>
                <w:sz w:val="24"/>
                <w:szCs w:val="24"/>
              </w:rPr>
              <w:lastRenderedPageBreak/>
              <w:t>contingency arrangements in place in case of resources not being available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b/>
                <w:color w:val="303130"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4</w:t>
            </w:r>
            <w:r w:rsidRPr="00A75815">
              <w:rPr>
                <w:b/>
                <w:sz w:val="24"/>
                <w:szCs w:val="24"/>
              </w:rPr>
              <w:t>00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  <w:tr w:rsidR="00094C20" w:rsidRPr="00A75815" w:rsidTr="00094C20">
        <w:trPr>
          <w:trHeight w:val="424"/>
        </w:trPr>
        <w:tc>
          <w:tcPr>
            <w:tcW w:w="1139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Section 3</w:t>
            </w:r>
          </w:p>
        </w:tc>
        <w:tc>
          <w:tcPr>
            <w:tcW w:w="7371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line="259" w:lineRule="auto"/>
              <w:ind w:left="107" w:right="233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Quality</w:t>
            </w:r>
          </w:p>
        </w:tc>
        <w:tc>
          <w:tcPr>
            <w:tcW w:w="1276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DFC2C3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Scale</w:t>
            </w:r>
          </w:p>
        </w:tc>
      </w:tr>
      <w:tr w:rsidR="00094C20" w:rsidRPr="00A75815" w:rsidTr="00094C20">
        <w:trPr>
          <w:trHeight w:val="2918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spacing w:after="120" w:line="262" w:lineRule="auto"/>
              <w:ind w:left="108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color w:val="303130"/>
                <w:sz w:val="24"/>
                <w:szCs w:val="24"/>
              </w:rPr>
              <w:t>Please explain</w:t>
            </w:r>
            <w:r w:rsidRPr="00A75815">
              <w:rPr>
                <w:sz w:val="24"/>
                <w:szCs w:val="24"/>
              </w:rPr>
              <w:t xml:space="preserve"> </w:t>
            </w:r>
            <w:r w:rsidRPr="00A75815">
              <w:rPr>
                <w:b/>
                <w:sz w:val="24"/>
                <w:szCs w:val="24"/>
              </w:rPr>
              <w:t>your plan for sustaining your proposed project beyond the GLA funded period.</w:t>
            </w:r>
          </w:p>
          <w:p w:rsidR="00094C20" w:rsidRPr="00A75815" w:rsidRDefault="00094C20" w:rsidP="00094C20">
            <w:pPr>
              <w:pStyle w:val="TableParagraph"/>
              <w:spacing w:line="259" w:lineRule="auto"/>
              <w:ind w:left="107" w:right="765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Your response might include, but not be limited to, providing details of: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224" w:line="242" w:lineRule="auto"/>
              <w:ind w:right="18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evidence that activity will continue post GLA investment including how an applicant will prepare to become self-financing to remain committed to utilising apprenticeship funds. Please refer to 5.6</w:t>
            </w:r>
            <w:r w:rsidRPr="00A75815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200</w:t>
            </w:r>
            <w:r w:rsidRPr="00A75815">
              <w:rPr>
                <w:b/>
                <w:sz w:val="24"/>
                <w:szCs w:val="24"/>
              </w:rPr>
              <w:t xml:space="preserve">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  <w:tr w:rsidR="00094C20" w:rsidRPr="00A75815" w:rsidTr="00094C20">
        <w:trPr>
          <w:trHeight w:val="7610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3.2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spacing w:after="120" w:line="262" w:lineRule="auto"/>
              <w:ind w:left="108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color w:val="303130"/>
                <w:sz w:val="24"/>
                <w:szCs w:val="24"/>
              </w:rPr>
              <w:t>Please explain</w:t>
            </w:r>
            <w:r w:rsidRPr="00A75815">
              <w:rPr>
                <w:sz w:val="24"/>
                <w:szCs w:val="24"/>
              </w:rPr>
              <w:t xml:space="preserve"> </w:t>
            </w:r>
            <w:r w:rsidRPr="00A75815">
              <w:rPr>
                <w:b/>
                <w:sz w:val="24"/>
                <w:szCs w:val="24"/>
              </w:rPr>
              <w:t>how you would positively promote and support diversity in the apprenticeship take-up as a result of the project.</w:t>
            </w:r>
          </w:p>
          <w:p w:rsidR="00094C20" w:rsidRDefault="00094C20" w:rsidP="00094C20">
            <w:pPr>
              <w:pStyle w:val="TableParagraph"/>
              <w:spacing w:line="259" w:lineRule="auto"/>
              <w:ind w:left="107" w:right="765"/>
              <w:rPr>
                <w:color w:val="303130"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Your response might include, but not be limited to, providing details of: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0"/>
              </w:numPr>
              <w:spacing w:before="240" w:line="254" w:lineRule="auto"/>
              <w:ind w:left="714" w:right="130" w:hanging="35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how you will ensure your policies are widely available and communicated clearly to key stakeholders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0"/>
              </w:numPr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how you will ensure your policies and practices are reviewed and assessed for effectiveness at appropriate intervals, and specify who will hold responsibility for doing so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0"/>
              </w:numPr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how you will investigate and address all complaints of discrimination, harassment and victimisation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10"/>
              </w:numPr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how you will assess the impact of your activities on advancing the equality of opportunity for groups named in the Equality Act 2010 or equivalent legislation</w:t>
            </w:r>
          </w:p>
          <w:p w:rsidR="00094C20" w:rsidRDefault="00094C20" w:rsidP="00094C20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To meet minimum requirements, applicants will need to demonstrate the following: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1"/>
              </w:numPr>
              <w:spacing w:before="240" w:line="254" w:lineRule="auto"/>
              <w:ind w:left="714" w:right="130" w:hanging="35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appropriate diversity and equality policies in place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1"/>
              </w:numPr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processes in place to communicate policies and practices to employers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1"/>
              </w:numPr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processes in place to evidence and review the effectiveness of policies and practices</w:t>
            </w:r>
          </w:p>
          <w:p w:rsidR="00094C20" w:rsidRPr="00A75815" w:rsidDel="00A113B5" w:rsidRDefault="00094C20" w:rsidP="00094C20">
            <w:pPr>
              <w:pStyle w:val="TableParagraph"/>
              <w:numPr>
                <w:ilvl w:val="0"/>
                <w:numId w:val="11"/>
              </w:numPr>
              <w:spacing w:before="4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plan to address equality and diversity Project outcomes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250</w:t>
            </w:r>
            <w:r w:rsidRPr="00A75815">
              <w:rPr>
                <w:b/>
                <w:sz w:val="24"/>
                <w:szCs w:val="24"/>
              </w:rPr>
              <w:t xml:space="preserve">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  <w:tr w:rsidR="00094C20" w:rsidRPr="00A75815" w:rsidTr="00094C20">
        <w:trPr>
          <w:trHeight w:val="274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3.3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spacing w:after="120" w:line="262" w:lineRule="auto"/>
              <w:ind w:left="108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color w:val="303130"/>
                <w:sz w:val="24"/>
                <w:szCs w:val="24"/>
              </w:rPr>
              <w:t xml:space="preserve">Please explain the processes your organisation will use to report and evidence your management information and </w:t>
            </w:r>
            <w:r w:rsidRPr="00A75815">
              <w:rPr>
                <w:b/>
                <w:color w:val="303130"/>
                <w:sz w:val="24"/>
                <w:szCs w:val="24"/>
              </w:rPr>
              <w:lastRenderedPageBreak/>
              <w:t>ensure audit compliance.</w:t>
            </w:r>
          </w:p>
          <w:p w:rsidR="00094C20" w:rsidRPr="00A75815" w:rsidRDefault="00094C20" w:rsidP="00094C20">
            <w:pPr>
              <w:pStyle w:val="TableParagraph"/>
              <w:spacing w:line="261" w:lineRule="auto"/>
              <w:ind w:left="110" w:right="637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Your response might include, but not be limited to, providing details of: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240" w:line="254" w:lineRule="auto"/>
              <w:ind w:left="714" w:right="130" w:hanging="357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the process to monitor outputs and outcomes and report to the GLA</w:t>
            </w:r>
          </w:p>
          <w:p w:rsidR="00094C20" w:rsidRPr="006565FD" w:rsidRDefault="00094C20" w:rsidP="00094C20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300" w:lineRule="exact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the processes and controls you will have in place</w:t>
            </w:r>
            <w:r w:rsidRPr="00A75815">
              <w:rPr>
                <w:color w:val="303130"/>
                <w:spacing w:val="-14"/>
                <w:sz w:val="24"/>
                <w:szCs w:val="24"/>
              </w:rPr>
              <w:t xml:space="preserve"> </w:t>
            </w:r>
            <w:r w:rsidRPr="00A75815">
              <w:rPr>
                <w:color w:val="303130"/>
                <w:sz w:val="24"/>
                <w:szCs w:val="24"/>
              </w:rPr>
              <w:t>to</w:t>
            </w:r>
            <w:r>
              <w:rPr>
                <w:color w:val="303130"/>
                <w:sz w:val="24"/>
                <w:szCs w:val="24"/>
              </w:rPr>
              <w:t xml:space="preserve"> </w:t>
            </w:r>
            <w:r w:rsidRPr="006565FD">
              <w:rPr>
                <w:color w:val="303130"/>
                <w:sz w:val="24"/>
                <w:szCs w:val="24"/>
              </w:rPr>
              <w:t xml:space="preserve">ensure participants are London residents </w:t>
            </w:r>
          </w:p>
          <w:p w:rsidR="00094C20" w:rsidRPr="00507BC1" w:rsidRDefault="00094C20" w:rsidP="00094C20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35" w:line="300" w:lineRule="exact"/>
              <w:ind w:right="680"/>
              <w:rPr>
                <w:sz w:val="24"/>
                <w:szCs w:val="24"/>
              </w:rPr>
            </w:pPr>
            <w:r w:rsidRPr="00507BC1">
              <w:rPr>
                <w:color w:val="303130"/>
                <w:sz w:val="24"/>
                <w:szCs w:val="24"/>
              </w:rPr>
              <w:t>a clear methodology for collecting and</w:t>
            </w:r>
            <w:r w:rsidRPr="00507BC1">
              <w:rPr>
                <w:color w:val="303130"/>
                <w:spacing w:val="-16"/>
                <w:sz w:val="24"/>
                <w:szCs w:val="24"/>
              </w:rPr>
              <w:t xml:space="preserve"> </w:t>
            </w:r>
            <w:r w:rsidRPr="00507BC1">
              <w:rPr>
                <w:color w:val="303130"/>
                <w:sz w:val="24"/>
                <w:szCs w:val="24"/>
              </w:rPr>
              <w:t>retaining required evidence of contracted starts and retention at sector and geographical location</w:t>
            </w:r>
          </w:p>
          <w:p w:rsidR="00094C20" w:rsidRDefault="00094C20" w:rsidP="00094C20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300" w:lineRule="exact"/>
              <w:ind w:right="241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the internal assurance process you have in place</w:t>
            </w:r>
            <w:r w:rsidRPr="00A75815">
              <w:rPr>
                <w:color w:val="303130"/>
                <w:spacing w:val="-19"/>
                <w:sz w:val="24"/>
                <w:szCs w:val="24"/>
              </w:rPr>
              <w:t xml:space="preserve"> </w:t>
            </w:r>
            <w:r w:rsidRPr="00A75815">
              <w:rPr>
                <w:color w:val="303130"/>
                <w:sz w:val="24"/>
                <w:szCs w:val="24"/>
              </w:rPr>
              <w:t>to ensure your compliance with GLA requirements</w:t>
            </w:r>
          </w:p>
          <w:p w:rsidR="00094C20" w:rsidRPr="00A75815" w:rsidRDefault="00094C20" w:rsidP="00094C20">
            <w:pPr>
              <w:pStyle w:val="TableParagraph"/>
              <w:spacing w:before="14" w:line="261" w:lineRule="auto"/>
              <w:ind w:left="107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To meet minimum requirements, applicants will need to demonstrate the following: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before="224" w:line="254" w:lineRule="auto"/>
              <w:ind w:right="218"/>
              <w:jc w:val="both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appropriate software, robust processes and suitably skilled staff in place for all organisations engaged in monitoring outputs and outcomes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300" w:lineRule="exact"/>
              <w:rPr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a robust methodology for monitoring new recruits and existing workforce which reflect diversity, London residence and apprenticeship occupational sector</w:t>
            </w:r>
          </w:p>
          <w:p w:rsidR="00094C20" w:rsidRPr="00A75815" w:rsidRDefault="00094C20" w:rsidP="00094C20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91" w:lineRule="exact"/>
              <w:rPr>
                <w:b/>
                <w:sz w:val="24"/>
                <w:szCs w:val="24"/>
              </w:rPr>
            </w:pPr>
            <w:r w:rsidRPr="00A75815">
              <w:rPr>
                <w:color w:val="303130"/>
                <w:sz w:val="24"/>
                <w:szCs w:val="24"/>
              </w:rPr>
              <w:t>internal audit processes to meet GLA requirements</w:t>
            </w:r>
          </w:p>
          <w:p w:rsidR="00094C20" w:rsidRPr="00A75815" w:rsidRDefault="00094C20" w:rsidP="00094C20">
            <w:pPr>
              <w:pStyle w:val="TableParagraph"/>
              <w:tabs>
                <w:tab w:val="left" w:pos="392"/>
              </w:tabs>
              <w:spacing w:line="291" w:lineRule="exact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250</w:t>
            </w:r>
            <w:r w:rsidRPr="00A75815">
              <w:rPr>
                <w:b/>
                <w:sz w:val="24"/>
                <w:szCs w:val="24"/>
              </w:rPr>
              <w:t xml:space="preserve">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75815">
              <w:rPr>
                <w:sz w:val="24"/>
                <w:szCs w:val="24"/>
              </w:rPr>
              <w:t>3.4</w:t>
            </w:r>
          </w:p>
        </w:tc>
        <w:tc>
          <w:tcPr>
            <w:tcW w:w="7371" w:type="dxa"/>
          </w:tcPr>
          <w:p w:rsidR="00094C20" w:rsidRDefault="00094C20" w:rsidP="00094C20">
            <w:pPr>
              <w:pStyle w:val="TableParagraph"/>
              <w:spacing w:after="120" w:line="262" w:lineRule="auto"/>
              <w:ind w:left="108" w:right="425"/>
              <w:rPr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Please explain how you will capture and share good practice and lessons learned from the delivery of your proposed project.</w:t>
            </w:r>
          </w:p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GLA</w:t>
            </w:r>
            <w:r w:rsidRPr="00A75815">
              <w:rPr>
                <w:sz w:val="24"/>
                <w:szCs w:val="24"/>
              </w:rPr>
              <w:t xml:space="preserve"> welcome</w:t>
            </w:r>
            <w:r>
              <w:rPr>
                <w:sz w:val="24"/>
                <w:szCs w:val="24"/>
              </w:rPr>
              <w:t>s</w:t>
            </w:r>
            <w:r w:rsidRPr="00A75815">
              <w:rPr>
                <w:sz w:val="24"/>
                <w:szCs w:val="24"/>
              </w:rPr>
              <w:t xml:space="preserve"> innovative ways of reflecting and sharing lessons learnt which may contribute to better awareness of good practice in your sector(s), thus leading to increase</w:t>
            </w:r>
            <w:r>
              <w:rPr>
                <w:sz w:val="24"/>
                <w:szCs w:val="24"/>
              </w:rPr>
              <w:t>d</w:t>
            </w:r>
            <w:r w:rsidRPr="00A75815">
              <w:rPr>
                <w:sz w:val="24"/>
                <w:szCs w:val="24"/>
              </w:rPr>
              <w:t xml:space="preserve"> take up of apprentices.</w:t>
            </w:r>
          </w:p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rStyle w:val="CommentReference"/>
                <w:szCs w:val="16"/>
                <w:lang w:val="en-GB"/>
              </w:rPr>
            </w:pPr>
            <w:r w:rsidRPr="00A7581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  <w:r>
              <w:rPr>
                <w:color w:val="303130"/>
                <w:sz w:val="24"/>
                <w:szCs w:val="24"/>
              </w:rPr>
              <w:t>1-5</w:t>
            </w:r>
          </w:p>
        </w:tc>
      </w:tr>
      <w:tr w:rsidR="00094C20" w:rsidRPr="00A75815" w:rsidTr="00094C20">
        <w:trPr>
          <w:trHeight w:val="265"/>
        </w:trPr>
        <w:tc>
          <w:tcPr>
            <w:tcW w:w="1139" w:type="dxa"/>
          </w:tcPr>
          <w:p w:rsidR="00094C20" w:rsidRPr="00A75815" w:rsidRDefault="00094C20" w:rsidP="00094C2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094C20" w:rsidRPr="00A75815" w:rsidRDefault="00094C20" w:rsidP="00094C20">
            <w:pPr>
              <w:pStyle w:val="TableParagraph"/>
              <w:spacing w:before="14" w:line="261" w:lineRule="auto"/>
              <w:ind w:left="107" w:right="425"/>
              <w:rPr>
                <w:b/>
                <w:sz w:val="24"/>
                <w:szCs w:val="24"/>
              </w:rPr>
            </w:pPr>
            <w:r w:rsidRPr="00A7581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300</w:t>
            </w:r>
            <w:r w:rsidRPr="00A75815">
              <w:rPr>
                <w:b/>
                <w:sz w:val="24"/>
                <w:szCs w:val="24"/>
              </w:rPr>
              <w:t xml:space="preserve"> words maximum)</w:t>
            </w:r>
          </w:p>
        </w:tc>
        <w:tc>
          <w:tcPr>
            <w:tcW w:w="1276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4C20" w:rsidRPr="00A75815" w:rsidRDefault="00094C20" w:rsidP="00094C20">
            <w:pPr>
              <w:pStyle w:val="TableParagraph"/>
              <w:spacing w:before="14"/>
              <w:ind w:left="106"/>
              <w:rPr>
                <w:color w:val="303130"/>
                <w:sz w:val="24"/>
                <w:szCs w:val="24"/>
              </w:rPr>
            </w:pPr>
          </w:p>
        </w:tc>
      </w:tr>
    </w:tbl>
    <w:p w:rsidR="00AF22A0" w:rsidRPr="00AF22A0" w:rsidRDefault="00AF22A0" w:rsidP="00AF22A0"/>
    <w:sectPr w:rsidR="00AF22A0" w:rsidRPr="00AF22A0" w:rsidSect="00094C20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8C0" w:rsidRDefault="002728C0" w:rsidP="00094C20">
      <w:r>
        <w:separator/>
      </w:r>
    </w:p>
  </w:endnote>
  <w:endnote w:type="continuationSeparator" w:id="0">
    <w:p w:rsidR="002728C0" w:rsidRDefault="002728C0" w:rsidP="0009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C20" w:rsidRDefault="00094C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8C0" w:rsidRDefault="002728C0" w:rsidP="00094C20">
      <w:r>
        <w:separator/>
      </w:r>
    </w:p>
  </w:footnote>
  <w:footnote w:type="continuationSeparator" w:id="0">
    <w:p w:rsidR="002728C0" w:rsidRDefault="002728C0" w:rsidP="0009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C20" w:rsidRDefault="00094C20">
    <w:pPr>
      <w:pStyle w:val="Header"/>
    </w:pPr>
    <w:r>
      <w:t>Apprenticeships for Londoners –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B2D"/>
    <w:multiLevelType w:val="hybridMultilevel"/>
    <w:tmpl w:val="8050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6F10"/>
    <w:multiLevelType w:val="hybridMultilevel"/>
    <w:tmpl w:val="ACA8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66E5"/>
    <w:multiLevelType w:val="hybridMultilevel"/>
    <w:tmpl w:val="6A30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B13F5"/>
    <w:multiLevelType w:val="hybridMultilevel"/>
    <w:tmpl w:val="8E28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57A9"/>
    <w:multiLevelType w:val="hybridMultilevel"/>
    <w:tmpl w:val="89EC953C"/>
    <w:lvl w:ilvl="0" w:tplc="08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 w15:restartNumberingAfterBreak="0">
    <w:nsid w:val="24E80921"/>
    <w:multiLevelType w:val="hybridMultilevel"/>
    <w:tmpl w:val="C94CF2D6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2DDB5C2F"/>
    <w:multiLevelType w:val="hybridMultilevel"/>
    <w:tmpl w:val="4E74477A"/>
    <w:lvl w:ilvl="0" w:tplc="08090003">
      <w:start w:val="1"/>
      <w:numFmt w:val="bullet"/>
      <w:lvlText w:val="o"/>
      <w:lvlJc w:val="left"/>
      <w:pPr>
        <w:ind w:left="82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2D852CC"/>
    <w:multiLevelType w:val="hybridMultilevel"/>
    <w:tmpl w:val="5C7A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34D3"/>
    <w:multiLevelType w:val="hybridMultilevel"/>
    <w:tmpl w:val="912CF0F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A843E95"/>
    <w:multiLevelType w:val="hybridMultilevel"/>
    <w:tmpl w:val="5C6C2BB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5FFF736A"/>
    <w:multiLevelType w:val="hybridMultilevel"/>
    <w:tmpl w:val="0492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44C21"/>
    <w:multiLevelType w:val="hybridMultilevel"/>
    <w:tmpl w:val="99CA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608F6"/>
    <w:multiLevelType w:val="hybridMultilevel"/>
    <w:tmpl w:val="F1BA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4C20"/>
    <w:rsid w:val="000136B9"/>
    <w:rsid w:val="00094C20"/>
    <w:rsid w:val="00160E13"/>
    <w:rsid w:val="002728C0"/>
    <w:rsid w:val="00280EA6"/>
    <w:rsid w:val="002E66FC"/>
    <w:rsid w:val="0035694F"/>
    <w:rsid w:val="00466031"/>
    <w:rsid w:val="0048478D"/>
    <w:rsid w:val="00484B09"/>
    <w:rsid w:val="00507BC1"/>
    <w:rsid w:val="006565FD"/>
    <w:rsid w:val="006971D0"/>
    <w:rsid w:val="006A7F8D"/>
    <w:rsid w:val="00A113B5"/>
    <w:rsid w:val="00A75815"/>
    <w:rsid w:val="00AC1FE6"/>
    <w:rsid w:val="00AF22A0"/>
    <w:rsid w:val="00BD1BB1"/>
    <w:rsid w:val="00D43831"/>
    <w:rsid w:val="00D86573"/>
    <w:rsid w:val="00E0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A4DE18-B70B-4ECB-B23D-AA28DFA0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4C20"/>
    <w:rPr>
      <w:rFonts w:ascii="Foundry Form Sans" w:hAnsi="Foundry Form Sans"/>
      <w:color w:val="31323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13231"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694F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094C20"/>
    <w:rPr>
      <w:color w:val="313231"/>
      <w:sz w:val="16"/>
    </w:rPr>
  </w:style>
  <w:style w:type="paragraph" w:styleId="ListParagraph">
    <w:name w:val="List Paragraph"/>
    <w:basedOn w:val="Normal"/>
    <w:uiPriority w:val="34"/>
    <w:qFormat/>
    <w:rsid w:val="00094C20"/>
    <w:pPr>
      <w:ind w:left="720"/>
      <w:contextualSpacing/>
    </w:pPr>
    <w:rPr>
      <w:rFonts w:ascii="Times New Roman" w:hAnsi="Times New Roman"/>
      <w:color w:val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94C20"/>
    <w:pPr>
      <w:widowControl w:val="0"/>
      <w:autoSpaceDE w:val="0"/>
      <w:autoSpaceDN w:val="0"/>
    </w:pPr>
    <w:rPr>
      <w:rFonts w:ascii="Arial" w:hAnsi="Arial" w:cs="Arial"/>
      <w:color w:val="auto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4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C20"/>
    <w:rPr>
      <w:rFonts w:ascii="Foundry Form Sans" w:hAnsi="Foundry Form Sans" w:cs="Times New Roman"/>
      <w:color w:val="31323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4C20"/>
    <w:rPr>
      <w:rFonts w:ascii="Foundry Form Sans" w:hAnsi="Foundry Form Sans" w:cs="Times New Roman"/>
      <w:color w:val="3132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0090-AD61-4255-A783-D0349419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 Dastghaib-Jackson</dc:creator>
  <cp:keywords/>
  <dc:description/>
  <cp:lastModifiedBy>Alice Lambert</cp:lastModifiedBy>
  <cp:revision>2</cp:revision>
  <dcterms:created xsi:type="dcterms:W3CDTF">2019-11-05T15:46:00Z</dcterms:created>
  <dcterms:modified xsi:type="dcterms:W3CDTF">2019-11-05T15:46:00Z</dcterms:modified>
</cp:coreProperties>
</file>