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9F2B5" w14:textId="77777777" w:rsidR="00732B42" w:rsidRDefault="00732B42"/>
    <w:tbl>
      <w:tblPr>
        <w:tblW w:w="10200" w:type="dxa"/>
        <w:tblInd w:w="108" w:type="dxa"/>
        <w:tblLook w:val="0000" w:firstRow="0" w:lastRow="0" w:firstColumn="0" w:lastColumn="0" w:noHBand="0" w:noVBand="0"/>
      </w:tblPr>
      <w:tblGrid>
        <w:gridCol w:w="10200"/>
      </w:tblGrid>
      <w:tr w:rsidR="00916BC4" w:rsidRPr="00866CB4" w14:paraId="47764D8B" w14:textId="77777777" w:rsidTr="00226075">
        <w:trPr>
          <w:cantSplit/>
          <w:trHeight w:val="570"/>
        </w:trPr>
        <w:tc>
          <w:tcPr>
            <w:tcW w:w="10200" w:type="dxa"/>
            <w:tcBorders>
              <w:bottom w:val="single" w:sz="4" w:space="0" w:color="auto"/>
            </w:tcBorders>
          </w:tcPr>
          <w:p w14:paraId="00513BF8" w14:textId="77777777" w:rsidR="00916BC4" w:rsidRPr="00866CB4" w:rsidRDefault="00FE4825">
            <w:pPr>
              <w:pStyle w:val="Header"/>
              <w:tabs>
                <w:tab w:val="clear" w:pos="4320"/>
                <w:tab w:val="clear" w:pos="8640"/>
              </w:tabs>
              <w:ind w:left="0" w:firstLine="0"/>
              <w:rPr>
                <w:rFonts w:ascii="Foundry Form Sans" w:hAnsi="Foundry Form Sans" w:cs="Arial"/>
                <w:szCs w:val="24"/>
              </w:rPr>
            </w:pPr>
            <w:r>
              <w:rPr>
                <w:rFonts w:ascii="Foundry Form Sans" w:hAnsi="Foundry Form Sans" w:cs="Arial"/>
                <w:noProof/>
                <w:szCs w:val="24"/>
                <w:lang w:eastAsia="en-GB"/>
              </w:rPr>
              <w:drawing>
                <wp:inline distT="0" distB="0" distL="0" distR="0" wp14:anchorId="133B7532" wp14:editId="3FAE1FC8">
                  <wp:extent cx="3599688" cy="19812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LondonAuthority_grey_rgb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99688" cy="198120"/>
                          </a:xfrm>
                          <a:prstGeom prst="rect">
                            <a:avLst/>
                          </a:prstGeom>
                        </pic:spPr>
                      </pic:pic>
                    </a:graphicData>
                  </a:graphic>
                </wp:inline>
              </w:drawing>
            </w:r>
          </w:p>
        </w:tc>
      </w:tr>
      <w:tr w:rsidR="00916BC4" w:rsidRPr="00866CB4" w14:paraId="5CBFE478" w14:textId="77777777" w:rsidTr="003945EF">
        <w:trPr>
          <w:cantSplit/>
        </w:trPr>
        <w:tc>
          <w:tcPr>
            <w:tcW w:w="10200" w:type="dxa"/>
            <w:tcBorders>
              <w:top w:val="single" w:sz="4" w:space="0" w:color="auto"/>
              <w:left w:val="single" w:sz="4" w:space="0" w:color="auto"/>
              <w:bottom w:val="single" w:sz="4" w:space="0" w:color="auto"/>
              <w:right w:val="single" w:sz="4" w:space="0" w:color="auto"/>
            </w:tcBorders>
            <w:shd w:val="clear" w:color="auto" w:fill="auto"/>
          </w:tcPr>
          <w:p w14:paraId="2089AD09" w14:textId="67627081" w:rsidR="00226075" w:rsidRPr="00866CB4" w:rsidRDefault="00916BC4" w:rsidP="00603715">
            <w:pPr>
              <w:pStyle w:val="Header"/>
              <w:tabs>
                <w:tab w:val="clear" w:pos="4320"/>
                <w:tab w:val="clear" w:pos="8640"/>
              </w:tabs>
              <w:spacing w:before="200" w:after="200"/>
              <w:ind w:left="0" w:firstLine="0"/>
              <w:rPr>
                <w:rFonts w:ascii="Foundry Form Sans" w:hAnsi="Foundry Form Sans" w:cs="Arial"/>
                <w:b/>
                <w:szCs w:val="24"/>
              </w:rPr>
            </w:pPr>
            <w:r w:rsidRPr="00866CB4">
              <w:rPr>
                <w:rFonts w:ascii="Foundry Form Sans" w:hAnsi="Foundry Form Sans" w:cs="Arial"/>
                <w:b/>
                <w:szCs w:val="24"/>
              </w:rPr>
              <w:t xml:space="preserve">REQUEST FOR </w:t>
            </w:r>
            <w:r w:rsidR="00054952">
              <w:rPr>
                <w:rFonts w:ascii="Foundry Form Sans" w:hAnsi="Foundry Form Sans" w:cs="Arial"/>
                <w:b/>
                <w:szCs w:val="24"/>
              </w:rPr>
              <w:t>DIRECTOR</w:t>
            </w:r>
            <w:r w:rsidRPr="00866CB4">
              <w:rPr>
                <w:rFonts w:ascii="Foundry Form Sans" w:hAnsi="Foundry Form Sans" w:cs="Arial"/>
                <w:b/>
                <w:szCs w:val="24"/>
              </w:rPr>
              <w:t xml:space="preserve"> DECISION – </w:t>
            </w:r>
            <w:r w:rsidR="0010434A">
              <w:rPr>
                <w:rFonts w:ascii="Foundry Form Sans" w:hAnsi="Foundry Form Sans" w:cs="Arial"/>
                <w:b/>
                <w:szCs w:val="24"/>
              </w:rPr>
              <w:t>D</w:t>
            </w:r>
            <w:r w:rsidRPr="00866CB4">
              <w:rPr>
                <w:rFonts w:ascii="Foundry Form Sans" w:hAnsi="Foundry Form Sans" w:cs="Arial"/>
                <w:b/>
                <w:szCs w:val="24"/>
              </w:rPr>
              <w:t>D</w:t>
            </w:r>
            <w:r w:rsidR="00643124">
              <w:rPr>
                <w:rFonts w:ascii="Foundry Form Sans" w:hAnsi="Foundry Form Sans" w:cs="Arial"/>
                <w:b/>
                <w:szCs w:val="24"/>
              </w:rPr>
              <w:t>2793</w:t>
            </w:r>
          </w:p>
        </w:tc>
      </w:tr>
      <w:tr w:rsidR="00561072" w:rsidRPr="00866CB4" w14:paraId="29C59CE3" w14:textId="77777777" w:rsidTr="00C01B51">
        <w:tblPrEx>
          <w:tblBorders>
            <w:top w:val="single" w:sz="4" w:space="0" w:color="auto"/>
            <w:left w:val="single" w:sz="4" w:space="0" w:color="auto"/>
            <w:bottom w:val="single" w:sz="4" w:space="0" w:color="auto"/>
            <w:right w:val="single" w:sz="4" w:space="0" w:color="auto"/>
          </w:tblBorders>
          <w:shd w:val="clear" w:color="auto" w:fill="DDD9C3"/>
        </w:tblPrEx>
        <w:trPr>
          <w:trHeight w:val="595"/>
        </w:trPr>
        <w:tc>
          <w:tcPr>
            <w:tcW w:w="10200" w:type="dxa"/>
            <w:shd w:val="clear" w:color="auto" w:fill="DBE5F1" w:themeFill="accent1" w:themeFillTint="33"/>
          </w:tcPr>
          <w:p w14:paraId="26F1EAB3" w14:textId="49614B62" w:rsidR="00561072" w:rsidRPr="00866CB4" w:rsidRDefault="00164C9D" w:rsidP="00603715">
            <w:pPr>
              <w:pStyle w:val="Header"/>
              <w:tabs>
                <w:tab w:val="clear" w:pos="4320"/>
                <w:tab w:val="clear" w:pos="8640"/>
              </w:tabs>
              <w:spacing w:before="200" w:after="200"/>
              <w:ind w:left="0" w:firstLine="0"/>
              <w:rPr>
                <w:rFonts w:ascii="Foundry Form Sans" w:hAnsi="Foundry Form Sans" w:cs="Arial"/>
                <w:b/>
                <w:bCs/>
                <w:szCs w:val="24"/>
              </w:rPr>
            </w:pPr>
            <w:r w:rsidRPr="00164C9D">
              <w:rPr>
                <w:rFonts w:ascii="Foundry Form Sans" w:hAnsi="Foundry Form Sans" w:cs="Arial"/>
                <w:b/>
                <w:bCs/>
                <w:szCs w:val="24"/>
              </w:rPr>
              <w:t>Royal Docks Public Realm &amp; Cultural Placemaking Programme 2026</w:t>
            </w:r>
            <w:r w:rsidR="00FC4709">
              <w:rPr>
                <w:rFonts w:ascii="Foundry Form Sans" w:hAnsi="Foundry Form Sans" w:cs="Arial"/>
                <w:b/>
                <w:bCs/>
                <w:szCs w:val="24"/>
              </w:rPr>
              <w:t>-</w:t>
            </w:r>
            <w:r w:rsidRPr="00164C9D">
              <w:rPr>
                <w:rFonts w:ascii="Foundry Form Sans" w:hAnsi="Foundry Form Sans" w:cs="Arial"/>
                <w:b/>
                <w:bCs/>
                <w:szCs w:val="24"/>
              </w:rPr>
              <w:t>29</w:t>
            </w:r>
          </w:p>
        </w:tc>
      </w:tr>
    </w:tbl>
    <w:p w14:paraId="1D206B5C" w14:textId="77777777" w:rsidR="00916BC4" w:rsidRDefault="00916BC4">
      <w:pPr>
        <w:rPr>
          <w:rFonts w:cs="Arial"/>
        </w:rPr>
      </w:pPr>
    </w:p>
    <w:tbl>
      <w:tblPr>
        <w:tblW w:w="10235" w:type="dxa"/>
        <w:tblInd w:w="108" w:type="dxa"/>
        <w:tblBorders>
          <w:top w:val="single" w:sz="4" w:space="0" w:color="auto"/>
          <w:left w:val="single" w:sz="4" w:space="0" w:color="auto"/>
          <w:bottom w:val="single" w:sz="4" w:space="0" w:color="auto"/>
          <w:right w:val="single" w:sz="4" w:space="0" w:color="auto"/>
        </w:tblBorders>
        <w:shd w:val="clear" w:color="auto" w:fill="DDD9C3"/>
        <w:tblLook w:val="0000" w:firstRow="0" w:lastRow="0" w:firstColumn="0" w:lastColumn="0" w:noHBand="0" w:noVBand="0"/>
      </w:tblPr>
      <w:tblGrid>
        <w:gridCol w:w="10235"/>
      </w:tblGrid>
      <w:tr w:rsidR="00FD24B0" w:rsidRPr="00866CB4" w14:paraId="7548C2FA" w14:textId="77777777" w:rsidTr="00487843">
        <w:trPr>
          <w:trHeight w:val="595"/>
        </w:trPr>
        <w:tc>
          <w:tcPr>
            <w:tcW w:w="10235" w:type="dxa"/>
            <w:shd w:val="clear" w:color="auto" w:fill="DBE5F1" w:themeFill="accent1" w:themeFillTint="33"/>
          </w:tcPr>
          <w:p w14:paraId="7CAC33B6" w14:textId="3495D6AE" w:rsidR="00FD24B0" w:rsidRPr="00866CB4" w:rsidRDefault="00FD24B0" w:rsidP="00487843">
            <w:pPr>
              <w:pStyle w:val="Header"/>
              <w:tabs>
                <w:tab w:val="clear" w:pos="4320"/>
                <w:tab w:val="clear" w:pos="8640"/>
              </w:tabs>
              <w:spacing w:before="200" w:after="200"/>
              <w:ind w:left="0" w:firstLine="0"/>
              <w:rPr>
                <w:rFonts w:ascii="Foundry Form Sans" w:hAnsi="Foundry Form Sans" w:cs="Arial"/>
                <w:b/>
                <w:bCs/>
                <w:szCs w:val="24"/>
              </w:rPr>
            </w:pPr>
            <w:r>
              <w:rPr>
                <w:rFonts w:ascii="Foundry Form Sans" w:hAnsi="Foundry Form Sans" w:cs="Arial"/>
                <w:b/>
                <w:bCs/>
                <w:szCs w:val="24"/>
              </w:rPr>
              <w:t>Programme</w:t>
            </w:r>
            <w:r w:rsidRPr="00866CB4">
              <w:rPr>
                <w:rFonts w:ascii="Foundry Form Sans" w:hAnsi="Foundry Form Sans" w:cs="Arial"/>
                <w:b/>
                <w:bCs/>
                <w:szCs w:val="24"/>
              </w:rPr>
              <w:t xml:space="preserve">: </w:t>
            </w:r>
            <w:r>
              <w:rPr>
                <w:rFonts w:ascii="Foundry Form Sans" w:hAnsi="Foundry Form Sans" w:cs="Arial"/>
                <w:b/>
                <w:bCs/>
                <w:szCs w:val="24"/>
              </w:rPr>
              <w:t>Building More Homes</w:t>
            </w:r>
          </w:p>
        </w:tc>
      </w:tr>
    </w:tbl>
    <w:p w14:paraId="4FFF9466" w14:textId="77777777" w:rsidR="00FD24B0" w:rsidRDefault="00FD24B0">
      <w:pPr>
        <w:rPr>
          <w:rFonts w:cs="Arial"/>
        </w:rPr>
      </w:pPr>
    </w:p>
    <w:tbl>
      <w:tblPr>
        <w:tblW w:w="10235"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35"/>
      </w:tblGrid>
      <w:tr w:rsidR="00916BC4" w:rsidRPr="00866CB4" w14:paraId="54FF9E90" w14:textId="77777777" w:rsidTr="00046895">
        <w:trPr>
          <w:trHeight w:val="1716"/>
        </w:trPr>
        <w:tc>
          <w:tcPr>
            <w:tcW w:w="10235" w:type="dxa"/>
          </w:tcPr>
          <w:p w14:paraId="7FC3796A" w14:textId="35156E17" w:rsidR="00916BC4" w:rsidRPr="00866CB4" w:rsidRDefault="00EA1F8B" w:rsidP="00603715">
            <w:pPr>
              <w:pStyle w:val="Header"/>
              <w:tabs>
                <w:tab w:val="clear" w:pos="4320"/>
                <w:tab w:val="clear" w:pos="8640"/>
              </w:tabs>
              <w:spacing w:before="120" w:after="120"/>
              <w:ind w:left="0" w:firstLine="0"/>
              <w:rPr>
                <w:rFonts w:ascii="Foundry Form Sans" w:hAnsi="Foundry Form Sans" w:cs="Arial"/>
                <w:b/>
                <w:bCs/>
                <w:szCs w:val="24"/>
              </w:rPr>
            </w:pPr>
            <w:r>
              <w:rPr>
                <w:rFonts w:ascii="Foundry Form Sans" w:hAnsi="Foundry Form Sans" w:cs="Arial"/>
                <w:b/>
                <w:bCs/>
                <w:szCs w:val="24"/>
              </w:rPr>
              <w:t>Executive summary</w:t>
            </w:r>
            <w:r w:rsidR="00916BC4" w:rsidRPr="00866CB4">
              <w:rPr>
                <w:rFonts w:ascii="Foundry Form Sans" w:hAnsi="Foundry Form Sans" w:cs="Arial"/>
                <w:b/>
                <w:bCs/>
                <w:szCs w:val="24"/>
              </w:rPr>
              <w:t xml:space="preserve">: </w:t>
            </w:r>
          </w:p>
          <w:p w14:paraId="07908CAA" w14:textId="206062A3" w:rsidR="00877C3C" w:rsidRDefault="00EE4554" w:rsidP="00205C46">
            <w:pPr>
              <w:pStyle w:val="Header"/>
              <w:tabs>
                <w:tab w:val="left" w:pos="720"/>
              </w:tabs>
              <w:spacing w:before="120" w:after="120"/>
              <w:ind w:left="0" w:firstLine="0"/>
              <w:rPr>
                <w:rFonts w:ascii="Foundry Form Sans" w:eastAsia="Arial" w:hAnsi="Foundry Form Sans" w:cs="Arial"/>
                <w:szCs w:val="24"/>
              </w:rPr>
            </w:pPr>
            <w:r w:rsidRPr="00EE4554">
              <w:rPr>
                <w:rFonts w:ascii="Foundry Form Sans" w:eastAsia="Arial" w:hAnsi="Foundry Form Sans" w:cs="Arial"/>
                <w:szCs w:val="24"/>
              </w:rPr>
              <w:t xml:space="preserve">In 2024, </w:t>
            </w:r>
            <w:r w:rsidR="009B3476">
              <w:rPr>
                <w:rFonts w:ascii="Foundry Form Sans" w:eastAsia="Arial" w:hAnsi="Foundry Form Sans" w:cs="Arial"/>
                <w:szCs w:val="24"/>
              </w:rPr>
              <w:t xml:space="preserve">in </w:t>
            </w:r>
            <w:r w:rsidR="009B3476" w:rsidRPr="00EE4554">
              <w:rPr>
                <w:rFonts w:ascii="Foundry Form Sans" w:eastAsia="Arial" w:hAnsi="Foundry Form Sans" w:cs="Arial"/>
                <w:szCs w:val="24"/>
              </w:rPr>
              <w:t>M</w:t>
            </w:r>
            <w:r w:rsidR="009B3476">
              <w:rPr>
                <w:rFonts w:ascii="Foundry Form Sans" w:eastAsia="Arial" w:hAnsi="Foundry Form Sans" w:cs="Arial"/>
                <w:szCs w:val="24"/>
              </w:rPr>
              <w:t xml:space="preserve">ayoral </w:t>
            </w:r>
            <w:r w:rsidR="009B3476" w:rsidRPr="00EE4554">
              <w:rPr>
                <w:rFonts w:ascii="Foundry Form Sans" w:eastAsia="Arial" w:hAnsi="Foundry Form Sans" w:cs="Arial"/>
                <w:szCs w:val="24"/>
              </w:rPr>
              <w:t>D</w:t>
            </w:r>
            <w:r w:rsidR="009B3476">
              <w:rPr>
                <w:rFonts w:ascii="Foundry Form Sans" w:eastAsia="Arial" w:hAnsi="Foundry Form Sans" w:cs="Arial"/>
                <w:szCs w:val="24"/>
              </w:rPr>
              <w:t xml:space="preserve">ecision (MD) </w:t>
            </w:r>
            <w:r w:rsidR="009B3476" w:rsidRPr="00EE4554">
              <w:rPr>
                <w:rFonts w:ascii="Foundry Form Sans" w:eastAsia="Arial" w:hAnsi="Foundry Form Sans" w:cs="Arial"/>
                <w:szCs w:val="24"/>
              </w:rPr>
              <w:t>3230</w:t>
            </w:r>
            <w:r w:rsidR="009B3476">
              <w:rPr>
                <w:rFonts w:ascii="Foundry Form Sans" w:eastAsia="Arial" w:hAnsi="Foundry Form Sans" w:cs="Arial"/>
                <w:szCs w:val="24"/>
              </w:rPr>
              <w:t xml:space="preserve">, </w:t>
            </w:r>
            <w:r w:rsidRPr="00EE4554">
              <w:rPr>
                <w:rFonts w:ascii="Foundry Form Sans" w:eastAsia="Arial" w:hAnsi="Foundry Form Sans" w:cs="Arial"/>
                <w:szCs w:val="24"/>
              </w:rPr>
              <w:t xml:space="preserve">the </w:t>
            </w:r>
            <w:proofErr w:type="gramStart"/>
            <w:r w:rsidRPr="00EE4554">
              <w:rPr>
                <w:rFonts w:ascii="Foundry Form Sans" w:eastAsia="Arial" w:hAnsi="Foundry Form Sans" w:cs="Arial"/>
                <w:szCs w:val="24"/>
              </w:rPr>
              <w:t>Mayor</w:t>
            </w:r>
            <w:proofErr w:type="gramEnd"/>
            <w:r w:rsidRPr="00EE4554">
              <w:rPr>
                <w:rFonts w:ascii="Foundry Form Sans" w:eastAsia="Arial" w:hAnsi="Foundry Form Sans" w:cs="Arial"/>
                <w:szCs w:val="24"/>
              </w:rPr>
              <w:t xml:space="preserve"> approved </w:t>
            </w:r>
            <w:r w:rsidR="00205C46">
              <w:rPr>
                <w:rFonts w:ascii="Foundry Form Sans" w:eastAsia="Arial" w:hAnsi="Foundry Form Sans" w:cs="Arial"/>
                <w:szCs w:val="24"/>
              </w:rPr>
              <w:t xml:space="preserve">spending </w:t>
            </w:r>
            <w:r w:rsidRPr="00EE4554">
              <w:rPr>
                <w:rFonts w:ascii="Foundry Form Sans" w:eastAsia="Arial" w:hAnsi="Foundry Form Sans" w:cs="Arial"/>
                <w:szCs w:val="24"/>
              </w:rPr>
              <w:t>up to £64.31</w:t>
            </w:r>
            <w:r w:rsidR="00316089">
              <w:rPr>
                <w:rFonts w:ascii="Foundry Form Sans" w:eastAsia="Arial" w:hAnsi="Foundry Form Sans" w:cs="Arial"/>
                <w:szCs w:val="24"/>
              </w:rPr>
              <w:t xml:space="preserve"> </w:t>
            </w:r>
            <w:r w:rsidRPr="00EE4554">
              <w:rPr>
                <w:rFonts w:ascii="Foundry Form Sans" w:eastAsia="Arial" w:hAnsi="Foundry Form Sans" w:cs="Arial"/>
                <w:szCs w:val="24"/>
              </w:rPr>
              <w:t>m</w:t>
            </w:r>
            <w:r w:rsidR="00316089">
              <w:rPr>
                <w:rFonts w:ascii="Foundry Form Sans" w:eastAsia="Arial" w:hAnsi="Foundry Form Sans" w:cs="Arial"/>
                <w:szCs w:val="24"/>
              </w:rPr>
              <w:t>illion</w:t>
            </w:r>
            <w:r>
              <w:rPr>
                <w:rFonts w:ascii="Foundry Form Sans" w:eastAsia="Arial" w:hAnsi="Foundry Form Sans" w:cs="Arial"/>
                <w:szCs w:val="24"/>
              </w:rPr>
              <w:t xml:space="preserve"> </w:t>
            </w:r>
            <w:r w:rsidRPr="00EE4554">
              <w:rPr>
                <w:rFonts w:ascii="Foundry Form Sans" w:eastAsia="Arial" w:hAnsi="Foundry Form Sans" w:cs="Arial"/>
                <w:szCs w:val="24"/>
              </w:rPr>
              <w:t>for the 2024</w:t>
            </w:r>
            <w:r w:rsidR="00AB2CEE">
              <w:rPr>
                <w:rFonts w:ascii="Foundry Form Sans" w:eastAsia="Arial" w:hAnsi="Foundry Form Sans" w:cs="Arial"/>
                <w:szCs w:val="24"/>
              </w:rPr>
              <w:t>-</w:t>
            </w:r>
            <w:r w:rsidRPr="00EE4554">
              <w:rPr>
                <w:rFonts w:ascii="Foundry Form Sans" w:eastAsia="Arial" w:hAnsi="Foundry Form Sans" w:cs="Arial"/>
                <w:szCs w:val="24"/>
              </w:rPr>
              <w:t>29 Royal Docks Delivery Plan</w:t>
            </w:r>
            <w:r w:rsidR="00C9417E">
              <w:rPr>
                <w:rFonts w:ascii="Foundry Form Sans" w:eastAsia="Arial" w:hAnsi="Foundry Form Sans" w:cs="Arial"/>
                <w:szCs w:val="24"/>
              </w:rPr>
              <w:t>. This was</w:t>
            </w:r>
            <w:r w:rsidRPr="00EE4554">
              <w:rPr>
                <w:rFonts w:ascii="Foundry Form Sans" w:eastAsia="Arial" w:hAnsi="Foundry Form Sans" w:cs="Arial"/>
                <w:szCs w:val="24"/>
              </w:rPr>
              <w:t xml:space="preserve"> to deliver projects supporting </w:t>
            </w:r>
            <w:r>
              <w:rPr>
                <w:rFonts w:ascii="Foundry Form Sans" w:eastAsia="Arial" w:hAnsi="Foundry Form Sans" w:cs="Arial"/>
                <w:szCs w:val="24"/>
              </w:rPr>
              <w:t xml:space="preserve">three strategic outcomes: </w:t>
            </w:r>
          </w:p>
          <w:p w14:paraId="01112E29" w14:textId="77777777" w:rsidR="00877C3C" w:rsidRDefault="00EE4554" w:rsidP="00F76018">
            <w:pPr>
              <w:pStyle w:val="Header"/>
              <w:numPr>
                <w:ilvl w:val="0"/>
                <w:numId w:val="32"/>
              </w:numPr>
              <w:tabs>
                <w:tab w:val="left" w:pos="720"/>
              </w:tabs>
              <w:spacing w:before="120" w:after="120"/>
              <w:ind w:left="488" w:hanging="283"/>
              <w:rPr>
                <w:rFonts w:ascii="Foundry Form Sans" w:eastAsia="Arial" w:hAnsi="Foundry Form Sans" w:cs="Arial"/>
                <w:szCs w:val="24"/>
              </w:rPr>
            </w:pPr>
            <w:r w:rsidRPr="00EE4554">
              <w:rPr>
                <w:rFonts w:ascii="Foundry Form Sans" w:eastAsia="Arial" w:hAnsi="Foundry Form Sans" w:cs="Arial"/>
                <w:szCs w:val="24"/>
              </w:rPr>
              <w:t>economic prosperity, growth and investment</w:t>
            </w:r>
          </w:p>
          <w:p w14:paraId="5BB13B73" w14:textId="4D414C1C" w:rsidR="00877C3C" w:rsidRDefault="00EE4554" w:rsidP="00F76018">
            <w:pPr>
              <w:pStyle w:val="Header"/>
              <w:numPr>
                <w:ilvl w:val="0"/>
                <w:numId w:val="32"/>
              </w:numPr>
              <w:tabs>
                <w:tab w:val="left" w:pos="720"/>
              </w:tabs>
              <w:spacing w:before="120" w:after="120"/>
              <w:ind w:left="488" w:hanging="283"/>
              <w:rPr>
                <w:rFonts w:ascii="Foundry Form Sans" w:eastAsia="Arial" w:hAnsi="Foundry Form Sans" w:cs="Arial"/>
                <w:szCs w:val="24"/>
              </w:rPr>
            </w:pPr>
            <w:r w:rsidRPr="00EE4554">
              <w:rPr>
                <w:rFonts w:ascii="Foundry Form Sans" w:eastAsia="Arial" w:hAnsi="Foundry Form Sans" w:cs="Arial"/>
                <w:szCs w:val="24"/>
              </w:rPr>
              <w:t>environment, wellbeing and community</w:t>
            </w:r>
          </w:p>
          <w:p w14:paraId="0FD18958" w14:textId="65AF666C" w:rsidR="00877C3C" w:rsidRDefault="00EE4554" w:rsidP="00F76018">
            <w:pPr>
              <w:pStyle w:val="Header"/>
              <w:numPr>
                <w:ilvl w:val="0"/>
                <w:numId w:val="32"/>
              </w:numPr>
              <w:tabs>
                <w:tab w:val="left" w:pos="720"/>
              </w:tabs>
              <w:spacing w:before="120" w:after="120"/>
              <w:ind w:left="488" w:hanging="283"/>
              <w:rPr>
                <w:rFonts w:ascii="Foundry Form Sans" w:eastAsia="Arial" w:hAnsi="Foundry Form Sans" w:cs="Arial"/>
                <w:szCs w:val="24"/>
              </w:rPr>
            </w:pPr>
            <w:r w:rsidRPr="00EE4554">
              <w:rPr>
                <w:rFonts w:ascii="Foundry Form Sans" w:eastAsia="Arial" w:hAnsi="Foundry Form Sans" w:cs="Arial"/>
                <w:szCs w:val="24"/>
              </w:rPr>
              <w:t>culture, identity and perception</w:t>
            </w:r>
            <w:r w:rsidR="009B3476">
              <w:rPr>
                <w:rFonts w:ascii="Foundry Form Sans" w:eastAsia="Arial" w:hAnsi="Foundry Form Sans" w:cs="Arial"/>
                <w:szCs w:val="24"/>
              </w:rPr>
              <w:t>.</w:t>
            </w:r>
          </w:p>
          <w:p w14:paraId="031699F7" w14:textId="29CFEE30" w:rsidR="00EE4554" w:rsidRDefault="00D0665C" w:rsidP="00205C46">
            <w:pPr>
              <w:pStyle w:val="Header"/>
              <w:tabs>
                <w:tab w:val="left" w:pos="720"/>
              </w:tabs>
              <w:spacing w:before="120" w:after="120"/>
              <w:ind w:left="0" w:firstLine="0"/>
              <w:rPr>
                <w:rFonts w:ascii="Foundry Form Sans" w:eastAsia="Arial" w:hAnsi="Foundry Form Sans" w:cs="Arial"/>
                <w:szCs w:val="24"/>
              </w:rPr>
            </w:pPr>
            <w:r w:rsidRPr="00D0665C">
              <w:rPr>
                <w:rFonts w:ascii="Foundry Form Sans" w:eastAsia="Arial" w:hAnsi="Foundry Form Sans" w:cs="Arial"/>
                <w:szCs w:val="24"/>
              </w:rPr>
              <w:t>MD3230 also delegated approval</w:t>
            </w:r>
            <w:r w:rsidR="00205C46" w:rsidRPr="00D0665C">
              <w:rPr>
                <w:rFonts w:ascii="Foundry Form Sans" w:eastAsia="Arial" w:hAnsi="Foundry Form Sans" w:cs="Arial"/>
                <w:szCs w:val="24"/>
              </w:rPr>
              <w:t xml:space="preserve"> to the Executive Director of Housing and Land</w:t>
            </w:r>
            <w:r w:rsidRPr="00D0665C">
              <w:rPr>
                <w:rFonts w:ascii="Foundry Form Sans" w:eastAsia="Arial" w:hAnsi="Foundry Form Sans" w:cs="Arial"/>
                <w:szCs w:val="24"/>
              </w:rPr>
              <w:t xml:space="preserve"> </w:t>
            </w:r>
            <w:r w:rsidR="00205C46">
              <w:rPr>
                <w:rFonts w:ascii="Foundry Form Sans" w:eastAsia="Arial" w:hAnsi="Foundry Form Sans" w:cs="Arial"/>
                <w:szCs w:val="24"/>
              </w:rPr>
              <w:t>for</w:t>
            </w:r>
            <w:r w:rsidR="00205C46" w:rsidRPr="00D0665C">
              <w:rPr>
                <w:rFonts w:ascii="Foundry Form Sans" w:eastAsia="Arial" w:hAnsi="Foundry Form Sans" w:cs="Arial"/>
                <w:szCs w:val="24"/>
              </w:rPr>
              <w:t xml:space="preserve"> </w:t>
            </w:r>
            <w:r w:rsidRPr="00D0665C">
              <w:rPr>
                <w:rFonts w:ascii="Foundry Form Sans" w:eastAsia="Arial" w:hAnsi="Foundry Form Sans" w:cs="Arial"/>
                <w:szCs w:val="24"/>
              </w:rPr>
              <w:t xml:space="preserve">project-level </w:t>
            </w:r>
            <w:r w:rsidR="00205C46">
              <w:rPr>
                <w:rFonts w:ascii="Foundry Form Sans" w:eastAsia="Arial" w:hAnsi="Foundry Form Sans" w:cs="Arial"/>
                <w:szCs w:val="24"/>
              </w:rPr>
              <w:t xml:space="preserve">spend </w:t>
            </w:r>
            <w:r w:rsidRPr="00D0665C">
              <w:rPr>
                <w:rFonts w:ascii="Foundry Form Sans" w:eastAsia="Arial" w:hAnsi="Foundry Form Sans" w:cs="Arial"/>
                <w:szCs w:val="24"/>
              </w:rPr>
              <w:t>within the Delivery Plan.</w:t>
            </w:r>
          </w:p>
          <w:p w14:paraId="08ED417E" w14:textId="06F25919" w:rsidR="00630F5D" w:rsidRPr="000E0DB9" w:rsidRDefault="00EE4554" w:rsidP="00205C46">
            <w:pPr>
              <w:pStyle w:val="Header"/>
              <w:tabs>
                <w:tab w:val="left" w:pos="720"/>
              </w:tabs>
              <w:spacing w:before="120" w:after="120"/>
              <w:ind w:left="0" w:firstLine="0"/>
              <w:rPr>
                <w:rFonts w:ascii="Foundry Form Sans" w:eastAsia="Arial" w:hAnsi="Foundry Form Sans" w:cs="Arial"/>
                <w:szCs w:val="24"/>
              </w:rPr>
            </w:pPr>
            <w:r w:rsidRPr="000E0DB9">
              <w:rPr>
                <w:rFonts w:ascii="Foundry Form Sans" w:eastAsia="Arial" w:hAnsi="Foundry Form Sans" w:cs="Arial"/>
                <w:szCs w:val="24"/>
              </w:rPr>
              <w:t xml:space="preserve">This Director’s Decision seeks approval </w:t>
            </w:r>
            <w:r w:rsidR="00205C46">
              <w:rPr>
                <w:rFonts w:ascii="Foundry Form Sans" w:eastAsia="Arial" w:hAnsi="Foundry Form Sans" w:cs="Arial"/>
                <w:szCs w:val="24"/>
              </w:rPr>
              <w:t xml:space="preserve">to spend </w:t>
            </w:r>
            <w:r w:rsidRPr="000E0DB9">
              <w:rPr>
                <w:rFonts w:ascii="Foundry Form Sans" w:eastAsia="Arial" w:hAnsi="Foundry Form Sans" w:cs="Arial"/>
                <w:szCs w:val="24"/>
              </w:rPr>
              <w:t>up to £</w:t>
            </w:r>
            <w:r w:rsidR="000E0DB9" w:rsidRPr="000E0DB9">
              <w:rPr>
                <w:rFonts w:ascii="Foundry Form Sans" w:eastAsia="Arial" w:hAnsi="Foundry Form Sans" w:cs="Arial"/>
                <w:szCs w:val="24"/>
              </w:rPr>
              <w:t>1,090,000</w:t>
            </w:r>
            <w:r w:rsidRPr="000E0DB9">
              <w:rPr>
                <w:rFonts w:ascii="Foundry Form Sans" w:eastAsia="Arial" w:hAnsi="Foundry Form Sans" w:cs="Arial"/>
                <w:szCs w:val="24"/>
              </w:rPr>
              <w:t xml:space="preserve"> revenue </w:t>
            </w:r>
            <w:r w:rsidR="00314F55" w:rsidRPr="000E0DB9">
              <w:rPr>
                <w:rFonts w:ascii="Foundry Form Sans" w:eastAsia="Arial" w:hAnsi="Foundry Form Sans" w:cs="Arial"/>
                <w:szCs w:val="24"/>
              </w:rPr>
              <w:t>to fund</w:t>
            </w:r>
            <w:r w:rsidRPr="000E0DB9">
              <w:rPr>
                <w:rFonts w:ascii="Foundry Form Sans" w:eastAsia="Arial" w:hAnsi="Foundry Form Sans" w:cs="Arial"/>
                <w:szCs w:val="24"/>
              </w:rPr>
              <w:t xml:space="preserve"> </w:t>
            </w:r>
            <w:r w:rsidR="00D0665C" w:rsidRPr="000E0DB9">
              <w:rPr>
                <w:rFonts w:ascii="Foundry Form Sans" w:eastAsia="Arial" w:hAnsi="Foundry Form Sans" w:cs="Arial"/>
                <w:szCs w:val="24"/>
              </w:rPr>
              <w:t xml:space="preserve">the delivery of the </w:t>
            </w:r>
            <w:r w:rsidR="000E0DB9" w:rsidRPr="000E0DB9">
              <w:rPr>
                <w:rFonts w:ascii="Foundry Form Sans" w:eastAsia="Arial" w:hAnsi="Foundry Form Sans" w:cs="Arial"/>
                <w:szCs w:val="24"/>
              </w:rPr>
              <w:t xml:space="preserve">Royal Docks Public Realm and Cultural Placemaking Programme </w:t>
            </w:r>
            <w:r w:rsidR="00205C46">
              <w:rPr>
                <w:rFonts w:ascii="Foundry Form Sans" w:eastAsia="Arial" w:hAnsi="Foundry Form Sans" w:cs="Arial"/>
                <w:szCs w:val="24"/>
              </w:rPr>
              <w:t xml:space="preserve">between </w:t>
            </w:r>
            <w:r w:rsidR="000E0DB9" w:rsidRPr="000E0DB9">
              <w:rPr>
                <w:rFonts w:ascii="Foundry Form Sans" w:eastAsia="Arial" w:hAnsi="Foundry Form Sans" w:cs="Arial"/>
                <w:szCs w:val="24"/>
              </w:rPr>
              <w:t>2026</w:t>
            </w:r>
            <w:r w:rsidR="00205C46">
              <w:rPr>
                <w:rFonts w:ascii="Foundry Form Sans" w:eastAsia="Arial" w:hAnsi="Foundry Form Sans" w:cs="Arial"/>
                <w:szCs w:val="24"/>
              </w:rPr>
              <w:t xml:space="preserve">-27 and </w:t>
            </w:r>
            <w:r w:rsidR="000E0DB9" w:rsidRPr="000E0DB9">
              <w:rPr>
                <w:rFonts w:ascii="Foundry Form Sans" w:eastAsia="Arial" w:hAnsi="Foundry Form Sans" w:cs="Arial"/>
                <w:szCs w:val="24"/>
              </w:rPr>
              <w:t>202</w:t>
            </w:r>
            <w:r w:rsidR="00205C46">
              <w:rPr>
                <w:rFonts w:ascii="Foundry Form Sans" w:eastAsia="Arial" w:hAnsi="Foundry Form Sans" w:cs="Arial"/>
                <w:szCs w:val="24"/>
              </w:rPr>
              <w:t>8-2</w:t>
            </w:r>
            <w:r w:rsidR="000E0DB9" w:rsidRPr="000E0DB9">
              <w:rPr>
                <w:rFonts w:ascii="Foundry Form Sans" w:eastAsia="Arial" w:hAnsi="Foundry Form Sans" w:cs="Arial"/>
                <w:szCs w:val="24"/>
              </w:rPr>
              <w:t>9. The programme will provide strategic leadership for public</w:t>
            </w:r>
            <w:r w:rsidR="00626534">
              <w:rPr>
                <w:rFonts w:ascii="Foundry Form Sans" w:eastAsia="Arial" w:hAnsi="Foundry Form Sans" w:cs="Arial"/>
                <w:szCs w:val="24"/>
              </w:rPr>
              <w:t>-</w:t>
            </w:r>
            <w:r w:rsidR="000E0DB9" w:rsidRPr="000E0DB9">
              <w:rPr>
                <w:rFonts w:ascii="Foundry Form Sans" w:eastAsia="Arial" w:hAnsi="Foundry Form Sans" w:cs="Arial"/>
                <w:szCs w:val="24"/>
              </w:rPr>
              <w:t>realm coordination and cultural placemaking across the Royal Docks, including Royal Victoria</w:t>
            </w:r>
            <w:r w:rsidR="006A7129">
              <w:rPr>
                <w:rFonts w:ascii="Foundry Form Sans" w:eastAsia="Arial" w:hAnsi="Foundry Form Sans" w:cs="Arial"/>
                <w:szCs w:val="24"/>
              </w:rPr>
              <w:t xml:space="preserve"> </w:t>
            </w:r>
            <w:r w:rsidR="000E0DB9" w:rsidRPr="000E0DB9">
              <w:rPr>
                <w:rFonts w:ascii="Foundry Form Sans" w:eastAsia="Arial" w:hAnsi="Foundry Form Sans" w:cs="Arial"/>
                <w:szCs w:val="24"/>
              </w:rPr>
              <w:t>and Royal Albert</w:t>
            </w:r>
            <w:r w:rsidR="006A7129">
              <w:rPr>
                <w:rFonts w:ascii="Foundry Form Sans" w:eastAsia="Arial" w:hAnsi="Foundry Form Sans" w:cs="Arial"/>
                <w:szCs w:val="24"/>
              </w:rPr>
              <w:t xml:space="preserve"> Dock</w:t>
            </w:r>
            <w:r w:rsidR="00626534">
              <w:rPr>
                <w:rFonts w:ascii="Foundry Form Sans" w:eastAsia="Arial" w:hAnsi="Foundry Form Sans" w:cs="Arial"/>
                <w:szCs w:val="24"/>
              </w:rPr>
              <w:t xml:space="preserve">. This work will </w:t>
            </w:r>
            <w:r w:rsidR="000E0DB9" w:rsidRPr="000E0DB9">
              <w:rPr>
                <w:rFonts w:ascii="Foundry Form Sans" w:eastAsia="Arial" w:hAnsi="Foundry Form Sans" w:cs="Arial"/>
                <w:szCs w:val="24"/>
              </w:rPr>
              <w:t>help to unlock partner-led public</w:t>
            </w:r>
            <w:r w:rsidR="00626534">
              <w:rPr>
                <w:rFonts w:ascii="Foundry Form Sans" w:eastAsia="Arial" w:hAnsi="Foundry Form Sans" w:cs="Arial"/>
                <w:szCs w:val="24"/>
              </w:rPr>
              <w:t>-</w:t>
            </w:r>
            <w:r w:rsidR="000E0DB9" w:rsidRPr="000E0DB9">
              <w:rPr>
                <w:rFonts w:ascii="Foundry Form Sans" w:eastAsia="Arial" w:hAnsi="Foundry Form Sans" w:cs="Arial"/>
                <w:szCs w:val="24"/>
              </w:rPr>
              <w:t>realm investment</w:t>
            </w:r>
            <w:r w:rsidR="00626534">
              <w:rPr>
                <w:rFonts w:ascii="Foundry Form Sans" w:eastAsia="Arial" w:hAnsi="Foundry Form Sans" w:cs="Arial"/>
                <w:szCs w:val="24"/>
              </w:rPr>
              <w:t>;</w:t>
            </w:r>
            <w:r w:rsidR="000E0DB9" w:rsidRPr="000E0DB9">
              <w:rPr>
                <w:rFonts w:ascii="Foundry Form Sans" w:eastAsia="Arial" w:hAnsi="Foundry Form Sans" w:cs="Arial"/>
                <w:szCs w:val="24"/>
              </w:rPr>
              <w:t xml:space="preserve"> and deliver a strengthened year-round cultural programme.</w:t>
            </w:r>
          </w:p>
          <w:p w14:paraId="666BEA12" w14:textId="5783DEA3" w:rsidR="006F60FF" w:rsidRPr="00796A8E" w:rsidRDefault="00796A8E" w:rsidP="00796A8E">
            <w:pPr>
              <w:pStyle w:val="Header"/>
              <w:tabs>
                <w:tab w:val="left" w:pos="720"/>
              </w:tabs>
              <w:spacing w:before="120" w:after="120"/>
              <w:ind w:left="0" w:firstLine="0"/>
              <w:rPr>
                <w:rFonts w:ascii="Foundry Form Sans" w:eastAsia="Arial" w:hAnsi="Foundry Form Sans" w:cs="Arial"/>
                <w:szCs w:val="24"/>
              </w:rPr>
            </w:pPr>
            <w:r w:rsidRPr="00796A8E">
              <w:rPr>
                <w:rFonts w:ascii="Foundry Form Sans" w:eastAsia="Arial" w:hAnsi="Foundry Form Sans" w:cs="Arial"/>
                <w:szCs w:val="24"/>
              </w:rPr>
              <w:t>The proposal forms part of the next phase of the Royal Docks Delivery Plan and was endorsed by the Royal Docks Enterprise Zone Programme Board on 24 March 2026.</w:t>
            </w:r>
          </w:p>
        </w:tc>
      </w:tr>
    </w:tbl>
    <w:p w14:paraId="46CFEED5" w14:textId="77777777" w:rsidR="00FD24B0" w:rsidRDefault="00FD24B0" w:rsidP="003A191F"/>
    <w:tbl>
      <w:tblPr>
        <w:tblW w:w="10235"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35"/>
      </w:tblGrid>
      <w:tr w:rsidR="00FD24B0" w:rsidRPr="000E0DB9" w14:paraId="5FA8387E" w14:textId="77777777" w:rsidTr="00487843">
        <w:trPr>
          <w:trHeight w:val="798"/>
        </w:trPr>
        <w:tc>
          <w:tcPr>
            <w:tcW w:w="10235" w:type="dxa"/>
          </w:tcPr>
          <w:p w14:paraId="34B04F19" w14:textId="77777777" w:rsidR="00FD24B0" w:rsidRPr="00866CB4" w:rsidRDefault="00FD24B0" w:rsidP="00487843">
            <w:pPr>
              <w:pStyle w:val="Header"/>
              <w:tabs>
                <w:tab w:val="clear" w:pos="4320"/>
                <w:tab w:val="clear" w:pos="8640"/>
              </w:tabs>
              <w:spacing w:before="120" w:after="120"/>
              <w:ind w:left="0" w:firstLine="0"/>
              <w:rPr>
                <w:rFonts w:ascii="Foundry Form Sans" w:hAnsi="Foundry Form Sans" w:cs="Arial"/>
                <w:b/>
                <w:bCs/>
                <w:szCs w:val="24"/>
              </w:rPr>
            </w:pPr>
            <w:r w:rsidRPr="00866CB4">
              <w:rPr>
                <w:rFonts w:ascii="Foundry Form Sans" w:hAnsi="Foundry Form Sans" w:cs="Arial"/>
                <w:b/>
                <w:bCs/>
                <w:szCs w:val="24"/>
              </w:rPr>
              <w:t>Decision:</w:t>
            </w:r>
          </w:p>
          <w:p w14:paraId="6AD74613" w14:textId="005E4CFC" w:rsidR="00FD24B0" w:rsidRPr="000E0DB9" w:rsidRDefault="00FD24B0" w:rsidP="00487843">
            <w:pPr>
              <w:pStyle w:val="Header"/>
              <w:tabs>
                <w:tab w:val="left" w:pos="720"/>
              </w:tabs>
              <w:spacing w:before="120" w:after="120"/>
              <w:ind w:left="0" w:firstLine="0"/>
              <w:rPr>
                <w:rFonts w:ascii="Foundry Form Sans" w:eastAsia="Arial" w:hAnsi="Foundry Form Sans" w:cs="Arial"/>
                <w:szCs w:val="24"/>
              </w:rPr>
            </w:pPr>
            <w:r w:rsidRPr="000E0DB9">
              <w:rPr>
                <w:rFonts w:ascii="Foundry Form Sans" w:eastAsia="Arial" w:hAnsi="Foundry Form Sans" w:cs="Arial"/>
                <w:szCs w:val="24"/>
              </w:rPr>
              <w:t xml:space="preserve">That the Executive Director of Housing and Land approves </w:t>
            </w:r>
            <w:r w:rsidR="00147215">
              <w:rPr>
                <w:rFonts w:ascii="Foundry Form Sans" w:eastAsia="Arial" w:hAnsi="Foundry Form Sans" w:cs="Arial"/>
                <w:szCs w:val="24"/>
              </w:rPr>
              <w:t xml:space="preserve">spending </w:t>
            </w:r>
            <w:r w:rsidRPr="000E0DB9">
              <w:rPr>
                <w:rFonts w:ascii="Foundry Form Sans" w:eastAsia="Arial" w:hAnsi="Foundry Form Sans" w:cs="Arial"/>
                <w:szCs w:val="24"/>
              </w:rPr>
              <w:t xml:space="preserve">up to £1,090,000 revenue to deliver the Royal Docks Public Realm and Cultural Placemaking Programme </w:t>
            </w:r>
            <w:r w:rsidR="00626534">
              <w:rPr>
                <w:rFonts w:ascii="Foundry Form Sans" w:eastAsia="Arial" w:hAnsi="Foundry Form Sans" w:cs="Arial"/>
                <w:szCs w:val="24"/>
              </w:rPr>
              <w:t>between</w:t>
            </w:r>
            <w:r>
              <w:rPr>
                <w:rFonts w:ascii="Foundry Form Sans" w:eastAsia="Arial" w:hAnsi="Foundry Form Sans" w:cs="Arial"/>
                <w:szCs w:val="24"/>
              </w:rPr>
              <w:t xml:space="preserve"> </w:t>
            </w:r>
            <w:r w:rsidRPr="000E0DB9">
              <w:rPr>
                <w:rFonts w:ascii="Foundry Form Sans" w:eastAsia="Arial" w:hAnsi="Foundry Form Sans" w:cs="Arial"/>
                <w:szCs w:val="24"/>
              </w:rPr>
              <w:t>2026</w:t>
            </w:r>
            <w:r w:rsidR="00626534">
              <w:rPr>
                <w:rFonts w:ascii="Foundry Form Sans" w:eastAsia="Arial" w:hAnsi="Foundry Form Sans" w:cs="Arial"/>
                <w:szCs w:val="24"/>
              </w:rPr>
              <w:t>-27 and 2028-</w:t>
            </w:r>
            <w:r w:rsidRPr="000E0DB9">
              <w:rPr>
                <w:rFonts w:ascii="Foundry Form Sans" w:eastAsia="Arial" w:hAnsi="Foundry Form Sans" w:cs="Arial"/>
                <w:szCs w:val="24"/>
              </w:rPr>
              <w:t>29.</w:t>
            </w:r>
          </w:p>
        </w:tc>
      </w:tr>
    </w:tbl>
    <w:p w14:paraId="6AB9BF27" w14:textId="77777777" w:rsidR="00FD24B0" w:rsidRDefault="00FD24B0" w:rsidP="003A191F"/>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6103"/>
        <w:gridCol w:w="4132"/>
      </w:tblGrid>
      <w:tr w:rsidR="00FD24B0" w:rsidRPr="00866CB4" w14:paraId="7ED8F2E7" w14:textId="77777777" w:rsidTr="00487843">
        <w:tc>
          <w:tcPr>
            <w:tcW w:w="10235" w:type="dxa"/>
            <w:gridSpan w:val="2"/>
          </w:tcPr>
          <w:p w14:paraId="63C8DDD5" w14:textId="77777777" w:rsidR="00FD24B0" w:rsidRPr="00C01B51" w:rsidRDefault="00FD24B0" w:rsidP="00487843">
            <w:pPr>
              <w:pStyle w:val="Header"/>
              <w:spacing w:before="120" w:after="120"/>
              <w:rPr>
                <w:rFonts w:ascii="Foundry Form Sans" w:hAnsi="Foundry Form Sans" w:cs="Arial"/>
                <w:b/>
                <w:szCs w:val="24"/>
              </w:rPr>
            </w:pPr>
            <w:r w:rsidRPr="00C01B51">
              <w:rPr>
                <w:rFonts w:ascii="Foundry Form Sans" w:hAnsi="Foundry Form Sans" w:cs="Arial"/>
                <w:b/>
                <w:szCs w:val="24"/>
              </w:rPr>
              <w:t>AUTHORISING DIRECTOR</w:t>
            </w:r>
          </w:p>
          <w:p w14:paraId="2BF310EB" w14:textId="77777777" w:rsidR="00FD24B0" w:rsidRPr="00C01B51" w:rsidRDefault="00FD24B0" w:rsidP="00487843">
            <w:pPr>
              <w:pStyle w:val="Header"/>
              <w:spacing w:before="120" w:after="120"/>
              <w:ind w:left="0" w:firstLine="0"/>
              <w:rPr>
                <w:rFonts w:ascii="Foundry Form Sans" w:hAnsi="Foundry Form Sans" w:cs="Arial"/>
                <w:szCs w:val="24"/>
              </w:rPr>
            </w:pPr>
            <w:r w:rsidRPr="00C01B51">
              <w:rPr>
                <w:rFonts w:ascii="Foundry Form Sans" w:hAnsi="Foundry Form Sans" w:cs="Arial"/>
                <w:szCs w:val="24"/>
              </w:rPr>
              <w:t>I have reviewed the request and am satisfied it is correct and consis</w:t>
            </w:r>
            <w:r>
              <w:rPr>
                <w:rFonts w:ascii="Foundry Form Sans" w:hAnsi="Foundry Form Sans" w:cs="Arial"/>
                <w:szCs w:val="24"/>
              </w:rPr>
              <w:t xml:space="preserve">tent with the </w:t>
            </w:r>
            <w:proofErr w:type="gramStart"/>
            <w:r>
              <w:rPr>
                <w:rFonts w:ascii="Foundry Form Sans" w:hAnsi="Foundry Form Sans" w:cs="Arial"/>
                <w:szCs w:val="24"/>
              </w:rPr>
              <w:t>Mayor’s</w:t>
            </w:r>
            <w:proofErr w:type="gramEnd"/>
            <w:r>
              <w:rPr>
                <w:rFonts w:ascii="Foundry Form Sans" w:hAnsi="Foundry Form Sans" w:cs="Arial"/>
                <w:szCs w:val="24"/>
              </w:rPr>
              <w:t xml:space="preserve"> plans and </w:t>
            </w:r>
            <w:r w:rsidRPr="00C01B51">
              <w:rPr>
                <w:rFonts w:ascii="Foundry Form Sans" w:hAnsi="Foundry Form Sans" w:cs="Arial"/>
                <w:szCs w:val="24"/>
              </w:rPr>
              <w:t>priorities.</w:t>
            </w:r>
          </w:p>
          <w:p w14:paraId="26DCC75D" w14:textId="77777777" w:rsidR="00FD24B0" w:rsidRPr="00866CB4" w:rsidRDefault="00FD24B0" w:rsidP="00487843">
            <w:pPr>
              <w:pStyle w:val="Header"/>
              <w:tabs>
                <w:tab w:val="clear" w:pos="4320"/>
                <w:tab w:val="clear" w:pos="8640"/>
              </w:tabs>
              <w:spacing w:before="120" w:after="120"/>
              <w:ind w:left="0" w:firstLine="0"/>
              <w:rPr>
                <w:rFonts w:ascii="Foundry Form Sans" w:hAnsi="Foundry Form Sans" w:cs="Arial"/>
                <w:szCs w:val="24"/>
              </w:rPr>
            </w:pPr>
            <w:r w:rsidRPr="00C01B51">
              <w:rPr>
                <w:rFonts w:ascii="Foundry Form Sans" w:hAnsi="Foundry Form Sans" w:cs="Arial"/>
                <w:szCs w:val="24"/>
              </w:rPr>
              <w:t>It has my approval.</w:t>
            </w:r>
          </w:p>
        </w:tc>
      </w:tr>
      <w:tr w:rsidR="00FD24B0" w:rsidRPr="00522619" w14:paraId="1C42A77C" w14:textId="77777777" w:rsidTr="00487843">
        <w:trPr>
          <w:trHeight w:val="851"/>
        </w:trPr>
        <w:tc>
          <w:tcPr>
            <w:tcW w:w="6103" w:type="dxa"/>
          </w:tcPr>
          <w:p w14:paraId="63EB89FE" w14:textId="77777777" w:rsidR="00FD24B0" w:rsidRPr="00522619" w:rsidRDefault="00FD24B0" w:rsidP="00487843">
            <w:pPr>
              <w:spacing w:before="120" w:after="120"/>
              <w:rPr>
                <w:rFonts w:cs="Arial"/>
              </w:rPr>
            </w:pPr>
            <w:r w:rsidRPr="00522619">
              <w:rPr>
                <w:rFonts w:cs="Arial"/>
                <w:b/>
                <w:bCs/>
              </w:rPr>
              <w:t>Name</w:t>
            </w:r>
            <w:r w:rsidRPr="00522619">
              <w:rPr>
                <w:rFonts w:cs="Arial"/>
              </w:rPr>
              <w:t>:</w:t>
            </w:r>
            <w:r w:rsidRPr="00522619">
              <w:rPr>
                <w:rFonts w:cs="Arial"/>
                <w:i/>
              </w:rPr>
              <w:t xml:space="preserve"> </w:t>
            </w:r>
            <w:r w:rsidRPr="00E909EA">
              <w:rPr>
                <w:rFonts w:cs="Arial"/>
              </w:rPr>
              <w:t>Tim Steer</w:t>
            </w:r>
          </w:p>
        </w:tc>
        <w:tc>
          <w:tcPr>
            <w:tcW w:w="4132" w:type="dxa"/>
          </w:tcPr>
          <w:p w14:paraId="5E19BBB3" w14:textId="77777777" w:rsidR="00FD24B0" w:rsidRPr="00522619" w:rsidRDefault="00FD24B0" w:rsidP="00487843">
            <w:pPr>
              <w:spacing w:before="120" w:after="120"/>
              <w:ind w:left="39"/>
              <w:rPr>
                <w:rFonts w:cs="Arial"/>
                <w:b/>
                <w:bCs/>
              </w:rPr>
            </w:pPr>
            <w:r w:rsidRPr="00522619">
              <w:rPr>
                <w:rFonts w:cs="Arial"/>
                <w:b/>
                <w:bCs/>
              </w:rPr>
              <w:t xml:space="preserve">Position: </w:t>
            </w:r>
            <w:r w:rsidRPr="00E909EA">
              <w:rPr>
                <w:rFonts w:cs="Arial"/>
                <w:bCs/>
              </w:rPr>
              <w:t>Executive Director Housing &amp; Land</w:t>
            </w:r>
          </w:p>
        </w:tc>
      </w:tr>
      <w:tr w:rsidR="00FD24B0" w:rsidRPr="00866CB4" w14:paraId="3D8E4723" w14:textId="77777777" w:rsidTr="00487843">
        <w:trPr>
          <w:trHeight w:val="851"/>
        </w:trPr>
        <w:tc>
          <w:tcPr>
            <w:tcW w:w="6103" w:type="dxa"/>
          </w:tcPr>
          <w:p w14:paraId="1877F13C" w14:textId="19CB01E7" w:rsidR="00FD24B0" w:rsidRPr="00F8733E" w:rsidRDefault="00FD24B0" w:rsidP="00487843">
            <w:pPr>
              <w:spacing w:before="120"/>
              <w:rPr>
                <w:rFonts w:cs="Arial"/>
                <w:b/>
                <w:bCs/>
              </w:rPr>
            </w:pPr>
            <w:r w:rsidRPr="00866CB4">
              <w:rPr>
                <w:rFonts w:cs="Arial"/>
                <w:b/>
                <w:bCs/>
              </w:rPr>
              <w:t>Signature:</w:t>
            </w:r>
            <w:r w:rsidR="00F8733E">
              <w:rPr>
                <w:rFonts w:cs="Arial"/>
                <w:b/>
                <w:bCs/>
              </w:rPr>
              <w:t xml:space="preserve"> </w:t>
            </w:r>
            <w:r w:rsidR="00F8733E">
              <w:rPr>
                <w:noProof/>
              </w:rPr>
              <w:drawing>
                <wp:inline distT="0" distB="0" distL="0" distR="0" wp14:anchorId="6165F877" wp14:editId="589CFD77">
                  <wp:extent cx="1062355" cy="595630"/>
                  <wp:effectExtent l="0" t="0" r="4445" b="0"/>
                  <wp:docPr id="358091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2355" cy="595630"/>
                          </a:xfrm>
                          <a:prstGeom prst="rect">
                            <a:avLst/>
                          </a:prstGeom>
                          <a:noFill/>
                          <a:ln>
                            <a:noFill/>
                          </a:ln>
                        </pic:spPr>
                      </pic:pic>
                    </a:graphicData>
                  </a:graphic>
                </wp:inline>
              </w:drawing>
            </w:r>
          </w:p>
        </w:tc>
        <w:tc>
          <w:tcPr>
            <w:tcW w:w="4132" w:type="dxa"/>
          </w:tcPr>
          <w:p w14:paraId="359C8F1C" w14:textId="77777777" w:rsidR="0010100A" w:rsidRDefault="0010100A" w:rsidP="00487843">
            <w:pPr>
              <w:spacing w:before="120"/>
              <w:rPr>
                <w:rFonts w:cs="Arial"/>
                <w:b/>
                <w:bCs/>
              </w:rPr>
            </w:pPr>
          </w:p>
          <w:p w14:paraId="3989C6E8" w14:textId="77777777" w:rsidR="0010100A" w:rsidRDefault="0010100A" w:rsidP="00487843">
            <w:pPr>
              <w:spacing w:before="120"/>
              <w:rPr>
                <w:rFonts w:cs="Arial"/>
                <w:b/>
                <w:bCs/>
              </w:rPr>
            </w:pPr>
          </w:p>
          <w:p w14:paraId="4C6E465D" w14:textId="28AE15DF" w:rsidR="00FD24B0" w:rsidRPr="00866CB4" w:rsidRDefault="00FD24B0" w:rsidP="00487843">
            <w:pPr>
              <w:spacing w:before="120"/>
              <w:rPr>
                <w:rFonts w:cs="Arial"/>
                <w:b/>
                <w:bCs/>
              </w:rPr>
            </w:pPr>
            <w:r w:rsidRPr="00866CB4">
              <w:rPr>
                <w:rFonts w:cs="Arial"/>
                <w:b/>
                <w:bCs/>
              </w:rPr>
              <w:t>Date:</w:t>
            </w:r>
            <w:r>
              <w:rPr>
                <w:rFonts w:cs="Arial"/>
                <w:b/>
                <w:bCs/>
              </w:rPr>
              <w:t xml:space="preserve"> </w:t>
            </w:r>
            <w:r w:rsidR="0010100A" w:rsidRPr="0010100A">
              <w:rPr>
                <w:rFonts w:cs="Arial"/>
              </w:rPr>
              <w:t>7 April 2026</w:t>
            </w:r>
            <w:r w:rsidRPr="00866CB4">
              <w:rPr>
                <w:rFonts w:cs="Arial"/>
                <w:b/>
                <w:bCs/>
              </w:rPr>
              <w:fldChar w:fldCharType="begin">
                <w:ffData>
                  <w:name w:val="Text2"/>
                  <w:enabled/>
                  <w:calcOnExit w:val="0"/>
                  <w:textInput/>
                </w:ffData>
              </w:fldChar>
            </w:r>
            <w:bookmarkStart w:id="0" w:name="Text2"/>
            <w:r w:rsidRPr="00866CB4">
              <w:rPr>
                <w:rFonts w:cs="Arial"/>
                <w:b/>
                <w:bCs/>
              </w:rPr>
              <w:instrText xml:space="preserve"> FORMTEXT </w:instrText>
            </w:r>
            <w:r w:rsidRPr="00866CB4">
              <w:rPr>
                <w:rFonts w:cs="Arial"/>
                <w:b/>
                <w:bCs/>
              </w:rPr>
            </w:r>
            <w:r w:rsidRPr="00866CB4">
              <w:rPr>
                <w:rFonts w:cs="Arial"/>
                <w:b/>
                <w:bCs/>
              </w:rPr>
              <w:fldChar w:fldCharType="separate"/>
            </w:r>
            <w:r w:rsidRPr="00866CB4">
              <w:rPr>
                <w:rFonts w:cs="Arial"/>
                <w:b/>
                <w:bCs/>
                <w:noProof/>
              </w:rPr>
              <w:t> </w:t>
            </w:r>
            <w:r w:rsidRPr="00866CB4">
              <w:rPr>
                <w:rFonts w:cs="Arial"/>
                <w:b/>
                <w:bCs/>
                <w:noProof/>
              </w:rPr>
              <w:t> </w:t>
            </w:r>
            <w:r w:rsidRPr="00866CB4">
              <w:rPr>
                <w:rFonts w:cs="Arial"/>
                <w:b/>
                <w:bCs/>
                <w:noProof/>
              </w:rPr>
              <w:t> </w:t>
            </w:r>
            <w:r w:rsidRPr="00866CB4">
              <w:rPr>
                <w:rFonts w:cs="Arial"/>
                <w:b/>
                <w:bCs/>
                <w:noProof/>
              </w:rPr>
              <w:t> </w:t>
            </w:r>
            <w:r w:rsidRPr="00866CB4">
              <w:rPr>
                <w:rFonts w:cs="Arial"/>
                <w:b/>
                <w:bCs/>
                <w:noProof/>
              </w:rPr>
              <w:t> </w:t>
            </w:r>
            <w:r w:rsidRPr="00866CB4">
              <w:rPr>
                <w:rFonts w:cs="Arial"/>
                <w:b/>
                <w:bCs/>
              </w:rPr>
              <w:fldChar w:fldCharType="end"/>
            </w:r>
            <w:bookmarkEnd w:id="0"/>
          </w:p>
        </w:tc>
      </w:tr>
    </w:tbl>
    <w:p w14:paraId="6017D04C" w14:textId="77777777" w:rsidR="00FD24B0" w:rsidRPr="003A191F" w:rsidRDefault="00FD24B0" w:rsidP="003A191F">
      <w:pPr>
        <w:sectPr w:rsidR="00FD24B0" w:rsidRPr="003A191F" w:rsidSect="00E5166C">
          <w:footerReference w:type="even" r:id="rId13"/>
          <w:footerReference w:type="default" r:id="rId14"/>
          <w:pgSz w:w="11906" w:h="16838"/>
          <w:pgMar w:top="907" w:right="851" w:bottom="907" w:left="851" w:header="709" w:footer="709" w:gutter="0"/>
          <w:cols w:space="708"/>
          <w:docGrid w:linePitch="360"/>
        </w:sectPr>
      </w:pPr>
    </w:p>
    <w:p w14:paraId="0C9EEEA5" w14:textId="6DCE4ED1" w:rsidR="00B007EA" w:rsidRPr="00866CB4" w:rsidRDefault="00B007EA" w:rsidP="00F76018">
      <w:pPr>
        <w:pStyle w:val="Footer"/>
        <w:tabs>
          <w:tab w:val="clear" w:pos="4320"/>
          <w:tab w:val="clear" w:pos="8640"/>
        </w:tabs>
        <w:spacing w:after="200"/>
        <w:outlineLvl w:val="0"/>
        <w:rPr>
          <w:rFonts w:cs="Arial"/>
          <w:b/>
        </w:rPr>
      </w:pPr>
      <w:r w:rsidRPr="00866CB4">
        <w:rPr>
          <w:rFonts w:cs="Arial"/>
          <w:b/>
          <w:bCs/>
        </w:rPr>
        <w:lastRenderedPageBreak/>
        <w:t>PART I</w:t>
      </w:r>
      <w:r w:rsidR="00EA1F8B">
        <w:rPr>
          <w:rFonts w:cs="Arial"/>
          <w:b/>
          <w:bCs/>
        </w:rPr>
        <w:t xml:space="preserve"> – </w:t>
      </w:r>
      <w:r w:rsidRPr="00866CB4">
        <w:rPr>
          <w:rFonts w:cs="Arial"/>
          <w:b/>
          <w:bCs/>
        </w:rPr>
        <w:t xml:space="preserve">NON-CONFIDENTIAL FACTS AND ADVICE </w:t>
      </w:r>
    </w:p>
    <w:p w14:paraId="619FE882" w14:textId="0FDC0950" w:rsidR="00FC4709" w:rsidRDefault="00916BC4">
      <w:pPr>
        <w:pStyle w:val="Footer"/>
        <w:tabs>
          <w:tab w:val="clear" w:pos="4320"/>
          <w:tab w:val="clear" w:pos="8640"/>
        </w:tabs>
        <w:spacing w:after="200"/>
        <w:outlineLvl w:val="0"/>
        <w:rPr>
          <w:rFonts w:cs="Arial"/>
          <w:b/>
        </w:rPr>
      </w:pPr>
      <w:r w:rsidRPr="00866CB4">
        <w:rPr>
          <w:rFonts w:cs="Arial"/>
          <w:b/>
        </w:rPr>
        <w:t>Decision required – supporting report</w:t>
      </w:r>
    </w:p>
    <w:p w14:paraId="7AD7FF0C" w14:textId="77777777" w:rsidR="00603715" w:rsidRDefault="000479A9" w:rsidP="00F96375">
      <w:pPr>
        <w:numPr>
          <w:ilvl w:val="0"/>
          <w:numId w:val="24"/>
        </w:numPr>
        <w:spacing w:after="200"/>
        <w:ind w:left="567" w:hanging="567"/>
        <w:rPr>
          <w:rFonts w:cs="Arial"/>
          <w:b/>
        </w:rPr>
      </w:pPr>
      <w:r w:rsidRPr="00866CB4">
        <w:rPr>
          <w:rFonts w:cs="Arial"/>
          <w:b/>
        </w:rPr>
        <w:t>Introduction and background</w:t>
      </w:r>
    </w:p>
    <w:p w14:paraId="5C88AEF5" w14:textId="087583E5" w:rsidR="00FD6B27" w:rsidRPr="00E909EA" w:rsidRDefault="00FD6B27" w:rsidP="00F96375">
      <w:pPr>
        <w:pStyle w:val="ListParagraph"/>
        <w:numPr>
          <w:ilvl w:val="1"/>
          <w:numId w:val="24"/>
        </w:numPr>
        <w:spacing w:after="200"/>
        <w:ind w:left="567" w:hanging="567"/>
        <w:contextualSpacing w:val="0"/>
        <w:rPr>
          <w:color w:val="000000" w:themeColor="text1"/>
        </w:rPr>
      </w:pPr>
      <w:r w:rsidRPr="00E909EA">
        <w:rPr>
          <w:color w:val="000000" w:themeColor="text1"/>
        </w:rPr>
        <w:t>The Royal Docks is one of London’s largest regeneration and investment opportunities</w:t>
      </w:r>
      <w:r w:rsidR="00147215">
        <w:rPr>
          <w:color w:val="000000" w:themeColor="text1"/>
        </w:rPr>
        <w:t>. I</w:t>
      </w:r>
      <w:r w:rsidR="00316089">
        <w:rPr>
          <w:color w:val="000000" w:themeColor="text1"/>
        </w:rPr>
        <w:t xml:space="preserve">t is </w:t>
      </w:r>
      <w:r w:rsidRPr="00E909EA">
        <w:rPr>
          <w:color w:val="000000" w:themeColor="text1"/>
        </w:rPr>
        <w:t>at the centre of an expanding east London region. Once the UK’s gateway to world trade, today the Royal Docks is re-emerging as a major new business and visitor destination, with approximately £5 billion worth of investment planned over the next 20 years</w:t>
      </w:r>
      <w:r w:rsidR="00316089">
        <w:rPr>
          <w:color w:val="000000" w:themeColor="text1"/>
        </w:rPr>
        <w:t>.</w:t>
      </w:r>
      <w:r w:rsidR="00147215">
        <w:rPr>
          <w:color w:val="000000" w:themeColor="text1"/>
        </w:rPr>
        <w:t xml:space="preserve"> </w:t>
      </w:r>
      <w:r w:rsidR="00316089">
        <w:rPr>
          <w:color w:val="000000" w:themeColor="text1"/>
        </w:rPr>
        <w:t>This will</w:t>
      </w:r>
      <w:r w:rsidRPr="00E909EA">
        <w:rPr>
          <w:color w:val="000000" w:themeColor="text1"/>
        </w:rPr>
        <w:t xml:space="preserve"> deliver</w:t>
      </w:r>
      <w:r w:rsidR="00316089">
        <w:rPr>
          <w:color w:val="000000" w:themeColor="text1"/>
        </w:rPr>
        <w:t xml:space="preserve"> </w:t>
      </w:r>
      <w:r w:rsidRPr="00E909EA">
        <w:rPr>
          <w:color w:val="000000" w:themeColor="text1"/>
        </w:rPr>
        <w:t>up to 38,600 new homes</w:t>
      </w:r>
      <w:r w:rsidR="00316089">
        <w:rPr>
          <w:color w:val="000000" w:themeColor="text1"/>
        </w:rPr>
        <w:t>;</w:t>
      </w:r>
      <w:r w:rsidRPr="00E909EA">
        <w:rPr>
          <w:color w:val="000000" w:themeColor="text1"/>
        </w:rPr>
        <w:t xml:space="preserve"> 55,000 new jobs</w:t>
      </w:r>
      <w:r w:rsidR="00316089">
        <w:rPr>
          <w:color w:val="000000" w:themeColor="text1"/>
        </w:rPr>
        <w:t>;</w:t>
      </w:r>
      <w:r w:rsidRPr="00E909EA">
        <w:rPr>
          <w:color w:val="000000" w:themeColor="text1"/>
        </w:rPr>
        <w:t xml:space="preserve"> and up to 4 million square feet of commercial space. </w:t>
      </w:r>
      <w:bookmarkStart w:id="1" w:name="_Hlk158105933"/>
    </w:p>
    <w:bookmarkEnd w:id="1"/>
    <w:p w14:paraId="02ACE21F" w14:textId="1B8B213D" w:rsidR="00FD6B27" w:rsidRPr="00E909EA" w:rsidRDefault="00FD6B27" w:rsidP="00F96375">
      <w:pPr>
        <w:pStyle w:val="ListParagraph"/>
        <w:numPr>
          <w:ilvl w:val="1"/>
          <w:numId w:val="24"/>
        </w:numPr>
        <w:spacing w:after="200"/>
        <w:ind w:left="567" w:hanging="567"/>
        <w:contextualSpacing w:val="0"/>
        <w:rPr>
          <w:color w:val="000000" w:themeColor="text1"/>
        </w:rPr>
      </w:pPr>
      <w:r w:rsidRPr="00E909EA">
        <w:rPr>
          <w:color w:val="000000" w:themeColor="text1"/>
        </w:rPr>
        <w:t xml:space="preserve">The Mayors of London and Newham have jointly been delivering the regeneration of the area through its </w:t>
      </w:r>
      <w:r>
        <w:rPr>
          <w:color w:val="000000" w:themeColor="text1"/>
        </w:rPr>
        <w:t>Enterprise Zone</w:t>
      </w:r>
      <w:r w:rsidR="00316089">
        <w:rPr>
          <w:color w:val="000000" w:themeColor="text1"/>
        </w:rPr>
        <w:t xml:space="preserve"> (EZ)</w:t>
      </w:r>
      <w:r w:rsidRPr="00E909EA">
        <w:rPr>
          <w:color w:val="000000" w:themeColor="text1"/>
        </w:rPr>
        <w:t xml:space="preserve"> status</w:t>
      </w:r>
      <w:r w:rsidR="00316089">
        <w:rPr>
          <w:color w:val="000000" w:themeColor="text1"/>
        </w:rPr>
        <w:t>. This work is</w:t>
      </w:r>
      <w:r w:rsidRPr="00E909EA">
        <w:rPr>
          <w:color w:val="000000" w:themeColor="text1"/>
        </w:rPr>
        <w:t xml:space="preserve"> funded through the ringfencing of business-rate income collected within the </w:t>
      </w:r>
      <w:r w:rsidR="00316089">
        <w:rPr>
          <w:color w:val="000000" w:themeColor="text1"/>
        </w:rPr>
        <w:t>EZ</w:t>
      </w:r>
      <w:r w:rsidRPr="00E909EA">
        <w:rPr>
          <w:color w:val="000000" w:themeColor="text1"/>
        </w:rPr>
        <w:t xml:space="preserve"> since its inception. The area’s designation as an EZ has helped unlock significant public-sector investment</w:t>
      </w:r>
      <w:r w:rsidR="00147215">
        <w:rPr>
          <w:color w:val="000000" w:themeColor="text1"/>
        </w:rPr>
        <w:t xml:space="preserve">. This </w:t>
      </w:r>
      <w:r w:rsidR="00316089">
        <w:rPr>
          <w:color w:val="000000" w:themeColor="text1"/>
        </w:rPr>
        <w:t xml:space="preserve">has led to </w:t>
      </w:r>
      <w:r w:rsidRPr="00E909EA">
        <w:rPr>
          <w:color w:val="000000" w:themeColor="text1"/>
        </w:rPr>
        <w:t xml:space="preserve">a dedicated Royal Docks delivery team that is helping to coordinate the area’s comprehensive redevelopment. </w:t>
      </w:r>
    </w:p>
    <w:p w14:paraId="131057B6" w14:textId="196EA18C" w:rsidR="00316089" w:rsidRPr="00FD24B0" w:rsidRDefault="00FD6B27" w:rsidP="00F96375">
      <w:pPr>
        <w:pStyle w:val="ListParagraph"/>
        <w:numPr>
          <w:ilvl w:val="1"/>
          <w:numId w:val="24"/>
        </w:numPr>
        <w:spacing w:after="200"/>
        <w:ind w:left="567" w:hanging="567"/>
        <w:contextualSpacing w:val="0"/>
        <w:rPr>
          <w:color w:val="000000" w:themeColor="text1"/>
        </w:rPr>
      </w:pPr>
      <w:r w:rsidRPr="00E909EA">
        <w:rPr>
          <w:rFonts w:cs="Calibri"/>
          <w:bCs/>
        </w:rPr>
        <w:t xml:space="preserve">In February 2024, the Mayor (under cover of Mayoral Decision (MD) 3230) approved </w:t>
      </w:r>
      <w:r w:rsidR="00316089">
        <w:rPr>
          <w:rFonts w:cs="Calibri"/>
          <w:bCs/>
        </w:rPr>
        <w:t>spending</w:t>
      </w:r>
      <w:r w:rsidRPr="00E909EA">
        <w:rPr>
          <w:rFonts w:cs="Calibri"/>
          <w:bCs/>
        </w:rPr>
        <w:t xml:space="preserve"> up to £64.31</w:t>
      </w:r>
      <w:r w:rsidR="00316089">
        <w:rPr>
          <w:rFonts w:cs="Calibri"/>
          <w:bCs/>
        </w:rPr>
        <w:t xml:space="preserve"> </w:t>
      </w:r>
      <w:r w:rsidRPr="00E909EA">
        <w:rPr>
          <w:rFonts w:cs="Calibri"/>
          <w:bCs/>
        </w:rPr>
        <w:t>m</w:t>
      </w:r>
      <w:r w:rsidR="00316089">
        <w:rPr>
          <w:rFonts w:cs="Calibri"/>
          <w:bCs/>
        </w:rPr>
        <w:t>illion</w:t>
      </w:r>
      <w:r w:rsidRPr="00E909EA">
        <w:rPr>
          <w:rFonts w:cs="Calibri"/>
          <w:bCs/>
        </w:rPr>
        <w:t xml:space="preserve"> for the next five-year Royal Docks Delivery Plan period </w:t>
      </w:r>
      <w:r w:rsidRPr="00E909EA">
        <w:rPr>
          <w:rFonts w:cs="Calibri"/>
          <w:color w:val="000000" w:themeColor="text1"/>
        </w:rPr>
        <w:t>(2024-25 to 2028-29)</w:t>
      </w:r>
      <w:r w:rsidR="00316089">
        <w:rPr>
          <w:rFonts w:cs="Calibri"/>
          <w:color w:val="000000" w:themeColor="text1"/>
        </w:rPr>
        <w:t>. This will</w:t>
      </w:r>
      <w:r w:rsidRPr="00E909EA">
        <w:rPr>
          <w:rFonts w:cs="Calibri"/>
          <w:color w:val="000000" w:themeColor="text1"/>
        </w:rPr>
        <w:t xml:space="preserve"> </w:t>
      </w:r>
      <w:r w:rsidRPr="00E909EA">
        <w:rPr>
          <w:rFonts w:cs="Calibri"/>
          <w:bCs/>
          <w:color w:val="000000" w:themeColor="text1"/>
          <w:lang w:eastAsia="en-GB"/>
        </w:rPr>
        <w:t xml:space="preserve">deliver </w:t>
      </w:r>
      <w:r w:rsidRPr="00E909EA">
        <w:rPr>
          <w:rFonts w:cs="Calibri"/>
          <w:color w:val="000000" w:themeColor="text1"/>
          <w:lang w:eastAsia="en-GB"/>
        </w:rPr>
        <w:t xml:space="preserve">programmes and projects designed to achieve three strategic outcomes: </w:t>
      </w:r>
    </w:p>
    <w:p w14:paraId="340F0D83" w14:textId="77777777" w:rsidR="00FD24B0" w:rsidRPr="00FD24B0" w:rsidRDefault="00FD6B27" w:rsidP="00F76018">
      <w:pPr>
        <w:pStyle w:val="ListParagraph"/>
        <w:numPr>
          <w:ilvl w:val="1"/>
          <w:numId w:val="48"/>
        </w:numPr>
        <w:spacing w:after="200"/>
        <w:ind w:left="992" w:hanging="283"/>
        <w:contextualSpacing w:val="0"/>
        <w:rPr>
          <w:color w:val="000000" w:themeColor="text1"/>
        </w:rPr>
      </w:pPr>
      <w:r w:rsidRPr="00FD24B0">
        <w:rPr>
          <w:rFonts w:cs="Calibri"/>
          <w:color w:val="000000" w:themeColor="text1"/>
        </w:rPr>
        <w:t>economic prosperity, growth and investment</w:t>
      </w:r>
    </w:p>
    <w:p w14:paraId="5E4CDB9D" w14:textId="77777777" w:rsidR="00FD24B0" w:rsidRPr="00FD24B0" w:rsidRDefault="00FD6B27" w:rsidP="00F76018">
      <w:pPr>
        <w:pStyle w:val="ListParagraph"/>
        <w:numPr>
          <w:ilvl w:val="1"/>
          <w:numId w:val="48"/>
        </w:numPr>
        <w:spacing w:after="200"/>
        <w:ind w:left="992" w:hanging="283"/>
        <w:contextualSpacing w:val="0"/>
        <w:rPr>
          <w:color w:val="000000" w:themeColor="text1"/>
        </w:rPr>
      </w:pPr>
      <w:r w:rsidRPr="00FD24B0">
        <w:rPr>
          <w:rFonts w:cs="Calibri"/>
          <w:color w:val="000000" w:themeColor="text1"/>
        </w:rPr>
        <w:t>environment, wellbeing, and community</w:t>
      </w:r>
    </w:p>
    <w:p w14:paraId="36436763" w14:textId="77777777" w:rsidR="00FD24B0" w:rsidRPr="00FD24B0" w:rsidRDefault="00FD6B27" w:rsidP="00F76018">
      <w:pPr>
        <w:pStyle w:val="ListParagraph"/>
        <w:numPr>
          <w:ilvl w:val="1"/>
          <w:numId w:val="48"/>
        </w:numPr>
        <w:spacing w:after="200"/>
        <w:ind w:left="992" w:hanging="283"/>
        <w:contextualSpacing w:val="0"/>
        <w:rPr>
          <w:color w:val="000000" w:themeColor="text1"/>
        </w:rPr>
      </w:pPr>
      <w:r w:rsidRPr="00FD24B0">
        <w:rPr>
          <w:rFonts w:cs="Calibri"/>
          <w:color w:val="000000" w:themeColor="text1"/>
        </w:rPr>
        <w:t>culture, identity and perception</w:t>
      </w:r>
      <w:r w:rsidR="00316089" w:rsidRPr="00FD24B0">
        <w:rPr>
          <w:rFonts w:cs="Calibri"/>
          <w:color w:val="000000" w:themeColor="text1"/>
        </w:rPr>
        <w:t>.</w:t>
      </w:r>
    </w:p>
    <w:p w14:paraId="3D6B6F11" w14:textId="4386F275" w:rsidR="00FD6B27" w:rsidRPr="00FD24B0" w:rsidRDefault="00316089" w:rsidP="00F76018">
      <w:pPr>
        <w:pStyle w:val="ListParagraph"/>
        <w:numPr>
          <w:ilvl w:val="1"/>
          <w:numId w:val="24"/>
        </w:numPr>
        <w:spacing w:after="200"/>
        <w:ind w:left="567" w:hanging="567"/>
        <w:contextualSpacing w:val="0"/>
        <w:rPr>
          <w:color w:val="000000" w:themeColor="text1"/>
        </w:rPr>
      </w:pPr>
      <w:r w:rsidRPr="00FD24B0">
        <w:rPr>
          <w:rFonts w:cs="Calibri"/>
          <w:color w:val="000000" w:themeColor="text1"/>
        </w:rPr>
        <w:t xml:space="preserve">MD3230 also </w:t>
      </w:r>
      <w:r w:rsidR="00FD6B27" w:rsidRPr="00FD24B0">
        <w:rPr>
          <w:rFonts w:cs="Calibri"/>
          <w:bCs/>
        </w:rPr>
        <w:t>delegated authority to the Executive Director of Housing and Land to approve</w:t>
      </w:r>
      <w:r w:rsidR="00363AF0" w:rsidRPr="00FD24B0">
        <w:rPr>
          <w:rFonts w:cs="Calibri"/>
          <w:bCs/>
        </w:rPr>
        <w:t xml:space="preserve"> (</w:t>
      </w:r>
      <w:r w:rsidR="00FD6B27" w:rsidRPr="00FD24B0">
        <w:rPr>
          <w:rFonts w:cs="Calibri"/>
          <w:bCs/>
        </w:rPr>
        <w:t>through D</w:t>
      </w:r>
      <w:r w:rsidRPr="00FD24B0">
        <w:rPr>
          <w:rFonts w:cs="Calibri"/>
          <w:bCs/>
        </w:rPr>
        <w:t xml:space="preserve">irector’s </w:t>
      </w:r>
      <w:r w:rsidR="00FD6B27" w:rsidRPr="00FD24B0">
        <w:rPr>
          <w:rFonts w:cs="Calibri"/>
          <w:bCs/>
        </w:rPr>
        <w:t>D</w:t>
      </w:r>
      <w:r w:rsidRPr="00FD24B0">
        <w:rPr>
          <w:rFonts w:cs="Calibri"/>
          <w:bCs/>
        </w:rPr>
        <w:t>ecision</w:t>
      </w:r>
      <w:r w:rsidR="002F090B" w:rsidRPr="00FD24B0">
        <w:rPr>
          <w:rFonts w:cs="Calibri"/>
          <w:bCs/>
        </w:rPr>
        <w:t xml:space="preserve"> (DD)</w:t>
      </w:r>
      <w:r w:rsidR="00FD6B27" w:rsidRPr="00FD24B0">
        <w:rPr>
          <w:rFonts w:cs="Calibri"/>
          <w:bCs/>
        </w:rPr>
        <w:t xml:space="preserve"> forms</w:t>
      </w:r>
      <w:r w:rsidR="00363AF0" w:rsidRPr="00FD24B0">
        <w:rPr>
          <w:rFonts w:cs="Calibri"/>
          <w:bCs/>
        </w:rPr>
        <w:t>)</w:t>
      </w:r>
      <w:r w:rsidR="00FD6B27" w:rsidRPr="00FD24B0">
        <w:rPr>
          <w:rFonts w:cs="Calibri"/>
          <w:bCs/>
        </w:rPr>
        <w:t xml:space="preserve"> the income and detailed spending proposals for each project </w:t>
      </w:r>
      <w:r w:rsidR="00363AF0" w:rsidRPr="00FD24B0">
        <w:rPr>
          <w:rFonts w:cs="Calibri"/>
          <w:bCs/>
        </w:rPr>
        <w:t>being</w:t>
      </w:r>
      <w:r w:rsidR="00FD6B27" w:rsidRPr="00FD24B0">
        <w:rPr>
          <w:rFonts w:cs="Calibri"/>
          <w:bCs/>
        </w:rPr>
        <w:t xml:space="preserve"> funded within this £64.31</w:t>
      </w:r>
      <w:r w:rsidRPr="00FD24B0">
        <w:rPr>
          <w:rFonts w:cs="Calibri"/>
          <w:bCs/>
        </w:rPr>
        <w:t xml:space="preserve"> </w:t>
      </w:r>
      <w:r w:rsidR="00FD6B27" w:rsidRPr="00FD24B0">
        <w:rPr>
          <w:rFonts w:cs="Calibri"/>
          <w:bCs/>
        </w:rPr>
        <w:t>m</w:t>
      </w:r>
      <w:r w:rsidRPr="00FD24B0">
        <w:rPr>
          <w:rFonts w:cs="Calibri"/>
          <w:bCs/>
        </w:rPr>
        <w:t>illion</w:t>
      </w:r>
      <w:r w:rsidR="00FD6B27" w:rsidRPr="00FD24B0">
        <w:rPr>
          <w:rFonts w:cs="Calibri"/>
          <w:bCs/>
        </w:rPr>
        <w:t xml:space="preserve"> expenditure budget envelope.</w:t>
      </w:r>
    </w:p>
    <w:p w14:paraId="5D90B4AB" w14:textId="2B104F6B" w:rsidR="00FD6B27" w:rsidRPr="000921EF" w:rsidRDefault="00363AF0" w:rsidP="00F96375">
      <w:pPr>
        <w:pStyle w:val="ListParagraph"/>
        <w:numPr>
          <w:ilvl w:val="1"/>
          <w:numId w:val="24"/>
        </w:numPr>
        <w:spacing w:after="200"/>
        <w:ind w:left="567" w:hanging="567"/>
        <w:contextualSpacing w:val="0"/>
        <w:rPr>
          <w:color w:val="000000" w:themeColor="text1"/>
        </w:rPr>
      </w:pPr>
      <w:r>
        <w:rPr>
          <w:rFonts w:cs="Arial"/>
        </w:rPr>
        <w:t xml:space="preserve">The period </w:t>
      </w:r>
      <w:r w:rsidR="00FD6B27" w:rsidRPr="00E909EA">
        <w:rPr>
          <w:rFonts w:cs="Arial"/>
        </w:rPr>
        <w:t>2024-2</w:t>
      </w:r>
      <w:r w:rsidR="000E0EE4">
        <w:rPr>
          <w:rFonts w:cs="Arial"/>
        </w:rPr>
        <w:t>9</w:t>
      </w:r>
      <w:r w:rsidR="00FD6B27" w:rsidRPr="00E909EA">
        <w:rPr>
          <w:rFonts w:cs="Arial"/>
        </w:rPr>
        <w:t xml:space="preserve"> marks an exciting chapter in the Royal Docks’ extensive redevelopment. Thousands of new affordable homes and workspaces are being built; a major uplift to the area’s connectivity and public realm is taking place; </w:t>
      </w:r>
      <w:r w:rsidR="00A47E4A" w:rsidRPr="00E909EA">
        <w:rPr>
          <w:rFonts w:cs="Arial"/>
        </w:rPr>
        <w:t>Ex</w:t>
      </w:r>
      <w:r w:rsidR="00A47E4A">
        <w:rPr>
          <w:rFonts w:cs="Arial"/>
        </w:rPr>
        <w:t>c</w:t>
      </w:r>
      <w:r w:rsidR="00A47E4A" w:rsidRPr="00E909EA">
        <w:rPr>
          <w:rFonts w:cs="Arial"/>
        </w:rPr>
        <w:t>e</w:t>
      </w:r>
      <w:r w:rsidR="00FF5F54">
        <w:rPr>
          <w:rFonts w:cs="Arial"/>
        </w:rPr>
        <w:t>l</w:t>
      </w:r>
      <w:r w:rsidR="00A47E4A" w:rsidRPr="00E909EA">
        <w:rPr>
          <w:rFonts w:cs="Arial"/>
        </w:rPr>
        <w:t xml:space="preserve"> </w:t>
      </w:r>
      <w:r w:rsidR="00FD6B27" w:rsidRPr="00E909EA">
        <w:rPr>
          <w:rFonts w:cs="Arial"/>
        </w:rPr>
        <w:t>London’s significant expansion is completing</w:t>
      </w:r>
      <w:r w:rsidR="003606E8">
        <w:rPr>
          <w:rFonts w:cs="Arial"/>
        </w:rPr>
        <w:t>;</w:t>
      </w:r>
      <w:r w:rsidR="00FD6B27" w:rsidRPr="00E909EA">
        <w:rPr>
          <w:rFonts w:cs="Arial"/>
        </w:rPr>
        <w:t xml:space="preserve"> and unprecedented levels of regeneration and investment signal a step change in the area’s transformation. The Royal Docks Team (RDT) is working with stakeholders and residents to maximise these opportunities</w:t>
      </w:r>
      <w:r w:rsidR="007A13E1">
        <w:rPr>
          <w:rFonts w:cs="Arial"/>
        </w:rPr>
        <w:t xml:space="preserve">. This work will </w:t>
      </w:r>
      <w:r w:rsidR="00FD6B27" w:rsidRPr="00E909EA">
        <w:rPr>
          <w:rFonts w:cs="Arial"/>
        </w:rPr>
        <w:t>harness the area’s unique qualities</w:t>
      </w:r>
      <w:r w:rsidR="007A13E1">
        <w:rPr>
          <w:rFonts w:cs="Arial"/>
        </w:rPr>
        <w:t>,</w:t>
      </w:r>
      <w:r w:rsidR="00FD6B27" w:rsidRPr="00E909EA">
        <w:rPr>
          <w:rFonts w:cs="Arial"/>
        </w:rPr>
        <w:t xml:space="preserve"> and planned investment</w:t>
      </w:r>
      <w:r w:rsidR="007A13E1">
        <w:rPr>
          <w:rFonts w:cs="Arial"/>
        </w:rPr>
        <w:t>,</w:t>
      </w:r>
      <w:r w:rsidR="00FD6B27" w:rsidRPr="00E909EA">
        <w:rPr>
          <w:rFonts w:cs="Arial"/>
        </w:rPr>
        <w:t xml:space="preserve"> to transform it into an inclusive, sustainable and attractive place to live, work and visit.</w:t>
      </w:r>
      <w:r w:rsidR="00EA1F8B">
        <w:rPr>
          <w:rFonts w:cs="Arial"/>
        </w:rPr>
        <w:t xml:space="preserve"> </w:t>
      </w:r>
    </w:p>
    <w:p w14:paraId="705C0933" w14:textId="23ED8DCA" w:rsidR="000921EF" w:rsidRPr="000921EF" w:rsidRDefault="000921EF" w:rsidP="000921EF">
      <w:pPr>
        <w:pStyle w:val="ListParagraph"/>
        <w:numPr>
          <w:ilvl w:val="1"/>
          <w:numId w:val="24"/>
        </w:numPr>
        <w:spacing w:after="200"/>
        <w:ind w:left="567" w:hanging="567"/>
        <w:contextualSpacing w:val="0"/>
        <w:rPr>
          <w:color w:val="000000" w:themeColor="text1"/>
        </w:rPr>
      </w:pPr>
      <w:r w:rsidRPr="0035005B">
        <w:rPr>
          <w:rFonts w:cs="Arial"/>
        </w:rPr>
        <w:t xml:space="preserve">The next phase of </w:t>
      </w:r>
      <w:r>
        <w:rPr>
          <w:rFonts w:cs="Arial"/>
        </w:rPr>
        <w:t xml:space="preserve">delivery </w:t>
      </w:r>
      <w:r w:rsidRPr="0035005B">
        <w:rPr>
          <w:rFonts w:cs="Arial"/>
        </w:rPr>
        <w:t>(2026–2029) is focused on accelerating housing and commercial delivery, while ensuring that growth is supported by high-quality public realm, infrastructure and long-term place stewardship. To achieve this, the RDT is delivering a coordinated programme structured around five interrelated priority areas: Sector Development; Housing Delivery and Development Coordination; Public Realm and Cultural Placemaking (with a focus on Royal Victoria); Place Stewardship and Community Participation; and Marketing and Communications. These programmes are designed to operate collectively, with each contributing to the conditions required for successful development — including strengthening demand, improving place quality, supporting infrastructure delivery and enhancing the Royal Docks’ identity and investor proposition.</w:t>
      </w:r>
    </w:p>
    <w:p w14:paraId="135C0336" w14:textId="6F703BAE" w:rsidR="00D007B6" w:rsidRPr="00D007B6" w:rsidRDefault="00D007B6" w:rsidP="00D007B6">
      <w:pPr>
        <w:pStyle w:val="ListParagraph"/>
        <w:numPr>
          <w:ilvl w:val="1"/>
          <w:numId w:val="24"/>
        </w:numPr>
        <w:spacing w:after="200"/>
        <w:ind w:left="567" w:hanging="567"/>
        <w:contextualSpacing w:val="0"/>
        <w:rPr>
          <w:color w:val="000000" w:themeColor="text1"/>
        </w:rPr>
      </w:pPr>
      <w:r w:rsidRPr="00D44008">
        <w:rPr>
          <w:color w:val="000000" w:themeColor="text1"/>
        </w:rPr>
        <w:t>Th</w:t>
      </w:r>
      <w:r>
        <w:rPr>
          <w:color w:val="000000" w:themeColor="text1"/>
        </w:rPr>
        <w:t>e Royal Docks</w:t>
      </w:r>
      <w:r w:rsidRPr="00D44008">
        <w:t xml:space="preserve"> </w:t>
      </w:r>
      <w:r w:rsidRPr="00D44008">
        <w:rPr>
          <w:color w:val="000000" w:themeColor="text1"/>
        </w:rPr>
        <w:t xml:space="preserve">programme supports the </w:t>
      </w:r>
      <w:proofErr w:type="gramStart"/>
      <w:r w:rsidRPr="00D44008">
        <w:rPr>
          <w:color w:val="000000" w:themeColor="text1"/>
        </w:rPr>
        <w:t>Mayor’s</w:t>
      </w:r>
      <w:proofErr w:type="gramEnd"/>
      <w:r w:rsidRPr="00D44008">
        <w:rPr>
          <w:color w:val="000000" w:themeColor="text1"/>
        </w:rPr>
        <w:t xml:space="preserve"> mandate of </w:t>
      </w:r>
      <w:r w:rsidRPr="00D44008">
        <w:rPr>
          <w:i/>
          <w:iCs/>
          <w:color w:val="000000" w:themeColor="text1"/>
        </w:rPr>
        <w:t>Housing: Building More Homes</w:t>
      </w:r>
      <w:r w:rsidRPr="00D44008">
        <w:rPr>
          <w:color w:val="000000" w:themeColor="text1"/>
        </w:rPr>
        <w:t xml:space="preserve"> by contributing to the delivery of new housing across the Royal Docks. The RDT plays a critical enabling and coordination role, working closely with development partners to unlock and accelerate housing development, support affordable housing delivery and enable build-out across multiple sites. By working in partnership with the London Borough of Newham, developers and stakeholders, the programme helps ensure that new homes are delivered at scale and supported by the conditions required for successful, liveable and sustainable neighbourhoods.</w:t>
      </w:r>
    </w:p>
    <w:p w14:paraId="7454BE21" w14:textId="35C5F74B" w:rsidR="005061CC" w:rsidRPr="005061CC" w:rsidRDefault="00C44DD8" w:rsidP="00F96375">
      <w:pPr>
        <w:pStyle w:val="ListParagraph"/>
        <w:numPr>
          <w:ilvl w:val="1"/>
          <w:numId w:val="24"/>
        </w:numPr>
        <w:spacing w:after="200"/>
        <w:ind w:left="567" w:hanging="567"/>
        <w:contextualSpacing w:val="0"/>
        <w:rPr>
          <w:color w:val="000000" w:themeColor="text1"/>
        </w:rPr>
      </w:pPr>
      <w:r w:rsidRPr="007A5604">
        <w:rPr>
          <w:rFonts w:cs="Arial"/>
        </w:rPr>
        <w:lastRenderedPageBreak/>
        <w:t xml:space="preserve">This DD </w:t>
      </w:r>
      <w:r w:rsidR="007A5604" w:rsidRPr="007A5604">
        <w:rPr>
          <w:rFonts w:cs="Arial"/>
        </w:rPr>
        <w:t>sets out the case for the Royal Docks Public Realm and Cultural Placemaking Programme</w:t>
      </w:r>
      <w:r w:rsidR="000921EF">
        <w:rPr>
          <w:rFonts w:cs="Arial"/>
        </w:rPr>
        <w:t xml:space="preserve">, </w:t>
      </w:r>
      <w:r w:rsidR="000921EF" w:rsidRPr="00C42B8A">
        <w:rPr>
          <w:rFonts w:cs="Arial"/>
        </w:rPr>
        <w:t>one of the five priority programmes described above</w:t>
      </w:r>
      <w:r w:rsidR="00FF5F54">
        <w:rPr>
          <w:rFonts w:cs="Arial"/>
        </w:rPr>
        <w:t xml:space="preserve">. This </w:t>
      </w:r>
      <w:r w:rsidR="007A5604" w:rsidRPr="007A5604">
        <w:rPr>
          <w:rFonts w:cs="Arial"/>
        </w:rPr>
        <w:t>will provide strategic leadership for public</w:t>
      </w:r>
      <w:r w:rsidR="00FF5F54">
        <w:rPr>
          <w:rFonts w:cs="Arial"/>
        </w:rPr>
        <w:t>-</w:t>
      </w:r>
      <w:r w:rsidR="007A5604" w:rsidRPr="007A5604">
        <w:rPr>
          <w:rFonts w:cs="Arial"/>
        </w:rPr>
        <w:t xml:space="preserve">realm coordination and cultural activation across </w:t>
      </w:r>
      <w:r w:rsidR="00FF5F54">
        <w:rPr>
          <w:rFonts w:cs="Arial"/>
        </w:rPr>
        <w:t xml:space="preserve">the </w:t>
      </w:r>
      <w:r w:rsidR="007A5604" w:rsidRPr="007A5604">
        <w:rPr>
          <w:rFonts w:cs="Arial"/>
        </w:rPr>
        <w:t xml:space="preserve">Royal Victoria, Royal Albert </w:t>
      </w:r>
      <w:r w:rsidR="006A7129">
        <w:rPr>
          <w:rFonts w:cs="Arial"/>
        </w:rPr>
        <w:t xml:space="preserve">Dock </w:t>
      </w:r>
      <w:r w:rsidR="007A5604" w:rsidRPr="007A5604">
        <w:rPr>
          <w:rFonts w:cs="Arial"/>
        </w:rPr>
        <w:t>and wider Royal Docks neighbourhoods. The programme will support the delivery of high-quality public spaces,</w:t>
      </w:r>
      <w:r w:rsidR="00466D85">
        <w:rPr>
          <w:rFonts w:cs="Arial"/>
        </w:rPr>
        <w:t xml:space="preserve"> and</w:t>
      </w:r>
      <w:r w:rsidR="007A5604" w:rsidRPr="007A5604">
        <w:rPr>
          <w:rFonts w:cs="Arial"/>
        </w:rPr>
        <w:t xml:space="preserve"> cultural programming and placemaking initiatives</w:t>
      </w:r>
      <w:r w:rsidR="00466D85">
        <w:rPr>
          <w:rFonts w:cs="Arial"/>
        </w:rPr>
        <w:t>,</w:t>
      </w:r>
      <w:r w:rsidR="007A5604" w:rsidRPr="007A5604">
        <w:rPr>
          <w:rFonts w:cs="Arial"/>
        </w:rPr>
        <w:t xml:space="preserve"> that strengthen the identity and attractiveness of the Royal Docks.</w:t>
      </w:r>
    </w:p>
    <w:p w14:paraId="3664FE87" w14:textId="2ED1E6BD" w:rsidR="00466D85" w:rsidRDefault="00FD6B27" w:rsidP="00F96375">
      <w:pPr>
        <w:pStyle w:val="ListParagraph"/>
        <w:numPr>
          <w:ilvl w:val="1"/>
          <w:numId w:val="24"/>
        </w:numPr>
        <w:spacing w:after="200"/>
        <w:ind w:left="567" w:hanging="567"/>
        <w:contextualSpacing w:val="0"/>
        <w:rPr>
          <w:color w:val="000000" w:themeColor="text1"/>
        </w:rPr>
      </w:pPr>
      <w:bookmarkStart w:id="2" w:name="_Hlk225276105"/>
      <w:r w:rsidRPr="005061CC">
        <w:rPr>
          <w:color w:val="000000" w:themeColor="text1"/>
        </w:rPr>
        <w:t xml:space="preserve">This investment </w:t>
      </w:r>
      <w:r w:rsidR="00D007B6">
        <w:rPr>
          <w:color w:val="000000" w:themeColor="text1"/>
        </w:rPr>
        <w:t xml:space="preserve">also </w:t>
      </w:r>
      <w:r w:rsidRPr="005061CC">
        <w:rPr>
          <w:color w:val="000000" w:themeColor="text1"/>
        </w:rPr>
        <w:t xml:space="preserve">directly supports the </w:t>
      </w:r>
      <w:r w:rsidR="00466D85">
        <w:rPr>
          <w:color w:val="000000" w:themeColor="text1"/>
        </w:rPr>
        <w:t xml:space="preserve">following </w:t>
      </w:r>
      <w:r w:rsidRPr="005061CC">
        <w:rPr>
          <w:color w:val="000000" w:themeColor="text1"/>
        </w:rPr>
        <w:t xml:space="preserve">Mayoral </w:t>
      </w:r>
      <w:r w:rsidR="00F76018">
        <w:rPr>
          <w:color w:val="000000" w:themeColor="text1"/>
        </w:rPr>
        <w:t>programmes</w:t>
      </w:r>
      <w:r w:rsidR="00466D85">
        <w:rPr>
          <w:color w:val="000000" w:themeColor="text1"/>
        </w:rPr>
        <w:t>:</w:t>
      </w:r>
      <w:r w:rsidR="007A13E1" w:rsidRPr="005061CC">
        <w:rPr>
          <w:color w:val="000000" w:themeColor="text1"/>
        </w:rPr>
        <w:t xml:space="preserve"> </w:t>
      </w:r>
    </w:p>
    <w:p w14:paraId="41E77930" w14:textId="5E1C88AB" w:rsidR="00466D85" w:rsidRDefault="00466D85" w:rsidP="00466D85">
      <w:pPr>
        <w:pStyle w:val="ListParagraph"/>
        <w:numPr>
          <w:ilvl w:val="0"/>
          <w:numId w:val="55"/>
        </w:numPr>
        <w:spacing w:after="200"/>
        <w:ind w:left="992" w:hanging="283"/>
        <w:contextualSpacing w:val="0"/>
        <w:rPr>
          <w:color w:val="000000" w:themeColor="text1"/>
        </w:rPr>
      </w:pPr>
      <w:r>
        <w:rPr>
          <w:color w:val="000000" w:themeColor="text1"/>
        </w:rPr>
        <w:t>u</w:t>
      </w:r>
      <w:r w:rsidRPr="005061CC">
        <w:rPr>
          <w:color w:val="000000" w:themeColor="text1"/>
        </w:rPr>
        <w:t xml:space="preserve">pgrading </w:t>
      </w:r>
      <w:r w:rsidR="007A5604" w:rsidRPr="005061CC">
        <w:rPr>
          <w:color w:val="000000" w:themeColor="text1"/>
        </w:rPr>
        <w:t>London’s infrastructure</w:t>
      </w:r>
      <w:r w:rsidR="00796A8E" w:rsidRPr="005061CC">
        <w:rPr>
          <w:color w:val="000000" w:themeColor="text1"/>
        </w:rPr>
        <w:t xml:space="preserve"> </w:t>
      </w:r>
    </w:p>
    <w:p w14:paraId="3950328E" w14:textId="1E7CC32D" w:rsidR="00466D85" w:rsidRDefault="00466D85" w:rsidP="00466D85">
      <w:pPr>
        <w:pStyle w:val="ListParagraph"/>
        <w:numPr>
          <w:ilvl w:val="0"/>
          <w:numId w:val="55"/>
        </w:numPr>
        <w:spacing w:after="200"/>
        <w:ind w:left="992" w:hanging="283"/>
        <w:contextualSpacing w:val="0"/>
        <w:rPr>
          <w:color w:val="000000" w:themeColor="text1"/>
        </w:rPr>
      </w:pPr>
      <w:r>
        <w:rPr>
          <w:color w:val="000000" w:themeColor="text1"/>
        </w:rPr>
        <w:t>s</w:t>
      </w:r>
      <w:r w:rsidR="007A5604" w:rsidRPr="005061CC">
        <w:rPr>
          <w:color w:val="000000" w:themeColor="text1"/>
        </w:rPr>
        <w:t xml:space="preserve">upporting community, cultural and sporting events in London. </w:t>
      </w:r>
    </w:p>
    <w:p w14:paraId="32F35A50" w14:textId="05A1F932" w:rsidR="008D1975" w:rsidRPr="00F76018" w:rsidRDefault="008D1975" w:rsidP="00F76018">
      <w:pPr>
        <w:spacing w:after="200"/>
        <w:ind w:left="567"/>
        <w:rPr>
          <w:color w:val="000000" w:themeColor="text1"/>
        </w:rPr>
      </w:pPr>
      <w:r w:rsidRPr="00F76018">
        <w:rPr>
          <w:color w:val="000000" w:themeColor="text1"/>
        </w:rPr>
        <w:t xml:space="preserve">It </w:t>
      </w:r>
      <w:r w:rsidR="00FD6B27" w:rsidRPr="00F76018">
        <w:rPr>
          <w:color w:val="000000" w:themeColor="text1"/>
        </w:rPr>
        <w:t xml:space="preserve">indirectly supports the following </w:t>
      </w:r>
      <w:r w:rsidR="00F76018">
        <w:rPr>
          <w:color w:val="000000" w:themeColor="text1"/>
        </w:rPr>
        <w:t>programmes</w:t>
      </w:r>
      <w:r w:rsidR="00FD6B27" w:rsidRPr="00F76018">
        <w:rPr>
          <w:color w:val="000000" w:themeColor="text1"/>
        </w:rPr>
        <w:t xml:space="preserve">: </w:t>
      </w:r>
    </w:p>
    <w:p w14:paraId="6A9D30EC" w14:textId="2B6AB9DC" w:rsidR="00796A8E" w:rsidRDefault="00796A8E" w:rsidP="00F96375">
      <w:pPr>
        <w:pStyle w:val="ListParagraph"/>
        <w:numPr>
          <w:ilvl w:val="0"/>
          <w:numId w:val="34"/>
        </w:numPr>
        <w:spacing w:after="200"/>
        <w:ind w:left="992" w:hanging="283"/>
        <w:contextualSpacing w:val="0"/>
        <w:rPr>
          <w:color w:val="000000" w:themeColor="text1"/>
        </w:rPr>
      </w:pPr>
      <w:r>
        <w:rPr>
          <w:color w:val="000000" w:themeColor="text1"/>
        </w:rPr>
        <w:t>s</w:t>
      </w:r>
      <w:r w:rsidRPr="007A13E1">
        <w:rPr>
          <w:color w:val="000000" w:themeColor="text1"/>
        </w:rPr>
        <w:t>upport</w:t>
      </w:r>
      <w:r>
        <w:rPr>
          <w:color w:val="000000" w:themeColor="text1"/>
        </w:rPr>
        <w:t>ing Londoners to benefit from growth</w:t>
      </w:r>
    </w:p>
    <w:p w14:paraId="2B13939D" w14:textId="518F61F7" w:rsidR="00796A8E" w:rsidRDefault="00796A8E" w:rsidP="00F96375">
      <w:pPr>
        <w:pStyle w:val="ListParagraph"/>
        <w:numPr>
          <w:ilvl w:val="0"/>
          <w:numId w:val="34"/>
        </w:numPr>
        <w:spacing w:after="200"/>
        <w:ind w:left="992" w:hanging="283"/>
        <w:contextualSpacing w:val="0"/>
        <w:rPr>
          <w:color w:val="000000" w:themeColor="text1"/>
        </w:rPr>
      </w:pPr>
      <w:r>
        <w:rPr>
          <w:color w:val="000000" w:themeColor="text1"/>
        </w:rPr>
        <w:t xml:space="preserve">supporting and inspiring young Londoners </w:t>
      </w:r>
    </w:p>
    <w:p w14:paraId="52205AB8" w14:textId="2DE1B55E" w:rsidR="008D1975" w:rsidRDefault="008D1975" w:rsidP="00F96375">
      <w:pPr>
        <w:pStyle w:val="ListParagraph"/>
        <w:numPr>
          <w:ilvl w:val="0"/>
          <w:numId w:val="34"/>
        </w:numPr>
        <w:spacing w:after="200"/>
        <w:ind w:left="992" w:hanging="283"/>
        <w:contextualSpacing w:val="0"/>
        <w:rPr>
          <w:color w:val="000000" w:themeColor="text1"/>
        </w:rPr>
      </w:pPr>
      <w:r>
        <w:rPr>
          <w:color w:val="000000" w:themeColor="text1"/>
        </w:rPr>
        <w:t>m</w:t>
      </w:r>
      <w:r w:rsidRPr="007A13E1">
        <w:rPr>
          <w:color w:val="000000" w:themeColor="text1"/>
        </w:rPr>
        <w:t xml:space="preserve">aking </w:t>
      </w:r>
      <w:r w:rsidR="00F76018">
        <w:rPr>
          <w:color w:val="000000" w:themeColor="text1"/>
        </w:rPr>
        <w:t>best use</w:t>
      </w:r>
      <w:r w:rsidR="00FD6B27" w:rsidRPr="007A13E1">
        <w:rPr>
          <w:color w:val="000000" w:themeColor="text1"/>
        </w:rPr>
        <w:t xml:space="preserve"> of land</w:t>
      </w:r>
      <w:r w:rsidR="00796A8E">
        <w:rPr>
          <w:color w:val="000000" w:themeColor="text1"/>
        </w:rPr>
        <w:t xml:space="preserve"> </w:t>
      </w:r>
    </w:p>
    <w:p w14:paraId="0C9986FF" w14:textId="33584A79" w:rsidR="00744BBD" w:rsidRPr="007A5604" w:rsidRDefault="00744BBD" w:rsidP="00F96375">
      <w:pPr>
        <w:pStyle w:val="ListParagraph"/>
        <w:numPr>
          <w:ilvl w:val="0"/>
          <w:numId w:val="34"/>
        </w:numPr>
        <w:spacing w:after="200"/>
        <w:ind w:left="992" w:hanging="283"/>
        <w:contextualSpacing w:val="0"/>
        <w:rPr>
          <w:color w:val="000000" w:themeColor="text1"/>
        </w:rPr>
      </w:pPr>
      <w:r w:rsidRPr="00744BBD">
        <w:rPr>
          <w:rFonts w:eastAsia="Arial" w:cs="Arial"/>
        </w:rPr>
        <w:t>delivering a greener</w:t>
      </w:r>
      <w:r w:rsidR="00205C46">
        <w:rPr>
          <w:rFonts w:eastAsia="Arial" w:cs="Arial"/>
        </w:rPr>
        <w:t>,</w:t>
      </w:r>
      <w:r w:rsidRPr="00744BBD">
        <w:rPr>
          <w:rFonts w:eastAsia="Arial" w:cs="Arial"/>
        </w:rPr>
        <w:t xml:space="preserve"> more</w:t>
      </w:r>
      <w:r w:rsidR="00205C46">
        <w:rPr>
          <w:rFonts w:eastAsia="Arial" w:cs="Arial"/>
        </w:rPr>
        <w:t>-</w:t>
      </w:r>
      <w:r w:rsidRPr="00744BBD">
        <w:rPr>
          <w:rFonts w:eastAsia="Arial" w:cs="Arial"/>
        </w:rPr>
        <w:t>climate resilient London</w:t>
      </w:r>
    </w:p>
    <w:p w14:paraId="3363A0EF" w14:textId="5D2DD57A" w:rsidR="007A5604" w:rsidRPr="007A5604" w:rsidRDefault="00466D85" w:rsidP="00F96375">
      <w:pPr>
        <w:pStyle w:val="ListParagraph"/>
        <w:numPr>
          <w:ilvl w:val="0"/>
          <w:numId w:val="34"/>
        </w:numPr>
        <w:spacing w:after="200"/>
        <w:ind w:left="992" w:hanging="283"/>
        <w:contextualSpacing w:val="0"/>
        <w:rPr>
          <w:color w:val="000000" w:themeColor="text1"/>
        </w:rPr>
      </w:pPr>
      <w:r>
        <w:rPr>
          <w:color w:val="000000" w:themeColor="text1"/>
        </w:rPr>
        <w:t xml:space="preserve">helping </w:t>
      </w:r>
      <w:r w:rsidR="007A5604">
        <w:rPr>
          <w:color w:val="000000" w:themeColor="text1"/>
        </w:rPr>
        <w:t xml:space="preserve">local economies to thrive </w:t>
      </w:r>
    </w:p>
    <w:p w14:paraId="06B6292E" w14:textId="42639B23" w:rsidR="007A5604" w:rsidRPr="007A5604" w:rsidRDefault="00466D85" w:rsidP="00F76018">
      <w:pPr>
        <w:pStyle w:val="ListParagraph"/>
        <w:numPr>
          <w:ilvl w:val="0"/>
          <w:numId w:val="34"/>
        </w:numPr>
        <w:spacing w:after="200"/>
        <w:ind w:left="992" w:hanging="283"/>
        <w:contextualSpacing w:val="0"/>
        <w:rPr>
          <w:rFonts w:eastAsia="Arial" w:cs="Arial"/>
        </w:rPr>
      </w:pPr>
      <w:r>
        <w:rPr>
          <w:rFonts w:eastAsia="Arial" w:cs="Arial"/>
        </w:rPr>
        <w:t>b</w:t>
      </w:r>
      <w:r w:rsidRPr="007A5604">
        <w:rPr>
          <w:rFonts w:eastAsia="Arial" w:cs="Arial"/>
        </w:rPr>
        <w:t xml:space="preserve">oosting </w:t>
      </w:r>
      <w:r w:rsidR="007A5604" w:rsidRPr="007A5604">
        <w:rPr>
          <w:rFonts w:eastAsia="Arial" w:cs="Arial"/>
        </w:rPr>
        <w:t>London’s growth sectors</w:t>
      </w:r>
    </w:p>
    <w:bookmarkEnd w:id="2"/>
    <w:p w14:paraId="52A684E0" w14:textId="29E41DEA" w:rsidR="0095145C" w:rsidRDefault="007954A0" w:rsidP="00F96375">
      <w:pPr>
        <w:pStyle w:val="ListParagraph"/>
        <w:numPr>
          <w:ilvl w:val="1"/>
          <w:numId w:val="24"/>
        </w:numPr>
        <w:spacing w:after="200"/>
        <w:ind w:left="567" w:hanging="567"/>
        <w:contextualSpacing w:val="0"/>
        <w:rPr>
          <w:color w:val="000000" w:themeColor="text1"/>
        </w:rPr>
      </w:pPr>
      <w:r w:rsidRPr="007954A0">
        <w:rPr>
          <w:color w:val="000000" w:themeColor="text1"/>
        </w:rPr>
        <w:t>Working closely with key partners including developers, landowners, cultural organisations and local communities,</w:t>
      </w:r>
      <w:r w:rsidR="00FD6B27" w:rsidRPr="00E909EA">
        <w:rPr>
          <w:color w:val="000000" w:themeColor="text1"/>
        </w:rPr>
        <w:t xml:space="preserve"> the </w:t>
      </w:r>
      <w:r w:rsidR="00FD6B27">
        <w:rPr>
          <w:color w:val="000000" w:themeColor="text1"/>
        </w:rPr>
        <w:t xml:space="preserve">RDT </w:t>
      </w:r>
      <w:r w:rsidR="00FD6B27" w:rsidRPr="00E909EA">
        <w:rPr>
          <w:color w:val="000000" w:themeColor="text1"/>
        </w:rPr>
        <w:t>will</w:t>
      </w:r>
      <w:r w:rsidR="0095145C">
        <w:rPr>
          <w:color w:val="000000" w:themeColor="text1"/>
        </w:rPr>
        <w:t>:</w:t>
      </w:r>
      <w:r w:rsidR="00FD6B27" w:rsidRPr="00E909EA">
        <w:rPr>
          <w:color w:val="000000" w:themeColor="text1"/>
        </w:rPr>
        <w:t xml:space="preserve"> </w:t>
      </w:r>
    </w:p>
    <w:p w14:paraId="219D9E9C" w14:textId="77777777" w:rsidR="007954A0" w:rsidRDefault="007954A0" w:rsidP="00F96375">
      <w:pPr>
        <w:pStyle w:val="ListParagraph"/>
        <w:numPr>
          <w:ilvl w:val="0"/>
          <w:numId w:val="35"/>
        </w:numPr>
        <w:spacing w:after="200"/>
        <w:ind w:left="992" w:hanging="283"/>
        <w:contextualSpacing w:val="0"/>
        <w:rPr>
          <w:color w:val="000000" w:themeColor="text1"/>
        </w:rPr>
      </w:pPr>
      <w:r w:rsidRPr="007954A0">
        <w:rPr>
          <w:color w:val="000000" w:themeColor="text1"/>
        </w:rPr>
        <w:t>coordinate public realm improvements across the Royal Docks</w:t>
      </w:r>
    </w:p>
    <w:p w14:paraId="249C2229" w14:textId="77777777" w:rsidR="007954A0" w:rsidRDefault="007954A0" w:rsidP="00F96375">
      <w:pPr>
        <w:pStyle w:val="ListParagraph"/>
        <w:numPr>
          <w:ilvl w:val="0"/>
          <w:numId w:val="35"/>
        </w:numPr>
        <w:spacing w:after="200"/>
        <w:ind w:left="992" w:hanging="283"/>
        <w:contextualSpacing w:val="0"/>
        <w:rPr>
          <w:color w:val="000000" w:themeColor="text1"/>
        </w:rPr>
      </w:pPr>
      <w:r w:rsidRPr="007954A0">
        <w:rPr>
          <w:color w:val="000000" w:themeColor="text1"/>
        </w:rPr>
        <w:t>embed culture within the everyday life and identity of the area</w:t>
      </w:r>
    </w:p>
    <w:p w14:paraId="40277983" w14:textId="77777777" w:rsidR="007954A0" w:rsidRDefault="007954A0" w:rsidP="00F96375">
      <w:pPr>
        <w:pStyle w:val="ListParagraph"/>
        <w:numPr>
          <w:ilvl w:val="0"/>
          <w:numId w:val="35"/>
        </w:numPr>
        <w:spacing w:after="200"/>
        <w:ind w:left="992" w:hanging="283"/>
        <w:contextualSpacing w:val="0"/>
        <w:rPr>
          <w:color w:val="000000" w:themeColor="text1"/>
        </w:rPr>
      </w:pPr>
      <w:r w:rsidRPr="007954A0">
        <w:rPr>
          <w:color w:val="000000" w:themeColor="text1"/>
        </w:rPr>
        <w:t>support cultural production, events and public art</w:t>
      </w:r>
    </w:p>
    <w:p w14:paraId="70A2AA94" w14:textId="216BB0DC" w:rsidR="00C44DD8" w:rsidRDefault="007954A0" w:rsidP="00F96375">
      <w:pPr>
        <w:pStyle w:val="ListParagraph"/>
        <w:numPr>
          <w:ilvl w:val="0"/>
          <w:numId w:val="35"/>
        </w:numPr>
        <w:spacing w:after="200"/>
        <w:ind w:left="992" w:hanging="283"/>
        <w:contextualSpacing w:val="0"/>
        <w:rPr>
          <w:color w:val="000000" w:themeColor="text1"/>
        </w:rPr>
      </w:pPr>
      <w:r w:rsidRPr="007954A0">
        <w:rPr>
          <w:color w:val="000000" w:themeColor="text1"/>
        </w:rPr>
        <w:t>activate public spaces and waterfront areas.</w:t>
      </w:r>
    </w:p>
    <w:p w14:paraId="67FEC959" w14:textId="6E672A13" w:rsidR="00FD6B27" w:rsidRPr="007954A0" w:rsidRDefault="007954A0" w:rsidP="00F96375">
      <w:pPr>
        <w:pStyle w:val="ListParagraph"/>
        <w:numPr>
          <w:ilvl w:val="1"/>
          <w:numId w:val="24"/>
        </w:numPr>
        <w:spacing w:after="200"/>
        <w:ind w:left="567" w:hanging="567"/>
        <w:contextualSpacing w:val="0"/>
        <w:rPr>
          <w:color w:val="000000" w:themeColor="text1"/>
        </w:rPr>
      </w:pPr>
      <w:r w:rsidRPr="007954A0">
        <w:rPr>
          <w:rFonts w:cs="Arial"/>
        </w:rPr>
        <w:t>Cultural placemaking activity will animate public spaces across the Royal Docks</w:t>
      </w:r>
      <w:r w:rsidR="00466D85">
        <w:rPr>
          <w:rFonts w:cs="Arial"/>
        </w:rPr>
        <w:t>;</w:t>
      </w:r>
      <w:r w:rsidRPr="007954A0">
        <w:rPr>
          <w:rFonts w:cs="Arial"/>
        </w:rPr>
        <w:t xml:space="preserve"> and support the continued growth of programmes such as At the Docks, Royal Docks Originals and Royal Docks Summer Splash</w:t>
      </w:r>
      <w:r w:rsidR="00466D85">
        <w:rPr>
          <w:rFonts w:cs="Arial"/>
        </w:rPr>
        <w:t xml:space="preserve">. This work will </w:t>
      </w:r>
      <w:r w:rsidRPr="007954A0">
        <w:rPr>
          <w:rFonts w:cs="Arial"/>
        </w:rPr>
        <w:t>help to establish the area as a distinctive cultural destination.</w:t>
      </w:r>
    </w:p>
    <w:p w14:paraId="1537DFB7" w14:textId="78052F53" w:rsidR="00466D85" w:rsidRPr="007954A0" w:rsidRDefault="007954A0" w:rsidP="00F96375">
      <w:pPr>
        <w:pStyle w:val="ListParagraph"/>
        <w:numPr>
          <w:ilvl w:val="1"/>
          <w:numId w:val="24"/>
        </w:numPr>
        <w:spacing w:after="200"/>
        <w:ind w:left="567" w:hanging="567"/>
        <w:contextualSpacing w:val="0"/>
        <w:rPr>
          <w:bCs/>
          <w:color w:val="000000" w:themeColor="text1"/>
        </w:rPr>
      </w:pPr>
      <w:r w:rsidRPr="007954A0">
        <w:rPr>
          <w:rFonts w:cstheme="minorHAnsi"/>
          <w:bCs/>
        </w:rPr>
        <w:t>This DD seeks approval to spend up to £1,090,000 revenue to deliver the Public Realm and Cultural Placemaking Programme between 2026 and 2029</w:t>
      </w:r>
      <w:r w:rsidR="00C44DD8" w:rsidRPr="007954A0">
        <w:rPr>
          <w:rFonts w:cstheme="minorHAnsi"/>
          <w:bCs/>
        </w:rPr>
        <w:t>.</w:t>
      </w:r>
    </w:p>
    <w:p w14:paraId="4EA7B771" w14:textId="77777777" w:rsidR="00FC4709" w:rsidRDefault="00FC4709" w:rsidP="00F76018">
      <w:pPr>
        <w:pStyle w:val="ListParagraph"/>
        <w:spacing w:after="200"/>
        <w:ind w:left="567"/>
        <w:contextualSpacing w:val="0"/>
        <w:rPr>
          <w:bCs/>
          <w:color w:val="000000" w:themeColor="text1"/>
        </w:rPr>
      </w:pPr>
    </w:p>
    <w:p w14:paraId="43843E76" w14:textId="2DFC962F" w:rsidR="00EA1F8B" w:rsidRDefault="000479A9" w:rsidP="00F96375">
      <w:pPr>
        <w:numPr>
          <w:ilvl w:val="0"/>
          <w:numId w:val="24"/>
        </w:numPr>
        <w:spacing w:after="200"/>
        <w:ind w:left="567" w:hanging="567"/>
        <w:rPr>
          <w:rFonts w:cs="Arial"/>
          <w:b/>
        </w:rPr>
      </w:pPr>
      <w:r w:rsidRPr="00866CB4">
        <w:rPr>
          <w:rFonts w:cs="Arial"/>
          <w:b/>
        </w:rPr>
        <w:t>Objectives and expected outcomes</w:t>
      </w:r>
    </w:p>
    <w:p w14:paraId="38608E1F" w14:textId="7FBDE9D0" w:rsidR="00844DE7" w:rsidRPr="004B6E33" w:rsidRDefault="004B6E33" w:rsidP="00F76018">
      <w:pPr>
        <w:pStyle w:val="BodyTextIndent3"/>
        <w:numPr>
          <w:ilvl w:val="1"/>
          <w:numId w:val="24"/>
        </w:numPr>
        <w:spacing w:after="200" w:line="240" w:lineRule="auto"/>
        <w:ind w:left="567" w:hanging="567"/>
        <w:rPr>
          <w:rFonts w:cstheme="minorHAnsi"/>
          <w:bCs/>
        </w:rPr>
      </w:pPr>
      <w:r w:rsidRPr="004B6E33">
        <w:rPr>
          <w:rFonts w:cstheme="minorHAnsi"/>
          <w:bCs/>
        </w:rPr>
        <w:t>The Royal Docks Public Realm and Cultural Placemaking Programme will provide strategic leadership for the coordination of public</w:t>
      </w:r>
      <w:r w:rsidR="00466D85">
        <w:rPr>
          <w:rFonts w:cstheme="minorHAnsi"/>
          <w:bCs/>
        </w:rPr>
        <w:t>-</w:t>
      </w:r>
      <w:r w:rsidRPr="004B6E33">
        <w:rPr>
          <w:rFonts w:cstheme="minorHAnsi"/>
          <w:bCs/>
        </w:rPr>
        <w:t>realm improvements and the delivery of cultural placemaking activity across Royal Docks neighbourhoods. The programme supports the Delivery Plan outcomes of environment</w:t>
      </w:r>
      <w:r w:rsidR="00466D85">
        <w:rPr>
          <w:rFonts w:cstheme="minorHAnsi"/>
          <w:bCs/>
        </w:rPr>
        <w:t>;</w:t>
      </w:r>
      <w:r w:rsidRPr="004B6E33">
        <w:rPr>
          <w:rFonts w:cstheme="minorHAnsi"/>
          <w:bCs/>
        </w:rPr>
        <w:t xml:space="preserve"> wellbeing and community</w:t>
      </w:r>
      <w:r w:rsidR="00C72E46">
        <w:rPr>
          <w:rFonts w:cstheme="minorHAnsi"/>
          <w:bCs/>
        </w:rPr>
        <w:t>;</w:t>
      </w:r>
      <w:r w:rsidRPr="004B6E33">
        <w:rPr>
          <w:rFonts w:cstheme="minorHAnsi"/>
          <w:bCs/>
        </w:rPr>
        <w:t xml:space="preserve"> and culture, identity and perception</w:t>
      </w:r>
      <w:r w:rsidR="00C72E46">
        <w:rPr>
          <w:rFonts w:cstheme="minorHAnsi"/>
          <w:bCs/>
        </w:rPr>
        <w:t>. With this, it will</w:t>
      </w:r>
      <w:r w:rsidRPr="004B6E33">
        <w:rPr>
          <w:rFonts w:cstheme="minorHAnsi"/>
          <w:bCs/>
        </w:rPr>
        <w:t xml:space="preserve"> help to strengthen the Royal Docks as a distinctive and attractive place to live, work and visit.</w:t>
      </w:r>
    </w:p>
    <w:p w14:paraId="6B3903DE" w14:textId="6ABB165C" w:rsidR="00844DE7" w:rsidRDefault="00844DE7">
      <w:pPr>
        <w:pStyle w:val="BodyTextIndent3"/>
        <w:numPr>
          <w:ilvl w:val="1"/>
          <w:numId w:val="24"/>
        </w:numPr>
        <w:spacing w:after="200" w:line="240" w:lineRule="auto"/>
        <w:ind w:left="567" w:hanging="567"/>
        <w:rPr>
          <w:rFonts w:cstheme="minorHAnsi"/>
          <w:bCs/>
        </w:rPr>
      </w:pPr>
      <w:r w:rsidRPr="00844DE7">
        <w:rPr>
          <w:rFonts w:cstheme="minorHAnsi"/>
          <w:bCs/>
        </w:rPr>
        <w:t xml:space="preserve">The </w:t>
      </w:r>
      <w:r w:rsidR="004B6E33" w:rsidRPr="004B6E33">
        <w:rPr>
          <w:rFonts w:cstheme="minorHAnsi"/>
          <w:bCs/>
        </w:rPr>
        <w:t xml:space="preserve">programme will focus on </w:t>
      </w:r>
      <w:r w:rsidR="00F76018">
        <w:rPr>
          <w:rFonts w:cstheme="minorHAnsi"/>
          <w:bCs/>
        </w:rPr>
        <w:t>three</w:t>
      </w:r>
      <w:r w:rsidR="004B6E33" w:rsidRPr="004B6E33">
        <w:rPr>
          <w:rFonts w:cstheme="minorHAnsi"/>
          <w:bCs/>
        </w:rPr>
        <w:t xml:space="preserve"> core areas of activity</w:t>
      </w:r>
      <w:r w:rsidRPr="00844DE7">
        <w:rPr>
          <w:rFonts w:cstheme="minorHAnsi"/>
          <w:bCs/>
        </w:rPr>
        <w:t>:</w:t>
      </w:r>
    </w:p>
    <w:p w14:paraId="6955745D" w14:textId="28C8D3F5" w:rsidR="00C72E46" w:rsidRPr="00C72E46" w:rsidRDefault="00C72E46" w:rsidP="00F76018">
      <w:pPr>
        <w:pStyle w:val="BodyTextIndent3"/>
        <w:numPr>
          <w:ilvl w:val="0"/>
          <w:numId w:val="56"/>
        </w:numPr>
        <w:spacing w:after="200" w:line="240" w:lineRule="auto"/>
        <w:ind w:left="992" w:hanging="283"/>
        <w:rPr>
          <w:rFonts w:cstheme="minorHAnsi"/>
          <w:bCs/>
        </w:rPr>
      </w:pPr>
      <w:r w:rsidRPr="00C72E46">
        <w:rPr>
          <w:rFonts w:cstheme="minorHAnsi"/>
          <w:bCs/>
        </w:rPr>
        <w:t xml:space="preserve">Royal Victoria </w:t>
      </w:r>
      <w:r>
        <w:rPr>
          <w:rFonts w:cstheme="minorHAnsi"/>
          <w:bCs/>
        </w:rPr>
        <w:t>l</w:t>
      </w:r>
      <w:r w:rsidRPr="00C72E46">
        <w:rPr>
          <w:rFonts w:cstheme="minorHAnsi"/>
          <w:bCs/>
        </w:rPr>
        <w:t xml:space="preserve">eadership and </w:t>
      </w:r>
      <w:r>
        <w:rPr>
          <w:rFonts w:cstheme="minorHAnsi"/>
          <w:bCs/>
        </w:rPr>
        <w:t>p</w:t>
      </w:r>
      <w:r w:rsidRPr="00C72E46">
        <w:rPr>
          <w:rFonts w:cstheme="minorHAnsi"/>
          <w:bCs/>
        </w:rPr>
        <w:t>ublic</w:t>
      </w:r>
      <w:r>
        <w:rPr>
          <w:rFonts w:cstheme="minorHAnsi"/>
          <w:bCs/>
        </w:rPr>
        <w:t>-r</w:t>
      </w:r>
      <w:r w:rsidRPr="00C72E46">
        <w:rPr>
          <w:rFonts w:cstheme="minorHAnsi"/>
          <w:bCs/>
        </w:rPr>
        <w:t xml:space="preserve">ealm </w:t>
      </w:r>
      <w:r>
        <w:rPr>
          <w:rFonts w:cstheme="minorHAnsi"/>
          <w:bCs/>
        </w:rPr>
        <w:t>c</w:t>
      </w:r>
      <w:r w:rsidRPr="00C72E46">
        <w:rPr>
          <w:rFonts w:cstheme="minorHAnsi"/>
          <w:bCs/>
        </w:rPr>
        <w:t>oordination</w:t>
      </w:r>
    </w:p>
    <w:p w14:paraId="27A61732" w14:textId="11B6C41C" w:rsidR="00C72E46" w:rsidRPr="00F76018" w:rsidRDefault="00C72E46" w:rsidP="00F76018">
      <w:pPr>
        <w:pStyle w:val="BodyTextIndent3"/>
        <w:numPr>
          <w:ilvl w:val="0"/>
          <w:numId w:val="56"/>
        </w:numPr>
        <w:spacing w:after="200" w:line="240" w:lineRule="auto"/>
        <w:ind w:left="992" w:hanging="283"/>
        <w:rPr>
          <w:bCs/>
        </w:rPr>
      </w:pPr>
      <w:r w:rsidRPr="00F76018">
        <w:rPr>
          <w:bCs/>
        </w:rPr>
        <w:t xml:space="preserve">Public </w:t>
      </w:r>
      <w:r w:rsidR="00740F95">
        <w:rPr>
          <w:bCs/>
        </w:rPr>
        <w:t>R</w:t>
      </w:r>
      <w:r w:rsidRPr="00F76018">
        <w:rPr>
          <w:bCs/>
        </w:rPr>
        <w:t xml:space="preserve">ealm </w:t>
      </w:r>
      <w:r w:rsidR="00740F95">
        <w:rPr>
          <w:bCs/>
        </w:rPr>
        <w:t>F</w:t>
      </w:r>
      <w:r w:rsidRPr="00F76018">
        <w:rPr>
          <w:bCs/>
        </w:rPr>
        <w:t xml:space="preserve">ramework and </w:t>
      </w:r>
      <w:r w:rsidR="00740F95">
        <w:rPr>
          <w:bCs/>
        </w:rPr>
        <w:t>I</w:t>
      </w:r>
      <w:r w:rsidRPr="00F76018">
        <w:rPr>
          <w:bCs/>
        </w:rPr>
        <w:t xml:space="preserve">nfrastructure </w:t>
      </w:r>
      <w:r w:rsidR="00740F95">
        <w:rPr>
          <w:bCs/>
        </w:rPr>
        <w:t>S</w:t>
      </w:r>
      <w:r w:rsidRPr="00F76018">
        <w:rPr>
          <w:bCs/>
        </w:rPr>
        <w:t>trategy</w:t>
      </w:r>
    </w:p>
    <w:p w14:paraId="29D494E2" w14:textId="7075DF5D" w:rsidR="00C72E46" w:rsidRPr="00F76018" w:rsidRDefault="00C72E46" w:rsidP="00F76018">
      <w:pPr>
        <w:pStyle w:val="BodyTextIndent3"/>
        <w:numPr>
          <w:ilvl w:val="0"/>
          <w:numId w:val="56"/>
        </w:numPr>
        <w:spacing w:after="200" w:line="240" w:lineRule="auto"/>
        <w:ind w:left="992" w:hanging="283"/>
        <w:rPr>
          <w:bCs/>
        </w:rPr>
      </w:pPr>
      <w:r>
        <w:rPr>
          <w:bCs/>
        </w:rPr>
        <w:lastRenderedPageBreak/>
        <w:t>c</w:t>
      </w:r>
      <w:r w:rsidRPr="00F76018">
        <w:rPr>
          <w:bCs/>
        </w:rPr>
        <w:t xml:space="preserve">ultural </w:t>
      </w:r>
      <w:r>
        <w:rPr>
          <w:bCs/>
        </w:rPr>
        <w:t>p</w:t>
      </w:r>
      <w:r w:rsidRPr="00F76018">
        <w:rPr>
          <w:bCs/>
        </w:rPr>
        <w:t xml:space="preserve">lacemaking and </w:t>
      </w:r>
      <w:r>
        <w:rPr>
          <w:bCs/>
        </w:rPr>
        <w:t>p</w:t>
      </w:r>
      <w:r w:rsidRPr="00F76018">
        <w:rPr>
          <w:bCs/>
        </w:rPr>
        <w:t>rogramming</w:t>
      </w:r>
    </w:p>
    <w:p w14:paraId="435CFADA" w14:textId="626C30D7" w:rsidR="00EA1F8B" w:rsidRDefault="004B6E33" w:rsidP="00F96375">
      <w:pPr>
        <w:pStyle w:val="BodyTextIndent3"/>
        <w:spacing w:after="200" w:line="240" w:lineRule="auto"/>
        <w:ind w:left="567" w:firstLine="0"/>
        <w:rPr>
          <w:u w:val="single"/>
        </w:rPr>
      </w:pPr>
      <w:r w:rsidRPr="00F76018">
        <w:rPr>
          <w:u w:val="single"/>
        </w:rPr>
        <w:t xml:space="preserve">Royal Victoria </w:t>
      </w:r>
      <w:r w:rsidR="00147215" w:rsidRPr="00F76018">
        <w:rPr>
          <w:rFonts w:cstheme="minorHAnsi"/>
          <w:bCs/>
          <w:u w:val="single"/>
        </w:rPr>
        <w:t xml:space="preserve">Dock </w:t>
      </w:r>
      <w:r w:rsidR="00C72E46" w:rsidRPr="00147215">
        <w:rPr>
          <w:u w:val="single"/>
        </w:rPr>
        <w:t>l</w:t>
      </w:r>
      <w:r w:rsidR="00C72E46" w:rsidRPr="00F76018">
        <w:rPr>
          <w:u w:val="single"/>
        </w:rPr>
        <w:t xml:space="preserve">eadership </w:t>
      </w:r>
      <w:r w:rsidRPr="00F76018">
        <w:rPr>
          <w:u w:val="single"/>
        </w:rPr>
        <w:t xml:space="preserve">and </w:t>
      </w:r>
      <w:r w:rsidR="00C72E46">
        <w:rPr>
          <w:u w:val="single"/>
        </w:rPr>
        <w:t>p</w:t>
      </w:r>
      <w:r w:rsidRPr="00F76018">
        <w:rPr>
          <w:u w:val="single"/>
        </w:rPr>
        <w:t>ublic</w:t>
      </w:r>
      <w:r w:rsidR="00C72E46">
        <w:rPr>
          <w:u w:val="single"/>
        </w:rPr>
        <w:t>-r</w:t>
      </w:r>
      <w:r w:rsidRPr="00F76018">
        <w:rPr>
          <w:u w:val="single"/>
        </w:rPr>
        <w:t xml:space="preserve">ealm </w:t>
      </w:r>
      <w:r w:rsidR="00C72E46">
        <w:rPr>
          <w:u w:val="single"/>
        </w:rPr>
        <w:t>c</w:t>
      </w:r>
      <w:r w:rsidRPr="00F76018">
        <w:rPr>
          <w:u w:val="single"/>
        </w:rPr>
        <w:t>oordination</w:t>
      </w:r>
    </w:p>
    <w:p w14:paraId="24107A82" w14:textId="6B9A81B8" w:rsidR="005C28F2" w:rsidRDefault="00643124">
      <w:pPr>
        <w:pStyle w:val="BodyTextIndent3"/>
        <w:numPr>
          <w:ilvl w:val="1"/>
          <w:numId w:val="24"/>
        </w:numPr>
        <w:spacing w:after="200" w:line="240" w:lineRule="auto"/>
        <w:ind w:left="567" w:hanging="567"/>
        <w:rPr>
          <w:rFonts w:cstheme="minorHAnsi"/>
          <w:bCs/>
        </w:rPr>
      </w:pPr>
      <w:r w:rsidRPr="00643124">
        <w:rPr>
          <w:rFonts w:cstheme="minorHAnsi"/>
          <w:bCs/>
        </w:rPr>
        <w:t xml:space="preserve">The area around City Hall and Royal Victoria Dock is the most visible gateway to the Royal </w:t>
      </w:r>
      <w:proofErr w:type="gramStart"/>
      <w:r w:rsidRPr="00643124">
        <w:rPr>
          <w:rFonts w:cstheme="minorHAnsi"/>
          <w:bCs/>
        </w:rPr>
        <w:t>Docks</w:t>
      </w:r>
      <w:r w:rsidR="00C72E46">
        <w:rPr>
          <w:rFonts w:cstheme="minorHAnsi"/>
          <w:bCs/>
        </w:rPr>
        <w:t>,</w:t>
      </w:r>
      <w:r w:rsidRPr="00643124">
        <w:rPr>
          <w:rFonts w:cstheme="minorHAnsi"/>
          <w:bCs/>
        </w:rPr>
        <w:t xml:space="preserve"> and</w:t>
      </w:r>
      <w:proofErr w:type="gramEnd"/>
      <w:r w:rsidRPr="00643124">
        <w:rPr>
          <w:rFonts w:cstheme="minorHAnsi"/>
          <w:bCs/>
        </w:rPr>
        <w:t xml:space="preserve"> is experiencing significant investment and development activity. </w:t>
      </w:r>
      <w:proofErr w:type="gramStart"/>
      <w:r w:rsidRPr="00643124">
        <w:rPr>
          <w:rFonts w:cstheme="minorHAnsi"/>
          <w:bCs/>
        </w:rPr>
        <w:t>A number of</w:t>
      </w:r>
      <w:proofErr w:type="gramEnd"/>
      <w:r w:rsidRPr="00643124">
        <w:rPr>
          <w:rFonts w:cstheme="minorHAnsi"/>
          <w:bCs/>
        </w:rPr>
        <w:t xml:space="preserve"> major public</w:t>
      </w:r>
      <w:r w:rsidR="00C72E46">
        <w:rPr>
          <w:rFonts w:cstheme="minorHAnsi"/>
          <w:bCs/>
        </w:rPr>
        <w:t>-</w:t>
      </w:r>
      <w:r w:rsidRPr="00643124">
        <w:rPr>
          <w:rFonts w:cstheme="minorHAnsi"/>
          <w:bCs/>
        </w:rPr>
        <w:t>realm and infrastructure projects are progressing in parallel across this area, including</w:t>
      </w:r>
      <w:r w:rsidR="005C28F2">
        <w:rPr>
          <w:rFonts w:cstheme="minorHAnsi"/>
          <w:bCs/>
        </w:rPr>
        <w:t>:</w:t>
      </w:r>
      <w:r w:rsidRPr="00643124">
        <w:rPr>
          <w:rFonts w:cstheme="minorHAnsi"/>
          <w:bCs/>
        </w:rPr>
        <w:t xml:space="preserve"> </w:t>
      </w:r>
    </w:p>
    <w:p w14:paraId="4C69353D" w14:textId="77777777" w:rsidR="005C28F2" w:rsidRDefault="00643124" w:rsidP="005C28F2">
      <w:pPr>
        <w:pStyle w:val="BodyTextIndent3"/>
        <w:numPr>
          <w:ilvl w:val="0"/>
          <w:numId w:val="62"/>
        </w:numPr>
        <w:spacing w:after="200" w:line="240" w:lineRule="auto"/>
        <w:ind w:left="992" w:hanging="283"/>
        <w:rPr>
          <w:rFonts w:cstheme="minorHAnsi"/>
          <w:bCs/>
        </w:rPr>
      </w:pPr>
      <w:r w:rsidRPr="00643124">
        <w:rPr>
          <w:rFonts w:cstheme="minorHAnsi"/>
          <w:bCs/>
        </w:rPr>
        <w:t>improvements to Royal Victoria Square</w:t>
      </w:r>
    </w:p>
    <w:p w14:paraId="05386042" w14:textId="46CF0049" w:rsidR="005C28F2" w:rsidRDefault="00643124" w:rsidP="005C28F2">
      <w:pPr>
        <w:pStyle w:val="BodyTextIndent3"/>
        <w:numPr>
          <w:ilvl w:val="0"/>
          <w:numId w:val="62"/>
        </w:numPr>
        <w:spacing w:after="200" w:line="240" w:lineRule="auto"/>
        <w:ind w:left="992" w:hanging="283"/>
        <w:rPr>
          <w:rFonts w:cstheme="minorHAnsi"/>
          <w:bCs/>
        </w:rPr>
      </w:pPr>
      <w:r w:rsidRPr="00643124">
        <w:rPr>
          <w:rFonts w:cstheme="minorHAnsi"/>
          <w:bCs/>
        </w:rPr>
        <w:t>waterfront enhancements</w:t>
      </w:r>
    </w:p>
    <w:p w14:paraId="03A1E312" w14:textId="0E4AC498" w:rsidR="005C28F2" w:rsidRDefault="00643124" w:rsidP="005C28F2">
      <w:pPr>
        <w:pStyle w:val="BodyTextIndent3"/>
        <w:numPr>
          <w:ilvl w:val="0"/>
          <w:numId w:val="62"/>
        </w:numPr>
        <w:spacing w:after="200" w:line="240" w:lineRule="auto"/>
        <w:ind w:left="992" w:hanging="283"/>
        <w:rPr>
          <w:rFonts w:cstheme="minorHAnsi"/>
          <w:bCs/>
        </w:rPr>
      </w:pPr>
      <w:r w:rsidRPr="00643124">
        <w:rPr>
          <w:rFonts w:cstheme="minorHAnsi"/>
          <w:bCs/>
        </w:rPr>
        <w:t>dock bridge proposals</w:t>
      </w:r>
    </w:p>
    <w:p w14:paraId="3A0CBD0B" w14:textId="6564A70D" w:rsidR="005C28F2" w:rsidRDefault="00643124" w:rsidP="005C28F2">
      <w:pPr>
        <w:pStyle w:val="BodyTextIndent3"/>
        <w:numPr>
          <w:ilvl w:val="0"/>
          <w:numId w:val="62"/>
        </w:numPr>
        <w:spacing w:after="200" w:line="240" w:lineRule="auto"/>
        <w:ind w:left="992" w:hanging="283"/>
        <w:rPr>
          <w:rFonts w:cstheme="minorHAnsi"/>
          <w:bCs/>
        </w:rPr>
      </w:pPr>
      <w:r w:rsidRPr="00643124">
        <w:rPr>
          <w:rFonts w:cstheme="minorHAnsi"/>
          <w:bCs/>
        </w:rPr>
        <w:t>Thameside West Park</w:t>
      </w:r>
    </w:p>
    <w:p w14:paraId="59C045FA" w14:textId="279AEFC9" w:rsidR="005C28F2" w:rsidRDefault="00643124" w:rsidP="005C28F2">
      <w:pPr>
        <w:pStyle w:val="BodyTextIndent3"/>
        <w:numPr>
          <w:ilvl w:val="0"/>
          <w:numId w:val="62"/>
        </w:numPr>
        <w:spacing w:after="200" w:line="240" w:lineRule="auto"/>
        <w:ind w:left="992" w:hanging="283"/>
        <w:rPr>
          <w:rFonts w:cstheme="minorHAnsi"/>
          <w:bCs/>
        </w:rPr>
      </w:pPr>
      <w:r w:rsidRPr="00643124">
        <w:rPr>
          <w:rFonts w:cstheme="minorHAnsi"/>
          <w:bCs/>
        </w:rPr>
        <w:t xml:space="preserve">Royal Docks Corridor </w:t>
      </w:r>
      <w:r w:rsidR="005C28F2">
        <w:rPr>
          <w:rFonts w:cstheme="minorHAnsi"/>
          <w:bCs/>
        </w:rPr>
        <w:t>p</w:t>
      </w:r>
      <w:r w:rsidR="005C28F2" w:rsidRPr="00643124">
        <w:rPr>
          <w:rFonts w:cstheme="minorHAnsi"/>
          <w:bCs/>
        </w:rPr>
        <w:t xml:space="preserve">hase </w:t>
      </w:r>
      <w:r w:rsidR="005C28F2">
        <w:rPr>
          <w:rFonts w:cstheme="minorHAnsi"/>
          <w:bCs/>
        </w:rPr>
        <w:t>six</w:t>
      </w:r>
    </w:p>
    <w:p w14:paraId="71582007" w14:textId="24FABC62" w:rsidR="00844DE7" w:rsidRDefault="00643124" w:rsidP="00F76018">
      <w:pPr>
        <w:pStyle w:val="BodyTextIndent3"/>
        <w:numPr>
          <w:ilvl w:val="0"/>
          <w:numId w:val="62"/>
        </w:numPr>
        <w:spacing w:after="200" w:line="240" w:lineRule="auto"/>
        <w:ind w:left="992" w:hanging="283"/>
        <w:rPr>
          <w:rFonts w:cstheme="minorHAnsi"/>
          <w:bCs/>
        </w:rPr>
      </w:pPr>
      <w:r w:rsidRPr="00643124">
        <w:rPr>
          <w:rFonts w:cstheme="minorHAnsi"/>
          <w:bCs/>
        </w:rPr>
        <w:t>emerging water</w:t>
      </w:r>
      <w:r w:rsidR="00C72E46">
        <w:rPr>
          <w:rFonts w:cstheme="minorHAnsi"/>
          <w:bCs/>
        </w:rPr>
        <w:t>-</w:t>
      </w:r>
      <w:r w:rsidRPr="00643124">
        <w:rPr>
          <w:rFonts w:cstheme="minorHAnsi"/>
          <w:bCs/>
        </w:rPr>
        <w:t>activation initiatives.</w:t>
      </w:r>
    </w:p>
    <w:p w14:paraId="551BACF3" w14:textId="48A44BE2" w:rsidR="00643124" w:rsidRDefault="00643124" w:rsidP="00F76018">
      <w:pPr>
        <w:pStyle w:val="BodyTextIndent3"/>
        <w:numPr>
          <w:ilvl w:val="1"/>
          <w:numId w:val="24"/>
        </w:numPr>
        <w:spacing w:after="200" w:line="240" w:lineRule="auto"/>
        <w:ind w:left="567" w:hanging="567"/>
        <w:rPr>
          <w:rFonts w:cstheme="minorHAnsi"/>
          <w:bCs/>
        </w:rPr>
      </w:pPr>
      <w:r w:rsidRPr="00643124">
        <w:rPr>
          <w:rFonts w:cstheme="minorHAnsi"/>
          <w:bCs/>
        </w:rPr>
        <w:t>Unlike other parts of the Royal Docks</w:t>
      </w:r>
      <w:r w:rsidR="00122390">
        <w:rPr>
          <w:rFonts w:cstheme="minorHAnsi"/>
          <w:bCs/>
        </w:rPr>
        <w:t>,</w:t>
      </w:r>
      <w:r w:rsidRPr="00643124">
        <w:rPr>
          <w:rFonts w:cstheme="minorHAnsi"/>
          <w:bCs/>
        </w:rPr>
        <w:t xml:space="preserve"> where a single development partner leads delivery, Royal Victoria is characterised by a complex land</w:t>
      </w:r>
      <w:r w:rsidR="00122390">
        <w:rPr>
          <w:rFonts w:cstheme="minorHAnsi"/>
          <w:bCs/>
        </w:rPr>
        <w:t>-</w:t>
      </w:r>
      <w:r w:rsidRPr="00643124">
        <w:rPr>
          <w:rFonts w:cstheme="minorHAnsi"/>
          <w:bCs/>
        </w:rPr>
        <w:t xml:space="preserve">ownership structure involving multiple partners </w:t>
      </w:r>
      <w:r w:rsidR="00122390">
        <w:rPr>
          <w:rFonts w:cstheme="minorHAnsi"/>
          <w:bCs/>
        </w:rPr>
        <w:t>(</w:t>
      </w:r>
      <w:r w:rsidRPr="00643124">
        <w:rPr>
          <w:rFonts w:cstheme="minorHAnsi"/>
          <w:bCs/>
        </w:rPr>
        <w:t xml:space="preserve">including the GLA, </w:t>
      </w:r>
      <w:r w:rsidR="00122390">
        <w:rPr>
          <w:rFonts w:cstheme="minorHAnsi"/>
          <w:bCs/>
        </w:rPr>
        <w:t xml:space="preserve">the </w:t>
      </w:r>
      <w:r w:rsidRPr="00643124">
        <w:rPr>
          <w:rFonts w:cstheme="minorHAnsi"/>
          <w:bCs/>
        </w:rPr>
        <w:t>London Borough of Newham, private developers and institutional landowners</w:t>
      </w:r>
      <w:r w:rsidR="00122390">
        <w:rPr>
          <w:rFonts w:cstheme="minorHAnsi"/>
          <w:bCs/>
        </w:rPr>
        <w:t>)</w:t>
      </w:r>
      <w:r w:rsidRPr="00643124">
        <w:rPr>
          <w:rFonts w:cstheme="minorHAnsi"/>
          <w:bCs/>
        </w:rPr>
        <w:t>. As the principal freeholder of large parts of the Royal Victoria</w:t>
      </w:r>
      <w:r w:rsidR="00147215" w:rsidRPr="00147215">
        <w:rPr>
          <w:rFonts w:cstheme="minorHAnsi"/>
          <w:bCs/>
        </w:rPr>
        <w:t xml:space="preserve"> </w:t>
      </w:r>
      <w:r w:rsidRPr="00643124">
        <w:rPr>
          <w:rFonts w:cstheme="minorHAnsi"/>
          <w:bCs/>
        </w:rPr>
        <w:t>waterfront and surrounding landholdings, the GLA – through the RDT – plays a strategic coordination role to ensure these initiatives contribute to a coherent and high-quality place.</w:t>
      </w:r>
    </w:p>
    <w:p w14:paraId="6D9E9DD0" w14:textId="426FE502" w:rsidR="00643124" w:rsidRDefault="00643124" w:rsidP="00F76018">
      <w:pPr>
        <w:pStyle w:val="BodyTextIndent3"/>
        <w:numPr>
          <w:ilvl w:val="1"/>
          <w:numId w:val="24"/>
        </w:numPr>
        <w:spacing w:after="200" w:line="240" w:lineRule="auto"/>
        <w:ind w:left="567" w:hanging="567"/>
        <w:rPr>
          <w:rFonts w:cstheme="minorHAnsi"/>
          <w:bCs/>
        </w:rPr>
      </w:pPr>
      <w:r w:rsidRPr="00643124">
        <w:rPr>
          <w:rFonts w:cstheme="minorHAnsi"/>
          <w:bCs/>
        </w:rPr>
        <w:t>The programme will therefore provide spatial leadership and coordination to ensure that the various public realm, infrastructure and development proposals across Royal Victoria</w:t>
      </w:r>
      <w:r w:rsidR="00147215" w:rsidRPr="00147215">
        <w:rPr>
          <w:rFonts w:cstheme="minorHAnsi"/>
          <w:bCs/>
        </w:rPr>
        <w:t xml:space="preserve"> </w:t>
      </w:r>
      <w:r w:rsidR="00147215">
        <w:rPr>
          <w:rFonts w:cstheme="minorHAnsi"/>
          <w:bCs/>
        </w:rPr>
        <w:t>Dock</w:t>
      </w:r>
      <w:r w:rsidRPr="00643124">
        <w:rPr>
          <w:rFonts w:cstheme="minorHAnsi"/>
          <w:bCs/>
        </w:rPr>
        <w:t xml:space="preserve"> are aligned, integrated and deliver a consistent and legible waterfront environment.</w:t>
      </w:r>
    </w:p>
    <w:p w14:paraId="5F59BC72" w14:textId="77777777" w:rsidR="00643124" w:rsidRDefault="00844DE7" w:rsidP="00F76018">
      <w:pPr>
        <w:pStyle w:val="BodyTextIndent3"/>
        <w:numPr>
          <w:ilvl w:val="1"/>
          <w:numId w:val="24"/>
        </w:numPr>
        <w:spacing w:after="200" w:line="240" w:lineRule="auto"/>
        <w:ind w:left="567" w:hanging="567"/>
        <w:rPr>
          <w:rFonts w:cstheme="minorHAnsi"/>
          <w:bCs/>
        </w:rPr>
      </w:pPr>
      <w:r w:rsidRPr="00844DE7">
        <w:rPr>
          <w:rFonts w:cstheme="minorHAnsi"/>
          <w:bCs/>
        </w:rPr>
        <w:t xml:space="preserve">Activities will </w:t>
      </w:r>
      <w:r w:rsidR="00120486" w:rsidRPr="00844DE7">
        <w:rPr>
          <w:rFonts w:cstheme="minorHAnsi"/>
          <w:bCs/>
        </w:rPr>
        <w:t>include</w:t>
      </w:r>
      <w:r w:rsidR="00643124">
        <w:rPr>
          <w:rFonts w:cstheme="minorHAnsi"/>
          <w:bCs/>
        </w:rPr>
        <w:t>:</w:t>
      </w:r>
    </w:p>
    <w:p w14:paraId="16775AF8" w14:textId="1A11D456" w:rsidR="00A54386" w:rsidRPr="00A54386" w:rsidRDefault="00643124" w:rsidP="00F96375">
      <w:pPr>
        <w:pStyle w:val="ListParagraph"/>
        <w:numPr>
          <w:ilvl w:val="0"/>
          <w:numId w:val="35"/>
        </w:numPr>
        <w:spacing w:after="200"/>
        <w:ind w:left="992" w:hanging="283"/>
        <w:contextualSpacing w:val="0"/>
        <w:rPr>
          <w:color w:val="000000" w:themeColor="text1"/>
        </w:rPr>
      </w:pPr>
      <w:r w:rsidRPr="00A54386">
        <w:rPr>
          <w:rFonts w:cstheme="minorHAnsi"/>
          <w:bCs/>
        </w:rPr>
        <w:t>appointing a design and place strategy practice</w:t>
      </w:r>
      <w:r w:rsidR="00740F95">
        <w:rPr>
          <w:rFonts w:cstheme="minorHAnsi"/>
          <w:bCs/>
        </w:rPr>
        <w:t>,</w:t>
      </w:r>
      <w:r w:rsidRPr="00A54386">
        <w:rPr>
          <w:rFonts w:cstheme="minorHAnsi"/>
          <w:bCs/>
        </w:rPr>
        <w:t xml:space="preserve"> to provide strategic spatial and design coordination across Royal Victoria</w:t>
      </w:r>
      <w:r w:rsidR="00147215" w:rsidRPr="00147215">
        <w:rPr>
          <w:rFonts w:cstheme="minorHAnsi"/>
          <w:bCs/>
        </w:rPr>
        <w:t xml:space="preserve"> </w:t>
      </w:r>
      <w:r w:rsidR="00F76018">
        <w:rPr>
          <w:rFonts w:cstheme="minorHAnsi"/>
          <w:bCs/>
        </w:rPr>
        <w:t>area</w:t>
      </w:r>
      <w:r w:rsidRPr="00A54386">
        <w:rPr>
          <w:rFonts w:cstheme="minorHAnsi"/>
          <w:bCs/>
        </w:rPr>
        <w:t xml:space="preserve"> </w:t>
      </w:r>
    </w:p>
    <w:p w14:paraId="0C56446F" w14:textId="414EC27B" w:rsidR="00A54386" w:rsidRPr="00A54386" w:rsidRDefault="00643124" w:rsidP="00F96375">
      <w:pPr>
        <w:pStyle w:val="ListParagraph"/>
        <w:numPr>
          <w:ilvl w:val="0"/>
          <w:numId w:val="35"/>
        </w:numPr>
        <w:spacing w:after="200"/>
        <w:ind w:left="992" w:hanging="283"/>
        <w:contextualSpacing w:val="0"/>
        <w:rPr>
          <w:color w:val="000000" w:themeColor="text1"/>
        </w:rPr>
      </w:pPr>
      <w:r w:rsidRPr="00A54386">
        <w:rPr>
          <w:rFonts w:cstheme="minorHAnsi"/>
          <w:bCs/>
        </w:rPr>
        <w:t>coordinating design development across multiple partner-led projects</w:t>
      </w:r>
      <w:r w:rsidR="00740F95">
        <w:rPr>
          <w:rFonts w:cstheme="minorHAnsi"/>
          <w:bCs/>
        </w:rPr>
        <w:t>,</w:t>
      </w:r>
      <w:r w:rsidRPr="00A54386">
        <w:rPr>
          <w:rFonts w:cstheme="minorHAnsi"/>
          <w:bCs/>
        </w:rPr>
        <w:t xml:space="preserve"> to ensure a consistent public realm approach</w:t>
      </w:r>
    </w:p>
    <w:p w14:paraId="65095E15" w14:textId="77777777" w:rsidR="00A54386" w:rsidRPr="00A54386" w:rsidRDefault="00643124" w:rsidP="00F96375">
      <w:pPr>
        <w:pStyle w:val="ListParagraph"/>
        <w:numPr>
          <w:ilvl w:val="0"/>
          <w:numId w:val="35"/>
        </w:numPr>
        <w:spacing w:after="200"/>
        <w:ind w:left="992" w:hanging="283"/>
        <w:contextualSpacing w:val="0"/>
        <w:rPr>
          <w:color w:val="000000" w:themeColor="text1"/>
        </w:rPr>
      </w:pPr>
      <w:r w:rsidRPr="00A54386">
        <w:rPr>
          <w:rFonts w:cstheme="minorHAnsi"/>
          <w:bCs/>
        </w:rPr>
        <w:t>providing design oversight to ensure proposals align with the Royal Docks Public Realm Framework and wider place vision</w:t>
      </w:r>
    </w:p>
    <w:p w14:paraId="294F2B29" w14:textId="77777777" w:rsidR="00A54386" w:rsidRPr="00A54386" w:rsidRDefault="00643124" w:rsidP="00F96375">
      <w:pPr>
        <w:pStyle w:val="ListParagraph"/>
        <w:numPr>
          <w:ilvl w:val="0"/>
          <w:numId w:val="35"/>
        </w:numPr>
        <w:spacing w:after="200"/>
        <w:ind w:left="992" w:hanging="283"/>
        <w:contextualSpacing w:val="0"/>
        <w:rPr>
          <w:color w:val="000000" w:themeColor="text1"/>
        </w:rPr>
      </w:pPr>
      <w:r w:rsidRPr="00A54386">
        <w:rPr>
          <w:rFonts w:cstheme="minorHAnsi"/>
          <w:bCs/>
        </w:rPr>
        <w:t>supporting the coordination of waterfront activation and dockside uses</w:t>
      </w:r>
    </w:p>
    <w:p w14:paraId="71B2F901" w14:textId="14A91E05" w:rsidR="00A54386" w:rsidRPr="00A54386" w:rsidRDefault="00643124" w:rsidP="00F96375">
      <w:pPr>
        <w:pStyle w:val="ListParagraph"/>
        <w:numPr>
          <w:ilvl w:val="0"/>
          <w:numId w:val="35"/>
        </w:numPr>
        <w:spacing w:after="200"/>
        <w:ind w:left="992" w:hanging="283"/>
        <w:contextualSpacing w:val="0"/>
        <w:rPr>
          <w:color w:val="000000" w:themeColor="text1"/>
        </w:rPr>
      </w:pPr>
      <w:r w:rsidRPr="00A54386">
        <w:rPr>
          <w:rFonts w:cstheme="minorHAnsi"/>
          <w:bCs/>
        </w:rPr>
        <w:t xml:space="preserve">improving connections between City Hall, </w:t>
      </w:r>
      <w:r w:rsidR="00740F95" w:rsidRPr="00A54386">
        <w:rPr>
          <w:rFonts w:cstheme="minorHAnsi"/>
          <w:bCs/>
        </w:rPr>
        <w:t>Ex</w:t>
      </w:r>
      <w:r w:rsidR="00740F95">
        <w:rPr>
          <w:rFonts w:cstheme="minorHAnsi"/>
          <w:bCs/>
        </w:rPr>
        <w:t>c</w:t>
      </w:r>
      <w:r w:rsidR="00740F95" w:rsidRPr="00A54386">
        <w:rPr>
          <w:rFonts w:cstheme="minorHAnsi"/>
          <w:bCs/>
        </w:rPr>
        <w:t>e</w:t>
      </w:r>
      <w:r w:rsidR="00740F95">
        <w:rPr>
          <w:rFonts w:cstheme="minorHAnsi"/>
          <w:bCs/>
        </w:rPr>
        <w:t>l</w:t>
      </w:r>
      <w:r w:rsidRPr="00A54386">
        <w:rPr>
          <w:rFonts w:cstheme="minorHAnsi"/>
          <w:bCs/>
        </w:rPr>
        <w:t>, Royal Victoria Square and surrounding development sites</w:t>
      </w:r>
    </w:p>
    <w:p w14:paraId="5CD1B044" w14:textId="04052173" w:rsidR="00844DE7" w:rsidRPr="00A54386" w:rsidRDefault="00643124" w:rsidP="00F76018">
      <w:pPr>
        <w:pStyle w:val="ListParagraph"/>
        <w:numPr>
          <w:ilvl w:val="0"/>
          <w:numId w:val="35"/>
        </w:numPr>
        <w:spacing w:after="200"/>
        <w:ind w:left="993" w:hanging="284"/>
        <w:contextualSpacing w:val="0"/>
        <w:rPr>
          <w:color w:val="000000" w:themeColor="text1"/>
        </w:rPr>
      </w:pPr>
      <w:r w:rsidRPr="00A54386">
        <w:rPr>
          <w:rFonts w:cstheme="minorHAnsi"/>
          <w:bCs/>
        </w:rPr>
        <w:t>supporting the delivery of a more coherent and high-quality public realm environment.</w:t>
      </w:r>
    </w:p>
    <w:p w14:paraId="49BA1D44" w14:textId="40FEC5EE" w:rsidR="00C44DD8" w:rsidRPr="00F76018" w:rsidRDefault="004B6E33" w:rsidP="00F76018">
      <w:pPr>
        <w:pStyle w:val="BodyTextIndent3"/>
        <w:spacing w:after="200" w:line="240" w:lineRule="auto"/>
        <w:ind w:left="567" w:firstLine="0"/>
        <w:rPr>
          <w:u w:val="single"/>
        </w:rPr>
      </w:pPr>
      <w:r w:rsidRPr="00F76018">
        <w:rPr>
          <w:u w:val="single"/>
        </w:rPr>
        <w:t>Public Realm Framework and Infrastructure Strategy</w:t>
      </w:r>
    </w:p>
    <w:p w14:paraId="26C75751" w14:textId="2F745D71" w:rsidR="00844DE7" w:rsidRDefault="00120486" w:rsidP="00F76018">
      <w:pPr>
        <w:pStyle w:val="BodyTextIndent3"/>
        <w:numPr>
          <w:ilvl w:val="1"/>
          <w:numId w:val="24"/>
        </w:numPr>
        <w:spacing w:after="200" w:line="240" w:lineRule="auto"/>
        <w:ind w:left="567" w:hanging="567"/>
        <w:rPr>
          <w:rFonts w:cstheme="minorHAnsi"/>
          <w:bCs/>
        </w:rPr>
      </w:pPr>
      <w:r>
        <w:rPr>
          <w:rFonts w:cstheme="minorHAnsi"/>
          <w:bCs/>
        </w:rPr>
        <w:t>In 2019</w:t>
      </w:r>
      <w:r w:rsidR="00A54386">
        <w:rPr>
          <w:rFonts w:cstheme="minorHAnsi"/>
          <w:bCs/>
        </w:rPr>
        <w:t>,</w:t>
      </w:r>
      <w:r>
        <w:rPr>
          <w:rFonts w:cstheme="minorHAnsi"/>
          <w:bCs/>
        </w:rPr>
        <w:t xml:space="preserve"> the R</w:t>
      </w:r>
      <w:r w:rsidR="00A54386">
        <w:rPr>
          <w:rFonts w:cstheme="minorHAnsi"/>
          <w:bCs/>
        </w:rPr>
        <w:t>DT</w:t>
      </w:r>
      <w:r>
        <w:rPr>
          <w:rFonts w:cstheme="minorHAnsi"/>
          <w:bCs/>
        </w:rPr>
        <w:t xml:space="preserve"> and 5</w:t>
      </w:r>
      <w:r w:rsidRPr="00120486">
        <w:rPr>
          <w:rFonts w:cstheme="minorHAnsi"/>
          <w:bCs/>
          <w:vertAlign w:val="superscript"/>
        </w:rPr>
        <w:t>th</w:t>
      </w:r>
      <w:r>
        <w:rPr>
          <w:rFonts w:cstheme="minorHAnsi"/>
          <w:bCs/>
        </w:rPr>
        <w:t xml:space="preserve"> Studio undertook a Public Realm Framework to help prioritise improvement projects and new investment</w:t>
      </w:r>
      <w:r w:rsidR="00A13CAB">
        <w:rPr>
          <w:rFonts w:cstheme="minorHAnsi"/>
          <w:bCs/>
        </w:rPr>
        <w:t>.</w:t>
      </w:r>
      <w:r>
        <w:rPr>
          <w:rFonts w:cstheme="minorHAnsi"/>
          <w:bCs/>
        </w:rPr>
        <w:t xml:space="preserve"> </w:t>
      </w:r>
      <w:r w:rsidR="00A13CAB">
        <w:rPr>
          <w:rFonts w:cstheme="minorHAnsi"/>
          <w:bCs/>
        </w:rPr>
        <w:t xml:space="preserve">The work also led to </w:t>
      </w:r>
      <w:r>
        <w:rPr>
          <w:rFonts w:cstheme="minorHAnsi"/>
          <w:bCs/>
        </w:rPr>
        <w:t>a framework of key walking and cycling route</w:t>
      </w:r>
      <w:r w:rsidR="00A13CAB">
        <w:rPr>
          <w:rFonts w:cstheme="minorHAnsi"/>
          <w:bCs/>
        </w:rPr>
        <w:t>s</w:t>
      </w:r>
      <w:r>
        <w:rPr>
          <w:rFonts w:cstheme="minorHAnsi"/>
          <w:bCs/>
        </w:rPr>
        <w:t xml:space="preserve">. Since </w:t>
      </w:r>
      <w:r w:rsidR="00A54386">
        <w:rPr>
          <w:rFonts w:cstheme="minorHAnsi"/>
          <w:bCs/>
        </w:rPr>
        <w:t>then,</w:t>
      </w:r>
      <w:r>
        <w:rPr>
          <w:rFonts w:cstheme="minorHAnsi"/>
          <w:bCs/>
        </w:rPr>
        <w:t xml:space="preserve"> there has been a considerable amount of change in the physical environment</w:t>
      </w:r>
      <w:r w:rsidR="00AD528E">
        <w:rPr>
          <w:rFonts w:cstheme="minorHAnsi"/>
          <w:bCs/>
        </w:rPr>
        <w:t xml:space="preserve">; </w:t>
      </w:r>
      <w:r>
        <w:rPr>
          <w:rFonts w:cstheme="minorHAnsi"/>
          <w:bCs/>
        </w:rPr>
        <w:t>in development proposals</w:t>
      </w:r>
      <w:r w:rsidR="00AD528E">
        <w:rPr>
          <w:rFonts w:cstheme="minorHAnsi"/>
          <w:bCs/>
        </w:rPr>
        <w:t xml:space="preserve">; </w:t>
      </w:r>
      <w:r>
        <w:rPr>
          <w:rFonts w:cstheme="minorHAnsi"/>
          <w:bCs/>
        </w:rPr>
        <w:t xml:space="preserve">and in </w:t>
      </w:r>
      <w:r w:rsidR="00AD528E">
        <w:rPr>
          <w:rFonts w:cstheme="minorHAnsi"/>
          <w:bCs/>
        </w:rPr>
        <w:t>ho</w:t>
      </w:r>
      <w:r w:rsidR="003F1846">
        <w:rPr>
          <w:rFonts w:cstheme="minorHAnsi"/>
          <w:bCs/>
        </w:rPr>
        <w:t>w</w:t>
      </w:r>
      <w:r>
        <w:rPr>
          <w:rFonts w:cstheme="minorHAnsi"/>
          <w:bCs/>
        </w:rPr>
        <w:t xml:space="preserve"> people use the spaces and places around the Royal Docks. Therefor</w:t>
      </w:r>
      <w:r w:rsidR="003F1846">
        <w:rPr>
          <w:rFonts w:cstheme="minorHAnsi"/>
          <w:bCs/>
        </w:rPr>
        <w:t>e,</w:t>
      </w:r>
      <w:r>
        <w:rPr>
          <w:rFonts w:cstheme="minorHAnsi"/>
          <w:bCs/>
        </w:rPr>
        <w:t xml:space="preserve"> it is proposed to </w:t>
      </w:r>
      <w:r w:rsidR="003F1846">
        <w:rPr>
          <w:rFonts w:cstheme="minorHAnsi"/>
          <w:bCs/>
        </w:rPr>
        <w:t xml:space="preserve">commission </w:t>
      </w:r>
      <w:r>
        <w:rPr>
          <w:rFonts w:cstheme="minorHAnsi"/>
          <w:bCs/>
        </w:rPr>
        <w:t>a short review of the Public Realm Framework</w:t>
      </w:r>
      <w:r w:rsidR="003F1846">
        <w:rPr>
          <w:rFonts w:cstheme="minorHAnsi"/>
          <w:bCs/>
        </w:rPr>
        <w:t>,</w:t>
      </w:r>
      <w:r>
        <w:rPr>
          <w:rFonts w:cstheme="minorHAnsi"/>
          <w:bCs/>
        </w:rPr>
        <w:t xml:space="preserve"> to note what has come forward</w:t>
      </w:r>
      <w:r w:rsidR="003F1846">
        <w:rPr>
          <w:rFonts w:cstheme="minorHAnsi"/>
          <w:bCs/>
        </w:rPr>
        <w:t xml:space="preserve">; </w:t>
      </w:r>
      <w:r>
        <w:rPr>
          <w:rFonts w:cstheme="minorHAnsi"/>
          <w:bCs/>
        </w:rPr>
        <w:t>what is no longer relevant</w:t>
      </w:r>
      <w:r w:rsidR="003F1846">
        <w:rPr>
          <w:rFonts w:cstheme="minorHAnsi"/>
          <w:bCs/>
        </w:rPr>
        <w:t>;</w:t>
      </w:r>
      <w:r>
        <w:rPr>
          <w:rFonts w:cstheme="minorHAnsi"/>
          <w:bCs/>
        </w:rPr>
        <w:t xml:space="preserve"> and what now needs to be done. This will help inform partners’ proposals and any future R</w:t>
      </w:r>
      <w:r w:rsidR="00A54386">
        <w:rPr>
          <w:rFonts w:cstheme="minorHAnsi"/>
          <w:bCs/>
        </w:rPr>
        <w:t>DT</w:t>
      </w:r>
      <w:r>
        <w:rPr>
          <w:rFonts w:cstheme="minorHAnsi"/>
          <w:bCs/>
        </w:rPr>
        <w:t xml:space="preserve"> investment. Funding will be used to commission this work.</w:t>
      </w:r>
    </w:p>
    <w:p w14:paraId="0D76CFFB" w14:textId="18442F53" w:rsidR="00844DE7" w:rsidRDefault="00120486" w:rsidP="00F76018">
      <w:pPr>
        <w:pStyle w:val="BodyTextIndent3"/>
        <w:numPr>
          <w:ilvl w:val="1"/>
          <w:numId w:val="24"/>
        </w:numPr>
        <w:spacing w:after="200" w:line="240" w:lineRule="auto"/>
        <w:ind w:left="567" w:hanging="567"/>
        <w:rPr>
          <w:rFonts w:cstheme="minorHAnsi"/>
          <w:bCs/>
        </w:rPr>
      </w:pPr>
      <w:r>
        <w:rPr>
          <w:rFonts w:cstheme="minorHAnsi"/>
          <w:bCs/>
        </w:rPr>
        <w:lastRenderedPageBreak/>
        <w:t>The Royal Docks has seen the huge development benefits of invest</w:t>
      </w:r>
      <w:r w:rsidR="004C2786">
        <w:rPr>
          <w:rFonts w:cstheme="minorHAnsi"/>
          <w:bCs/>
        </w:rPr>
        <w:t>ing</w:t>
      </w:r>
      <w:r>
        <w:rPr>
          <w:rFonts w:cstheme="minorHAnsi"/>
          <w:bCs/>
        </w:rPr>
        <w:t xml:space="preserve"> in transport infrastructure </w:t>
      </w:r>
      <w:r w:rsidR="004C2786">
        <w:rPr>
          <w:rFonts w:cstheme="minorHAnsi"/>
          <w:bCs/>
        </w:rPr>
        <w:t xml:space="preserve">to </w:t>
      </w:r>
      <w:r>
        <w:rPr>
          <w:rFonts w:cstheme="minorHAnsi"/>
          <w:bCs/>
        </w:rPr>
        <w:t>unlock growth. The R</w:t>
      </w:r>
      <w:r w:rsidR="00A54386">
        <w:rPr>
          <w:rFonts w:cstheme="minorHAnsi"/>
          <w:bCs/>
        </w:rPr>
        <w:t>DT</w:t>
      </w:r>
      <w:r>
        <w:rPr>
          <w:rFonts w:cstheme="minorHAnsi"/>
          <w:bCs/>
        </w:rPr>
        <w:t xml:space="preserve"> will work with TfL to produce a Transport Strategy for the Royal Docks and Beckton Riverside</w:t>
      </w:r>
      <w:r w:rsidR="004C2786">
        <w:rPr>
          <w:rFonts w:cstheme="minorHAnsi"/>
          <w:bCs/>
        </w:rPr>
        <w:t>. This strategy will</w:t>
      </w:r>
      <w:r>
        <w:rPr>
          <w:rFonts w:cstheme="minorHAnsi"/>
          <w:bCs/>
        </w:rPr>
        <w:t xml:space="preserve"> build on the Opportunity Area Planning Framework</w:t>
      </w:r>
      <w:r w:rsidR="004C2786">
        <w:rPr>
          <w:rFonts w:cstheme="minorHAnsi"/>
          <w:bCs/>
        </w:rPr>
        <w:t>;</w:t>
      </w:r>
      <w:r>
        <w:rPr>
          <w:rFonts w:cstheme="minorHAnsi"/>
          <w:bCs/>
        </w:rPr>
        <w:t xml:space="preserve"> celebrate the success of investment to date</w:t>
      </w:r>
      <w:r w:rsidR="004C2786">
        <w:rPr>
          <w:rFonts w:cstheme="minorHAnsi"/>
          <w:bCs/>
        </w:rPr>
        <w:t>;</w:t>
      </w:r>
      <w:r>
        <w:rPr>
          <w:rFonts w:cstheme="minorHAnsi"/>
          <w:bCs/>
        </w:rPr>
        <w:t xml:space="preserve"> articulate the case for future projects</w:t>
      </w:r>
      <w:r w:rsidR="004C2786">
        <w:rPr>
          <w:rFonts w:cstheme="minorHAnsi"/>
          <w:bCs/>
        </w:rPr>
        <w:t>;</w:t>
      </w:r>
      <w:r>
        <w:rPr>
          <w:rFonts w:cstheme="minorHAnsi"/>
          <w:bCs/>
        </w:rPr>
        <w:t xml:space="preserve"> and make the connection between infrastructure and development capacity. Funding will be used to commission this work.</w:t>
      </w:r>
    </w:p>
    <w:p w14:paraId="06DE026B" w14:textId="7BDC20CE" w:rsidR="00643124" w:rsidRPr="00643124" w:rsidRDefault="00120486" w:rsidP="00F76018">
      <w:pPr>
        <w:pStyle w:val="BodyTextIndent3"/>
        <w:numPr>
          <w:ilvl w:val="1"/>
          <w:numId w:val="24"/>
        </w:numPr>
        <w:spacing w:after="200" w:line="240" w:lineRule="auto"/>
        <w:ind w:left="567" w:hanging="567"/>
        <w:rPr>
          <w:rFonts w:cstheme="minorHAnsi"/>
          <w:bCs/>
        </w:rPr>
      </w:pPr>
      <w:r>
        <w:rPr>
          <w:rFonts w:cstheme="minorHAnsi"/>
          <w:bCs/>
        </w:rPr>
        <w:t xml:space="preserve">TfL </w:t>
      </w:r>
      <w:r w:rsidR="004C2786">
        <w:rPr>
          <w:rFonts w:cstheme="minorHAnsi"/>
          <w:bCs/>
        </w:rPr>
        <w:t xml:space="preserve">is </w:t>
      </w:r>
      <w:r>
        <w:rPr>
          <w:rFonts w:cstheme="minorHAnsi"/>
          <w:bCs/>
        </w:rPr>
        <w:t>a major partner in the Royal Docks</w:t>
      </w:r>
      <w:r w:rsidR="004C2786">
        <w:rPr>
          <w:rFonts w:cstheme="minorHAnsi"/>
          <w:bCs/>
        </w:rPr>
        <w:t>. T</w:t>
      </w:r>
      <w:r>
        <w:rPr>
          <w:rFonts w:cstheme="minorHAnsi"/>
          <w:bCs/>
        </w:rPr>
        <w:t xml:space="preserve">here are </w:t>
      </w:r>
      <w:r w:rsidR="004C2786">
        <w:rPr>
          <w:rFonts w:cstheme="minorHAnsi"/>
          <w:bCs/>
        </w:rPr>
        <w:t xml:space="preserve">also </w:t>
      </w:r>
      <w:r>
        <w:rPr>
          <w:rFonts w:cstheme="minorHAnsi"/>
          <w:bCs/>
        </w:rPr>
        <w:t>numerous interfaces between the R</w:t>
      </w:r>
      <w:r w:rsidR="00A54386">
        <w:rPr>
          <w:rFonts w:cstheme="minorHAnsi"/>
          <w:bCs/>
        </w:rPr>
        <w:t>DT</w:t>
      </w:r>
      <w:r>
        <w:rPr>
          <w:rFonts w:cstheme="minorHAnsi"/>
          <w:bCs/>
        </w:rPr>
        <w:t xml:space="preserve"> and TfL</w:t>
      </w:r>
      <w:r w:rsidR="004C2786">
        <w:rPr>
          <w:rFonts w:cstheme="minorHAnsi"/>
          <w:bCs/>
        </w:rPr>
        <w:t>, and</w:t>
      </w:r>
      <w:r>
        <w:rPr>
          <w:rFonts w:cstheme="minorHAnsi"/>
          <w:bCs/>
        </w:rPr>
        <w:t xml:space="preserve"> with our development partners. Retaining a key </w:t>
      </w:r>
      <w:r w:rsidR="004C2786">
        <w:rPr>
          <w:rFonts w:cstheme="minorHAnsi"/>
          <w:bCs/>
        </w:rPr>
        <w:t xml:space="preserve">TfL staff </w:t>
      </w:r>
      <w:r>
        <w:rPr>
          <w:rFonts w:cstheme="minorHAnsi"/>
          <w:bCs/>
        </w:rPr>
        <w:t>member</w:t>
      </w:r>
      <w:r w:rsidR="004C2786">
        <w:rPr>
          <w:rFonts w:cstheme="minorHAnsi"/>
          <w:bCs/>
        </w:rPr>
        <w:t>,</w:t>
      </w:r>
      <w:r>
        <w:rPr>
          <w:rFonts w:cstheme="minorHAnsi"/>
          <w:bCs/>
        </w:rPr>
        <w:t xml:space="preserve"> to help coordinate Royal Docks projects with TfL</w:t>
      </w:r>
      <w:r w:rsidR="004C2786">
        <w:rPr>
          <w:rFonts w:cstheme="minorHAnsi"/>
          <w:bCs/>
        </w:rPr>
        <w:t>,</w:t>
      </w:r>
      <w:r>
        <w:rPr>
          <w:rFonts w:cstheme="minorHAnsi"/>
          <w:bCs/>
        </w:rPr>
        <w:t xml:space="preserve"> is essential. Funding will be used to part</w:t>
      </w:r>
      <w:r w:rsidR="004C2786">
        <w:rPr>
          <w:rFonts w:cstheme="minorHAnsi"/>
          <w:bCs/>
        </w:rPr>
        <w:t>-</w:t>
      </w:r>
      <w:r>
        <w:rPr>
          <w:rFonts w:cstheme="minorHAnsi"/>
          <w:bCs/>
        </w:rPr>
        <w:t>fund this post.</w:t>
      </w:r>
    </w:p>
    <w:p w14:paraId="3D079DF2" w14:textId="1EB329CC" w:rsidR="004B6E33" w:rsidRPr="00F76018" w:rsidRDefault="004B6E33" w:rsidP="00F76018">
      <w:pPr>
        <w:pStyle w:val="BodyTextIndent3"/>
        <w:spacing w:after="200" w:line="240" w:lineRule="auto"/>
        <w:ind w:left="567" w:firstLine="0"/>
        <w:rPr>
          <w:u w:val="single"/>
        </w:rPr>
      </w:pPr>
      <w:r w:rsidRPr="00F76018">
        <w:rPr>
          <w:u w:val="single"/>
        </w:rPr>
        <w:t xml:space="preserve">Cultural </w:t>
      </w:r>
      <w:r w:rsidR="00C83C09">
        <w:rPr>
          <w:u w:val="single"/>
        </w:rPr>
        <w:t>p</w:t>
      </w:r>
      <w:r w:rsidRPr="00F76018">
        <w:rPr>
          <w:u w:val="single"/>
        </w:rPr>
        <w:t xml:space="preserve">lacemaking and </w:t>
      </w:r>
      <w:r w:rsidR="00C83C09">
        <w:rPr>
          <w:u w:val="single"/>
        </w:rPr>
        <w:t>p</w:t>
      </w:r>
      <w:r w:rsidRPr="00F76018">
        <w:rPr>
          <w:u w:val="single"/>
        </w:rPr>
        <w:t>rogramming</w:t>
      </w:r>
    </w:p>
    <w:p w14:paraId="2AC16F23" w14:textId="23E13C8D" w:rsidR="00A54386" w:rsidRDefault="00A54386" w:rsidP="00F76018">
      <w:pPr>
        <w:pStyle w:val="BodyTextIndent3"/>
        <w:numPr>
          <w:ilvl w:val="1"/>
          <w:numId w:val="24"/>
        </w:numPr>
        <w:spacing w:after="200" w:line="240" w:lineRule="auto"/>
        <w:ind w:left="567" w:hanging="567"/>
        <w:rPr>
          <w:rFonts w:cstheme="minorHAnsi"/>
          <w:bCs/>
        </w:rPr>
      </w:pPr>
      <w:r w:rsidRPr="00A54386">
        <w:rPr>
          <w:rFonts w:cstheme="minorHAnsi"/>
          <w:bCs/>
        </w:rPr>
        <w:t xml:space="preserve">Cultural </w:t>
      </w:r>
      <w:r w:rsidR="00C83C09">
        <w:rPr>
          <w:rFonts w:cstheme="minorHAnsi"/>
          <w:bCs/>
        </w:rPr>
        <w:t>p</w:t>
      </w:r>
      <w:r w:rsidRPr="00A54386">
        <w:rPr>
          <w:rFonts w:cstheme="minorHAnsi"/>
          <w:bCs/>
        </w:rPr>
        <w:t>lacemaking embeds culture into the identity and everyday life of the Royal Docks</w:t>
      </w:r>
      <w:r w:rsidR="00C83C09">
        <w:rPr>
          <w:rFonts w:cstheme="minorHAnsi"/>
          <w:bCs/>
        </w:rPr>
        <w:t xml:space="preserve">; and </w:t>
      </w:r>
      <w:r w:rsidRPr="00A54386">
        <w:rPr>
          <w:rFonts w:cstheme="minorHAnsi"/>
          <w:bCs/>
        </w:rPr>
        <w:t>help</w:t>
      </w:r>
      <w:r w:rsidR="00C83C09">
        <w:rPr>
          <w:rFonts w:cstheme="minorHAnsi"/>
          <w:bCs/>
        </w:rPr>
        <w:t>s</w:t>
      </w:r>
      <w:r w:rsidRPr="00A54386">
        <w:rPr>
          <w:rFonts w:cstheme="minorHAnsi"/>
          <w:bCs/>
        </w:rPr>
        <w:t xml:space="preserve"> to make the area a great place to live, work and visit. Royal Docks spaces will become attractive and functional platforms for events, festivals, sport, food, culture and creative production. The quality, diversity and local character of programming will improve perceptions of the area</w:t>
      </w:r>
      <w:r w:rsidR="00691382">
        <w:rPr>
          <w:rFonts w:cstheme="minorHAnsi"/>
          <w:bCs/>
        </w:rPr>
        <w:t>;</w:t>
      </w:r>
      <w:r w:rsidRPr="00A54386">
        <w:rPr>
          <w:rFonts w:cstheme="minorHAnsi"/>
          <w:bCs/>
        </w:rPr>
        <w:t xml:space="preserve"> raise its profile</w:t>
      </w:r>
      <w:r w:rsidR="00691382">
        <w:rPr>
          <w:rFonts w:cstheme="minorHAnsi"/>
          <w:bCs/>
        </w:rPr>
        <w:t>;</w:t>
      </w:r>
      <w:r w:rsidRPr="00A54386">
        <w:rPr>
          <w:rFonts w:cstheme="minorHAnsi"/>
          <w:bCs/>
        </w:rPr>
        <w:t xml:space="preserve"> and </w:t>
      </w:r>
      <w:r w:rsidR="00691382">
        <w:rPr>
          <w:rFonts w:cstheme="minorHAnsi"/>
          <w:bCs/>
        </w:rPr>
        <w:t>promote</w:t>
      </w:r>
      <w:r w:rsidRPr="00A54386">
        <w:rPr>
          <w:rFonts w:cstheme="minorHAnsi"/>
          <w:bCs/>
        </w:rPr>
        <w:t xml:space="preserve"> a distinctive Royal Docks identity.</w:t>
      </w:r>
    </w:p>
    <w:p w14:paraId="7AB8D749" w14:textId="315FF1A2" w:rsidR="00A54386" w:rsidRDefault="00A54386" w:rsidP="00F76018">
      <w:pPr>
        <w:pStyle w:val="BodyTextIndent3"/>
        <w:numPr>
          <w:ilvl w:val="1"/>
          <w:numId w:val="24"/>
        </w:numPr>
        <w:spacing w:after="200" w:line="240" w:lineRule="auto"/>
        <w:ind w:left="567" w:hanging="567"/>
        <w:rPr>
          <w:rFonts w:cstheme="minorHAnsi"/>
          <w:bCs/>
        </w:rPr>
      </w:pPr>
      <w:r w:rsidRPr="00A54386">
        <w:rPr>
          <w:rFonts w:cstheme="minorHAnsi"/>
          <w:bCs/>
        </w:rPr>
        <w:t xml:space="preserve">The growing year-round programme </w:t>
      </w:r>
      <w:r w:rsidR="00873A8E">
        <w:rPr>
          <w:rFonts w:cstheme="minorHAnsi"/>
          <w:bCs/>
        </w:rPr>
        <w:t xml:space="preserve">combines </w:t>
      </w:r>
      <w:r w:rsidRPr="00A54386">
        <w:rPr>
          <w:rFonts w:cstheme="minorHAnsi"/>
          <w:bCs/>
        </w:rPr>
        <w:t xml:space="preserve">the work of the Royal Docks’ community of professional creatives, </w:t>
      </w:r>
      <w:r w:rsidR="00873A8E">
        <w:rPr>
          <w:rFonts w:cstheme="minorHAnsi"/>
          <w:bCs/>
        </w:rPr>
        <w:t>and</w:t>
      </w:r>
      <w:r w:rsidR="00873A8E" w:rsidRPr="00A54386">
        <w:rPr>
          <w:rFonts w:cstheme="minorHAnsi"/>
          <w:bCs/>
        </w:rPr>
        <w:t xml:space="preserve"> </w:t>
      </w:r>
      <w:r w:rsidRPr="00A54386">
        <w:rPr>
          <w:rFonts w:cstheme="minorHAnsi"/>
          <w:bCs/>
        </w:rPr>
        <w:t xml:space="preserve">local hospitality, sport and leisure providers, with high-profile incoming events. This offer complements and supports the </w:t>
      </w:r>
      <w:r w:rsidR="00892363">
        <w:rPr>
          <w:rFonts w:cstheme="minorHAnsi"/>
          <w:bCs/>
        </w:rPr>
        <w:t>c</w:t>
      </w:r>
      <w:r w:rsidR="00892363" w:rsidRPr="00A54386">
        <w:rPr>
          <w:rFonts w:cstheme="minorHAnsi"/>
          <w:bCs/>
        </w:rPr>
        <w:t xml:space="preserve">ultural </w:t>
      </w:r>
      <w:r w:rsidRPr="00A54386">
        <w:rPr>
          <w:rFonts w:cstheme="minorHAnsi"/>
          <w:bCs/>
        </w:rPr>
        <w:t xml:space="preserve">and </w:t>
      </w:r>
      <w:r w:rsidR="00892363">
        <w:rPr>
          <w:rFonts w:cstheme="minorHAnsi"/>
          <w:bCs/>
        </w:rPr>
        <w:t>c</w:t>
      </w:r>
      <w:r w:rsidR="00892363" w:rsidRPr="00A54386">
        <w:rPr>
          <w:rFonts w:cstheme="minorHAnsi"/>
          <w:bCs/>
        </w:rPr>
        <w:t xml:space="preserve">reative </w:t>
      </w:r>
      <w:r w:rsidR="00316F31">
        <w:rPr>
          <w:rFonts w:cstheme="minorHAnsi"/>
          <w:bCs/>
        </w:rPr>
        <w:t>i</w:t>
      </w:r>
      <w:r w:rsidRPr="00A54386">
        <w:rPr>
          <w:rFonts w:cstheme="minorHAnsi"/>
          <w:bCs/>
        </w:rPr>
        <w:t>ndustries</w:t>
      </w:r>
      <w:r w:rsidR="00892363">
        <w:rPr>
          <w:rFonts w:cstheme="minorHAnsi"/>
          <w:bCs/>
        </w:rPr>
        <w:t>,</w:t>
      </w:r>
      <w:r w:rsidRPr="00A54386">
        <w:rPr>
          <w:rFonts w:cstheme="minorHAnsi"/>
          <w:bCs/>
        </w:rPr>
        <w:t xml:space="preserve"> and </w:t>
      </w:r>
      <w:r w:rsidR="00892363">
        <w:rPr>
          <w:rFonts w:cstheme="minorHAnsi"/>
          <w:bCs/>
        </w:rPr>
        <w:t>e</w:t>
      </w:r>
      <w:r w:rsidRPr="00A54386">
        <w:rPr>
          <w:rFonts w:cstheme="minorHAnsi"/>
          <w:bCs/>
        </w:rPr>
        <w:t xml:space="preserve">xperience </w:t>
      </w:r>
      <w:r w:rsidR="00892363">
        <w:rPr>
          <w:rFonts w:cstheme="minorHAnsi"/>
          <w:bCs/>
        </w:rPr>
        <w:t>e</w:t>
      </w:r>
      <w:r w:rsidR="00892363" w:rsidRPr="00A54386">
        <w:rPr>
          <w:rFonts w:cstheme="minorHAnsi"/>
          <w:bCs/>
        </w:rPr>
        <w:t xml:space="preserve">conomy </w:t>
      </w:r>
      <w:r w:rsidRPr="00A54386">
        <w:rPr>
          <w:rFonts w:cstheme="minorHAnsi"/>
          <w:bCs/>
        </w:rPr>
        <w:t>element of the Sector Development programme</w:t>
      </w:r>
      <w:r w:rsidR="00892363">
        <w:rPr>
          <w:rFonts w:cstheme="minorHAnsi"/>
          <w:bCs/>
        </w:rPr>
        <w:t>. It does so</w:t>
      </w:r>
      <w:r w:rsidRPr="00A54386">
        <w:rPr>
          <w:rFonts w:cstheme="minorHAnsi"/>
          <w:bCs/>
        </w:rPr>
        <w:t xml:space="preserve"> by delivering an inclusive cultural platform that attracts significant audiences</w:t>
      </w:r>
      <w:r w:rsidR="00892363">
        <w:rPr>
          <w:rFonts w:cstheme="minorHAnsi"/>
          <w:bCs/>
        </w:rPr>
        <w:t>,</w:t>
      </w:r>
      <w:r w:rsidRPr="00A54386">
        <w:rPr>
          <w:rFonts w:cstheme="minorHAnsi"/>
          <w:bCs/>
        </w:rPr>
        <w:t xml:space="preserve"> and increases dwell time</w:t>
      </w:r>
      <w:r w:rsidR="00892363">
        <w:rPr>
          <w:rFonts w:cstheme="minorHAnsi"/>
          <w:bCs/>
        </w:rPr>
        <w:t>,</w:t>
      </w:r>
      <w:r w:rsidRPr="00A54386">
        <w:rPr>
          <w:rFonts w:cstheme="minorHAnsi"/>
          <w:bCs/>
        </w:rPr>
        <w:t xml:space="preserve"> across the Royal Docks.</w:t>
      </w:r>
    </w:p>
    <w:p w14:paraId="1A8EEE72" w14:textId="625A7455" w:rsidR="00A54386" w:rsidRPr="00A54386" w:rsidRDefault="00A54386" w:rsidP="00F76018">
      <w:pPr>
        <w:pStyle w:val="BodyTextIndent3"/>
        <w:numPr>
          <w:ilvl w:val="1"/>
          <w:numId w:val="24"/>
        </w:numPr>
        <w:spacing w:after="200" w:line="240" w:lineRule="auto"/>
        <w:ind w:left="567" w:hanging="567"/>
        <w:rPr>
          <w:rFonts w:cstheme="minorHAnsi"/>
          <w:bCs/>
        </w:rPr>
      </w:pPr>
      <w:r w:rsidRPr="00A54386">
        <w:rPr>
          <w:rFonts w:cstheme="minorHAnsi"/>
          <w:bCs/>
        </w:rPr>
        <w:t>Planning and delivery are coordinated through the Royal Docks Placemaking and Promotion Partnership, which brings together key stakeholders to strengthen the area’s identity</w:t>
      </w:r>
      <w:r w:rsidR="00892363">
        <w:rPr>
          <w:rFonts w:cstheme="minorHAnsi"/>
          <w:bCs/>
        </w:rPr>
        <w:t>;</w:t>
      </w:r>
      <w:r w:rsidRPr="00A54386">
        <w:rPr>
          <w:rFonts w:cstheme="minorHAnsi"/>
          <w:bCs/>
        </w:rPr>
        <w:t xml:space="preserve"> attract visitors</w:t>
      </w:r>
      <w:r w:rsidR="00892363">
        <w:rPr>
          <w:rFonts w:cstheme="minorHAnsi"/>
          <w:bCs/>
        </w:rPr>
        <w:t>;</w:t>
      </w:r>
      <w:r w:rsidRPr="00A54386">
        <w:rPr>
          <w:rFonts w:cstheme="minorHAnsi"/>
          <w:bCs/>
        </w:rPr>
        <w:t xml:space="preserve"> and align investment in programming with wider destination offers. </w:t>
      </w:r>
      <w:r w:rsidR="00892363">
        <w:rPr>
          <w:rFonts w:cstheme="minorHAnsi"/>
          <w:bCs/>
        </w:rPr>
        <w:t>T</w:t>
      </w:r>
      <w:r w:rsidRPr="00A54386">
        <w:rPr>
          <w:rFonts w:cstheme="minorHAnsi"/>
          <w:bCs/>
        </w:rPr>
        <w:t xml:space="preserve">he Royal Docks Programming Group – a network of more than 80 culture, leisure, sport and hospitality partners – </w:t>
      </w:r>
      <w:r w:rsidR="00892363">
        <w:rPr>
          <w:rFonts w:cstheme="minorHAnsi"/>
          <w:bCs/>
        </w:rPr>
        <w:t xml:space="preserve">also </w:t>
      </w:r>
      <w:r w:rsidRPr="00A54386">
        <w:rPr>
          <w:rFonts w:cstheme="minorHAnsi"/>
          <w:bCs/>
        </w:rPr>
        <w:t xml:space="preserve">helps develop a cohesive year-round programme that animates public </w:t>
      </w:r>
      <w:proofErr w:type="gramStart"/>
      <w:r w:rsidRPr="00A54386">
        <w:rPr>
          <w:rFonts w:cstheme="minorHAnsi"/>
          <w:bCs/>
        </w:rPr>
        <w:t>spaces</w:t>
      </w:r>
      <w:r w:rsidR="00892363">
        <w:rPr>
          <w:rFonts w:cstheme="minorHAnsi"/>
          <w:bCs/>
        </w:rPr>
        <w:t>,</w:t>
      </w:r>
      <w:r w:rsidRPr="00A54386">
        <w:rPr>
          <w:rFonts w:cstheme="minorHAnsi"/>
          <w:bCs/>
        </w:rPr>
        <w:t xml:space="preserve"> and</w:t>
      </w:r>
      <w:proofErr w:type="gramEnd"/>
      <w:r w:rsidRPr="00A54386">
        <w:rPr>
          <w:rFonts w:cstheme="minorHAnsi"/>
          <w:bCs/>
        </w:rPr>
        <w:t xml:space="preserve"> delivers a distinctive Royal Docks cultural offer.</w:t>
      </w:r>
    </w:p>
    <w:p w14:paraId="5442E14A" w14:textId="77777777" w:rsidR="00EA338D" w:rsidRDefault="00EA338D" w:rsidP="00F76018">
      <w:pPr>
        <w:pStyle w:val="BodyTextIndent3"/>
        <w:numPr>
          <w:ilvl w:val="1"/>
          <w:numId w:val="24"/>
        </w:numPr>
        <w:spacing w:after="200" w:line="240" w:lineRule="auto"/>
        <w:ind w:left="567" w:hanging="567"/>
        <w:rPr>
          <w:rFonts w:cstheme="minorHAnsi"/>
          <w:bCs/>
        </w:rPr>
      </w:pPr>
      <w:r w:rsidRPr="00844DE7">
        <w:rPr>
          <w:rFonts w:cstheme="minorHAnsi"/>
          <w:bCs/>
        </w:rPr>
        <w:t>Activities will include:</w:t>
      </w:r>
    </w:p>
    <w:p w14:paraId="2845B37D" w14:textId="781C9AC2" w:rsidR="00A54386" w:rsidRPr="00A54386" w:rsidRDefault="00A54386" w:rsidP="00F96375">
      <w:pPr>
        <w:pStyle w:val="ListParagraph"/>
        <w:numPr>
          <w:ilvl w:val="0"/>
          <w:numId w:val="35"/>
        </w:numPr>
        <w:spacing w:after="200"/>
        <w:ind w:left="992" w:hanging="283"/>
        <w:contextualSpacing w:val="0"/>
        <w:rPr>
          <w:color w:val="000000" w:themeColor="text1"/>
        </w:rPr>
      </w:pPr>
      <w:r w:rsidRPr="00A54386">
        <w:rPr>
          <w:rFonts w:cstheme="minorHAnsi"/>
          <w:b/>
          <w:bCs/>
        </w:rPr>
        <w:t xml:space="preserve">At the Docks Summer Programme </w:t>
      </w:r>
      <w:r w:rsidRPr="00A54386">
        <w:rPr>
          <w:rFonts w:cstheme="minorHAnsi"/>
        </w:rPr>
        <w:t>(</w:t>
      </w:r>
      <w:r w:rsidR="008A2D6E">
        <w:rPr>
          <w:rFonts w:cstheme="minorHAnsi"/>
        </w:rPr>
        <w:t xml:space="preserve">annually, </w:t>
      </w:r>
      <w:r w:rsidRPr="00A54386">
        <w:rPr>
          <w:rFonts w:cstheme="minorHAnsi"/>
        </w:rPr>
        <w:t>June</w:t>
      </w:r>
      <w:r w:rsidR="008A2D6E">
        <w:rPr>
          <w:rFonts w:cstheme="minorHAnsi"/>
        </w:rPr>
        <w:t xml:space="preserve"> to </w:t>
      </w:r>
      <w:r w:rsidRPr="00A54386">
        <w:rPr>
          <w:rFonts w:cstheme="minorHAnsi"/>
        </w:rPr>
        <w:t>September)</w:t>
      </w:r>
      <w:r w:rsidRPr="00A54386">
        <w:rPr>
          <w:rFonts w:cstheme="minorHAnsi"/>
          <w:bCs/>
        </w:rPr>
        <w:t xml:space="preserve">. </w:t>
      </w:r>
      <w:r w:rsidR="008A2D6E">
        <w:rPr>
          <w:rFonts w:cstheme="minorHAnsi"/>
          <w:bCs/>
        </w:rPr>
        <w:t>This</w:t>
      </w:r>
      <w:r w:rsidRPr="00A54386">
        <w:rPr>
          <w:rFonts w:cstheme="minorHAnsi"/>
          <w:bCs/>
        </w:rPr>
        <w:t xml:space="preserve"> includes established events such as </w:t>
      </w:r>
      <w:r w:rsidR="008A2D6E">
        <w:rPr>
          <w:rFonts w:cstheme="minorHAnsi"/>
          <w:bCs/>
        </w:rPr>
        <w:t xml:space="preserve">the </w:t>
      </w:r>
      <w:r w:rsidRPr="00A54386">
        <w:rPr>
          <w:rFonts w:cstheme="minorHAnsi"/>
          <w:bCs/>
        </w:rPr>
        <w:t>Silverworks Island Festival</w:t>
      </w:r>
      <w:r w:rsidR="008A2D6E">
        <w:rPr>
          <w:rFonts w:cstheme="minorHAnsi"/>
          <w:bCs/>
        </w:rPr>
        <w:t>;</w:t>
      </w:r>
      <w:r w:rsidRPr="00A54386">
        <w:rPr>
          <w:rFonts w:cstheme="minorHAnsi"/>
          <w:bCs/>
        </w:rPr>
        <w:t xml:space="preserve"> the London Triathlon</w:t>
      </w:r>
      <w:r w:rsidR="008A2D6E">
        <w:rPr>
          <w:rFonts w:cstheme="minorHAnsi"/>
          <w:bCs/>
        </w:rPr>
        <w:t>;</w:t>
      </w:r>
      <w:r w:rsidRPr="00A54386">
        <w:rPr>
          <w:rFonts w:cstheme="minorHAnsi"/>
          <w:bCs/>
        </w:rPr>
        <w:t xml:space="preserve"> Dock to Dock Swim</w:t>
      </w:r>
      <w:r w:rsidR="008A2D6E">
        <w:rPr>
          <w:rFonts w:cstheme="minorHAnsi"/>
          <w:bCs/>
        </w:rPr>
        <w:t xml:space="preserve">. There is also </w:t>
      </w:r>
      <w:r w:rsidRPr="00A54386">
        <w:rPr>
          <w:rFonts w:cstheme="minorHAnsi"/>
          <w:bCs/>
        </w:rPr>
        <w:t>a range of dockside activities including Royal Docks Summer Splash</w:t>
      </w:r>
      <w:r w:rsidR="008A2D6E">
        <w:rPr>
          <w:rFonts w:cstheme="minorHAnsi"/>
          <w:bCs/>
        </w:rPr>
        <w:t>;</w:t>
      </w:r>
      <w:r w:rsidRPr="00A54386">
        <w:rPr>
          <w:rFonts w:cstheme="minorHAnsi"/>
          <w:bCs/>
        </w:rPr>
        <w:t xml:space="preserve"> wakeboarding</w:t>
      </w:r>
      <w:r w:rsidR="008A2D6E">
        <w:rPr>
          <w:rFonts w:cstheme="minorHAnsi"/>
          <w:bCs/>
        </w:rPr>
        <w:t>;</w:t>
      </w:r>
      <w:r w:rsidR="008A2D6E" w:rsidRPr="00A54386">
        <w:rPr>
          <w:rFonts w:cstheme="minorHAnsi"/>
          <w:bCs/>
        </w:rPr>
        <w:t xml:space="preserve"> </w:t>
      </w:r>
      <w:r w:rsidRPr="00A54386">
        <w:rPr>
          <w:rFonts w:cstheme="minorHAnsi"/>
          <w:bCs/>
        </w:rPr>
        <w:t>open-water swimming</w:t>
      </w:r>
      <w:r w:rsidR="008A2D6E">
        <w:rPr>
          <w:rFonts w:cstheme="minorHAnsi"/>
          <w:bCs/>
        </w:rPr>
        <w:t>;</w:t>
      </w:r>
      <w:r w:rsidRPr="00A54386">
        <w:rPr>
          <w:rFonts w:cstheme="minorHAnsi"/>
          <w:bCs/>
        </w:rPr>
        <w:t xml:space="preserve"> </w:t>
      </w:r>
      <w:proofErr w:type="spellStart"/>
      <w:r w:rsidRPr="00A54386">
        <w:rPr>
          <w:rFonts w:cstheme="minorHAnsi"/>
          <w:bCs/>
        </w:rPr>
        <w:t>Sweheat</w:t>
      </w:r>
      <w:proofErr w:type="spellEnd"/>
      <w:r w:rsidRPr="00A54386">
        <w:rPr>
          <w:rFonts w:cstheme="minorHAnsi"/>
          <w:bCs/>
        </w:rPr>
        <w:t xml:space="preserve"> sauna</w:t>
      </w:r>
      <w:r w:rsidR="008A2D6E">
        <w:rPr>
          <w:rFonts w:cstheme="minorHAnsi"/>
          <w:bCs/>
        </w:rPr>
        <w:t>;</w:t>
      </w:r>
      <w:r w:rsidRPr="00A54386">
        <w:rPr>
          <w:rFonts w:cstheme="minorHAnsi"/>
          <w:bCs/>
        </w:rPr>
        <w:t xml:space="preserve"> </w:t>
      </w:r>
      <w:r w:rsidR="002306C7">
        <w:rPr>
          <w:rFonts w:cstheme="minorHAnsi"/>
          <w:bCs/>
        </w:rPr>
        <w:t xml:space="preserve">the </w:t>
      </w:r>
      <w:r w:rsidRPr="00A54386">
        <w:rPr>
          <w:rFonts w:cstheme="minorHAnsi"/>
          <w:bCs/>
        </w:rPr>
        <w:t>Ensemble Festival</w:t>
      </w:r>
      <w:r w:rsidR="002306C7">
        <w:rPr>
          <w:rFonts w:cstheme="minorHAnsi"/>
          <w:bCs/>
        </w:rPr>
        <w:t>;</w:t>
      </w:r>
      <w:r w:rsidRPr="00A54386">
        <w:rPr>
          <w:rFonts w:cstheme="minorHAnsi"/>
          <w:bCs/>
        </w:rPr>
        <w:t xml:space="preserve"> and an expanding programme of sport, leisure and cultural activities.</w:t>
      </w:r>
    </w:p>
    <w:p w14:paraId="15038B3E" w14:textId="7A17F6A7" w:rsidR="00A54386" w:rsidRPr="00A54386" w:rsidRDefault="00A54386" w:rsidP="00F96375">
      <w:pPr>
        <w:pStyle w:val="ListParagraph"/>
        <w:numPr>
          <w:ilvl w:val="0"/>
          <w:numId w:val="35"/>
        </w:numPr>
        <w:spacing w:after="200"/>
        <w:ind w:left="992" w:hanging="283"/>
        <w:contextualSpacing w:val="0"/>
        <w:rPr>
          <w:color w:val="000000" w:themeColor="text1"/>
        </w:rPr>
      </w:pPr>
      <w:r w:rsidRPr="00A54386">
        <w:rPr>
          <w:rFonts w:cstheme="minorHAnsi"/>
          <w:b/>
          <w:bCs/>
        </w:rPr>
        <w:t>Royal Docks Originals</w:t>
      </w:r>
      <w:r w:rsidR="002306C7">
        <w:rPr>
          <w:rFonts w:cstheme="minorHAnsi"/>
          <w:b/>
          <w:bCs/>
        </w:rPr>
        <w:t xml:space="preserve"> (RDO)</w:t>
      </w:r>
      <w:r w:rsidRPr="00A54386">
        <w:rPr>
          <w:rFonts w:cstheme="minorHAnsi"/>
          <w:bCs/>
        </w:rPr>
        <w:t>, a new cultural festival</w:t>
      </w:r>
      <w:r w:rsidR="00983237">
        <w:rPr>
          <w:rFonts w:cstheme="minorHAnsi"/>
          <w:bCs/>
        </w:rPr>
        <w:t>, held every two years</w:t>
      </w:r>
      <w:r w:rsidR="002306C7">
        <w:rPr>
          <w:rFonts w:cstheme="minorHAnsi"/>
          <w:bCs/>
        </w:rPr>
        <w:t xml:space="preserve">. </w:t>
      </w:r>
      <w:r w:rsidR="00C7105E">
        <w:rPr>
          <w:rFonts w:cstheme="minorHAnsi"/>
          <w:bCs/>
        </w:rPr>
        <w:t>In autumn 2027 the festival will</w:t>
      </w:r>
      <w:r w:rsidR="00983237">
        <w:rPr>
          <w:rFonts w:cstheme="minorHAnsi"/>
          <w:bCs/>
        </w:rPr>
        <w:t xml:space="preserve"> </w:t>
      </w:r>
      <w:r w:rsidRPr="00A54386">
        <w:rPr>
          <w:rFonts w:cstheme="minorHAnsi"/>
          <w:bCs/>
        </w:rPr>
        <w:t>culminat</w:t>
      </w:r>
      <w:r w:rsidR="00C7105E">
        <w:rPr>
          <w:rFonts w:cstheme="minorHAnsi"/>
          <w:bCs/>
        </w:rPr>
        <w:t>e</w:t>
      </w:r>
      <w:r w:rsidRPr="00A54386">
        <w:rPr>
          <w:rFonts w:cstheme="minorHAnsi"/>
          <w:bCs/>
        </w:rPr>
        <w:t xml:space="preserve"> in </w:t>
      </w:r>
      <w:r w:rsidR="00C7105E">
        <w:rPr>
          <w:rFonts w:cstheme="minorHAnsi"/>
          <w:bCs/>
        </w:rPr>
        <w:t xml:space="preserve">a </w:t>
      </w:r>
      <w:r w:rsidRPr="00A54386">
        <w:rPr>
          <w:rFonts w:cstheme="minorHAnsi"/>
          <w:bCs/>
        </w:rPr>
        <w:t>showcase of work produced in the Royal Docks. Governed by the RDO Partners Group</w:t>
      </w:r>
      <w:r w:rsidR="00C7105E">
        <w:rPr>
          <w:rFonts w:cstheme="minorHAnsi"/>
          <w:bCs/>
        </w:rPr>
        <w:t>,</w:t>
      </w:r>
      <w:r w:rsidRPr="00A54386">
        <w:rPr>
          <w:rFonts w:cstheme="minorHAnsi"/>
          <w:bCs/>
        </w:rPr>
        <w:t xml:space="preserve"> and produced by the </w:t>
      </w:r>
      <w:r w:rsidR="00A47E4A">
        <w:rPr>
          <w:rFonts w:cstheme="minorHAnsi"/>
          <w:bCs/>
        </w:rPr>
        <w:t>RDT</w:t>
      </w:r>
      <w:r w:rsidRPr="00A54386">
        <w:rPr>
          <w:rFonts w:cstheme="minorHAnsi"/>
          <w:bCs/>
        </w:rPr>
        <w:t>, the festival will bring together creative partners from across the region</w:t>
      </w:r>
      <w:r w:rsidR="00C7105E">
        <w:rPr>
          <w:rFonts w:cstheme="minorHAnsi"/>
          <w:bCs/>
        </w:rPr>
        <w:t xml:space="preserve">, as well as </w:t>
      </w:r>
      <w:r w:rsidRPr="00A54386">
        <w:rPr>
          <w:rFonts w:cstheme="minorHAnsi"/>
          <w:bCs/>
        </w:rPr>
        <w:t>up to 150 local artists and cultural businesses.</w:t>
      </w:r>
    </w:p>
    <w:p w14:paraId="44019247" w14:textId="075870E8" w:rsidR="00A54386" w:rsidRPr="00A54386" w:rsidRDefault="00A54386" w:rsidP="00F96375">
      <w:pPr>
        <w:pStyle w:val="ListParagraph"/>
        <w:numPr>
          <w:ilvl w:val="0"/>
          <w:numId w:val="35"/>
        </w:numPr>
        <w:spacing w:after="200"/>
        <w:ind w:left="992" w:hanging="283"/>
        <w:contextualSpacing w:val="0"/>
        <w:rPr>
          <w:color w:val="000000" w:themeColor="text1"/>
        </w:rPr>
      </w:pPr>
      <w:r w:rsidRPr="00A54386">
        <w:rPr>
          <w:rFonts w:cstheme="minorHAnsi"/>
          <w:b/>
          <w:bCs/>
        </w:rPr>
        <w:t>Incoming events</w:t>
      </w:r>
      <w:r w:rsidRPr="00A54386">
        <w:rPr>
          <w:rFonts w:cstheme="minorHAnsi"/>
          <w:bCs/>
        </w:rPr>
        <w:t xml:space="preserve"> that animate public spaces, provide high-quality programming for residents and visitors, and contribute to civic pride. </w:t>
      </w:r>
      <w:r w:rsidR="00581332">
        <w:rPr>
          <w:rFonts w:cstheme="minorHAnsi"/>
          <w:bCs/>
        </w:rPr>
        <w:t>F</w:t>
      </w:r>
      <w:r w:rsidRPr="00A54386">
        <w:rPr>
          <w:rFonts w:cstheme="minorHAnsi"/>
          <w:bCs/>
        </w:rPr>
        <w:t xml:space="preserve">ocus will be given to events that make use of the Royal Docks’ </w:t>
      </w:r>
      <w:proofErr w:type="spellStart"/>
      <w:r w:rsidRPr="00A54386">
        <w:rPr>
          <w:rFonts w:cstheme="minorHAnsi"/>
          <w:bCs/>
        </w:rPr>
        <w:t>waterspace</w:t>
      </w:r>
      <w:proofErr w:type="spellEnd"/>
      <w:r w:rsidRPr="00A54386">
        <w:rPr>
          <w:rFonts w:cstheme="minorHAnsi"/>
          <w:bCs/>
        </w:rPr>
        <w:t xml:space="preserve"> and outdoor environment</w:t>
      </w:r>
      <w:r w:rsidR="003633A2">
        <w:rPr>
          <w:rFonts w:cstheme="minorHAnsi"/>
          <w:bCs/>
        </w:rPr>
        <w:t xml:space="preserve">, </w:t>
      </w:r>
      <w:r w:rsidR="003633A2" w:rsidRPr="00AD1524">
        <w:rPr>
          <w:rFonts w:cstheme="minorHAnsi"/>
        </w:rPr>
        <w:t>including major new events such as the first edition of The North Face event at Royal Victoria</w:t>
      </w:r>
      <w:r w:rsidR="003633A2" w:rsidRPr="001F2C53">
        <w:rPr>
          <w:rFonts w:cstheme="minorHAnsi"/>
        </w:rPr>
        <w:t>.</w:t>
      </w:r>
    </w:p>
    <w:p w14:paraId="0B5595F2" w14:textId="348D9A19" w:rsidR="00A54386" w:rsidRPr="003633A2" w:rsidRDefault="00A54386" w:rsidP="003633A2">
      <w:pPr>
        <w:pStyle w:val="ListParagraph"/>
        <w:numPr>
          <w:ilvl w:val="0"/>
          <w:numId w:val="35"/>
        </w:numPr>
        <w:spacing w:after="200"/>
        <w:ind w:left="992" w:hanging="283"/>
        <w:contextualSpacing w:val="0"/>
        <w:rPr>
          <w:rFonts w:cstheme="minorHAnsi"/>
          <w:b/>
          <w:bCs/>
        </w:rPr>
      </w:pPr>
      <w:r w:rsidRPr="00A54386">
        <w:rPr>
          <w:rFonts w:cstheme="minorHAnsi"/>
          <w:b/>
          <w:bCs/>
        </w:rPr>
        <w:t>Collaboration with Royal Docks Waterways</w:t>
      </w:r>
      <w:r w:rsidRPr="00A54386">
        <w:rPr>
          <w:rFonts w:cstheme="minorHAnsi"/>
          <w:bCs/>
        </w:rPr>
        <w:t xml:space="preserve"> to strengthen dockside and water-based activities</w:t>
      </w:r>
      <w:r w:rsidR="00423BD6">
        <w:rPr>
          <w:rFonts w:cstheme="minorHAnsi"/>
          <w:bCs/>
        </w:rPr>
        <w:t>. This</w:t>
      </w:r>
      <w:r w:rsidRPr="00A54386">
        <w:rPr>
          <w:rFonts w:cstheme="minorHAnsi"/>
          <w:bCs/>
        </w:rPr>
        <w:t xml:space="preserve"> includ</w:t>
      </w:r>
      <w:r w:rsidR="00423BD6">
        <w:rPr>
          <w:rFonts w:cstheme="minorHAnsi"/>
          <w:bCs/>
        </w:rPr>
        <w:t>es</w:t>
      </w:r>
      <w:r w:rsidRPr="00A54386">
        <w:rPr>
          <w:rFonts w:cstheme="minorHAnsi"/>
          <w:bCs/>
        </w:rPr>
        <w:t xml:space="preserve"> supporting animation of the dock through initiatives such as Royal Docks Summer Splash</w:t>
      </w:r>
      <w:r w:rsidR="00423BD6">
        <w:rPr>
          <w:rFonts w:cstheme="minorHAnsi"/>
          <w:bCs/>
        </w:rPr>
        <w:t>,</w:t>
      </w:r>
      <w:r w:rsidRPr="00A54386">
        <w:rPr>
          <w:rFonts w:cstheme="minorHAnsi"/>
          <w:bCs/>
        </w:rPr>
        <w:t xml:space="preserve"> as a precursor to longer-term water activation ambitions</w:t>
      </w:r>
      <w:r w:rsidR="003633A2">
        <w:rPr>
          <w:rFonts w:cstheme="minorHAnsi"/>
          <w:bCs/>
        </w:rPr>
        <w:t xml:space="preserve">, </w:t>
      </w:r>
      <w:r w:rsidR="003633A2" w:rsidRPr="00AD1524">
        <w:rPr>
          <w:rFonts w:cstheme="minorHAnsi"/>
        </w:rPr>
        <w:t>and supporting the development and build phase of the Floating Wellness facility</w:t>
      </w:r>
      <w:r w:rsidR="003633A2" w:rsidRPr="001F2C53">
        <w:rPr>
          <w:rFonts w:cstheme="minorHAnsi"/>
        </w:rPr>
        <w:t>.</w:t>
      </w:r>
    </w:p>
    <w:p w14:paraId="6D662AD2" w14:textId="6DC19A8D" w:rsidR="00A54386" w:rsidRPr="003633A2" w:rsidRDefault="00A54386" w:rsidP="003633A2">
      <w:pPr>
        <w:pStyle w:val="ListParagraph"/>
        <w:numPr>
          <w:ilvl w:val="0"/>
          <w:numId w:val="35"/>
        </w:numPr>
        <w:spacing w:after="200"/>
        <w:ind w:left="992" w:hanging="283"/>
        <w:contextualSpacing w:val="0"/>
        <w:rPr>
          <w:rFonts w:cstheme="minorHAnsi"/>
          <w:b/>
          <w:bCs/>
        </w:rPr>
      </w:pPr>
      <w:r w:rsidRPr="00A54386">
        <w:rPr>
          <w:rFonts w:cstheme="minorHAnsi"/>
          <w:b/>
          <w:bCs/>
        </w:rPr>
        <w:t>Developing a programme of high-quality public art</w:t>
      </w:r>
      <w:r w:rsidR="00DC23C9">
        <w:rPr>
          <w:rFonts w:cstheme="minorHAnsi"/>
          <w:bCs/>
        </w:rPr>
        <w:t xml:space="preserve"> – </w:t>
      </w:r>
      <w:r w:rsidRPr="00A54386">
        <w:rPr>
          <w:rFonts w:cstheme="minorHAnsi"/>
          <w:bCs/>
        </w:rPr>
        <w:t xml:space="preserve">working with developers and landowners to commission permanent and temporary works that respond to the Royal Docks’ </w:t>
      </w:r>
      <w:r w:rsidRPr="00A54386">
        <w:rPr>
          <w:rFonts w:cstheme="minorHAnsi"/>
          <w:bCs/>
        </w:rPr>
        <w:lastRenderedPageBreak/>
        <w:t>identity</w:t>
      </w:r>
      <w:r w:rsidR="00DC23C9">
        <w:rPr>
          <w:rFonts w:cstheme="minorHAnsi"/>
          <w:bCs/>
        </w:rPr>
        <w:t xml:space="preserve">; </w:t>
      </w:r>
      <w:r w:rsidRPr="00DC23C9">
        <w:rPr>
          <w:rFonts w:cstheme="minorHAnsi"/>
          <w:bCs/>
        </w:rPr>
        <w:t>support local creatives</w:t>
      </w:r>
      <w:r w:rsidR="00DC23C9">
        <w:rPr>
          <w:rFonts w:cstheme="minorHAnsi"/>
          <w:bCs/>
        </w:rPr>
        <w:t>;</w:t>
      </w:r>
      <w:r w:rsidRPr="00DC23C9">
        <w:rPr>
          <w:rFonts w:cstheme="minorHAnsi"/>
          <w:bCs/>
        </w:rPr>
        <w:t xml:space="preserve"> and contribute to placemaking and wayfinding</w:t>
      </w:r>
      <w:r w:rsidR="003633A2">
        <w:rPr>
          <w:rFonts w:cstheme="minorHAnsi"/>
          <w:bCs/>
        </w:rPr>
        <w:t xml:space="preserve">, </w:t>
      </w:r>
      <w:r w:rsidR="003633A2" w:rsidRPr="00AD1524">
        <w:rPr>
          <w:rFonts w:cstheme="minorHAnsi"/>
          <w:bCs/>
        </w:rPr>
        <w:t>including installations at key locations such as Thames Barrier Park and Royal Victoria</w:t>
      </w:r>
      <w:r w:rsidR="003633A2" w:rsidRPr="005F69A3">
        <w:rPr>
          <w:rFonts w:cstheme="minorHAnsi"/>
          <w:bCs/>
        </w:rPr>
        <w:t>.</w:t>
      </w:r>
    </w:p>
    <w:p w14:paraId="6B93F466" w14:textId="777FBFCA" w:rsidR="006B5594" w:rsidRPr="006B5594" w:rsidRDefault="006B5594" w:rsidP="00F96375">
      <w:pPr>
        <w:pStyle w:val="ListParagraph"/>
        <w:numPr>
          <w:ilvl w:val="0"/>
          <w:numId w:val="35"/>
        </w:numPr>
        <w:spacing w:after="200"/>
        <w:ind w:left="993" w:hanging="284"/>
        <w:contextualSpacing w:val="0"/>
        <w:rPr>
          <w:color w:val="000000" w:themeColor="text1"/>
        </w:rPr>
      </w:pPr>
      <w:r w:rsidRPr="006B5594">
        <w:rPr>
          <w:rFonts w:cstheme="minorHAnsi"/>
          <w:b/>
          <w:bCs/>
        </w:rPr>
        <w:t>Supporting community-led activity</w:t>
      </w:r>
      <w:r w:rsidRPr="006B5594">
        <w:rPr>
          <w:rFonts w:cstheme="minorHAnsi"/>
          <w:bCs/>
        </w:rPr>
        <w:t xml:space="preserve"> by enabling residents and grassroots organisations to help shape programming through initiatives such as the Creative Connector network</w:t>
      </w:r>
      <w:r w:rsidR="00DC23C9">
        <w:rPr>
          <w:rFonts w:cstheme="minorHAnsi"/>
          <w:bCs/>
        </w:rPr>
        <w:t>,</w:t>
      </w:r>
      <w:r w:rsidRPr="006B5594">
        <w:rPr>
          <w:rFonts w:cstheme="minorHAnsi"/>
          <w:bCs/>
        </w:rPr>
        <w:t xml:space="preserve"> and Royal Docks Originals programme development. </w:t>
      </w:r>
    </w:p>
    <w:p w14:paraId="188A750F" w14:textId="132E37EC" w:rsidR="006B5594" w:rsidRPr="006B5594" w:rsidRDefault="006B5594" w:rsidP="00F96375">
      <w:pPr>
        <w:pStyle w:val="ListParagraph"/>
        <w:numPr>
          <w:ilvl w:val="0"/>
          <w:numId w:val="35"/>
        </w:numPr>
        <w:spacing w:after="200"/>
        <w:ind w:left="993" w:hanging="284"/>
        <w:contextualSpacing w:val="0"/>
        <w:rPr>
          <w:color w:val="000000" w:themeColor="text1"/>
        </w:rPr>
      </w:pPr>
      <w:r w:rsidRPr="006B5594">
        <w:rPr>
          <w:rFonts w:cstheme="minorHAnsi"/>
          <w:b/>
          <w:bCs/>
        </w:rPr>
        <w:t>Strengthening local and regional cultural partnerships</w:t>
      </w:r>
      <w:r w:rsidRPr="006B5594">
        <w:rPr>
          <w:rFonts w:cstheme="minorHAnsi"/>
          <w:bCs/>
        </w:rPr>
        <w:t>, including connections with programmes at Greenwich Peninsula, London City Island, East Bank and the Thames Estuary Production Corridor</w:t>
      </w:r>
      <w:r w:rsidR="00DC23C9">
        <w:rPr>
          <w:rFonts w:cstheme="minorHAnsi"/>
          <w:bCs/>
        </w:rPr>
        <w:t>. This will</w:t>
      </w:r>
      <w:r w:rsidRPr="006B5594">
        <w:rPr>
          <w:rFonts w:cstheme="minorHAnsi"/>
          <w:bCs/>
        </w:rPr>
        <w:t xml:space="preserve"> encouraging collaboration, shared audiences and profile-raising opportunities</w:t>
      </w:r>
      <w:r w:rsidR="003633A2">
        <w:rPr>
          <w:rFonts w:cstheme="minorHAnsi"/>
          <w:bCs/>
        </w:rPr>
        <w:t xml:space="preserve">, </w:t>
      </w:r>
      <w:r w:rsidR="003633A2" w:rsidRPr="00AD1524">
        <w:rPr>
          <w:rFonts w:cstheme="minorHAnsi"/>
        </w:rPr>
        <w:t>including alignment with programmes such as UEL After Dark Festival and Creative Industries Festival</w:t>
      </w:r>
      <w:r w:rsidR="003633A2" w:rsidRPr="001F2C53">
        <w:rPr>
          <w:rFonts w:cstheme="minorHAnsi"/>
        </w:rPr>
        <w:t>.</w:t>
      </w:r>
    </w:p>
    <w:p w14:paraId="5212569C" w14:textId="74F7B976" w:rsidR="00643124" w:rsidRPr="006B5594" w:rsidRDefault="006B5594" w:rsidP="00F96375">
      <w:pPr>
        <w:pStyle w:val="ListParagraph"/>
        <w:numPr>
          <w:ilvl w:val="0"/>
          <w:numId w:val="35"/>
        </w:numPr>
        <w:spacing w:after="200"/>
        <w:ind w:left="993" w:hanging="284"/>
        <w:contextualSpacing w:val="0"/>
        <w:rPr>
          <w:color w:val="000000" w:themeColor="text1"/>
        </w:rPr>
      </w:pPr>
      <w:r w:rsidRPr="006B5594">
        <w:rPr>
          <w:rFonts w:cstheme="minorHAnsi"/>
          <w:b/>
          <w:bCs/>
        </w:rPr>
        <w:t>Supporting cultural activity at Royal Albert</w:t>
      </w:r>
      <w:r w:rsidRPr="006B5594">
        <w:rPr>
          <w:rFonts w:cstheme="minorHAnsi"/>
          <w:bCs/>
        </w:rPr>
        <w:t xml:space="preserve">, including the development of an introductory programme at Big Fridge (Compressor House), alongside coordination with UEL’s festival programme, local sports events, arts activity at Royal Albert Wharf and meanwhile uses across the </w:t>
      </w:r>
      <w:r w:rsidR="00B8225C">
        <w:rPr>
          <w:rFonts w:cstheme="minorHAnsi"/>
          <w:bCs/>
        </w:rPr>
        <w:t>Royal Albert Dock</w:t>
      </w:r>
      <w:r w:rsidR="00B8225C" w:rsidRPr="006B5594">
        <w:rPr>
          <w:rFonts w:cstheme="minorHAnsi"/>
          <w:bCs/>
        </w:rPr>
        <w:t xml:space="preserve"> </w:t>
      </w:r>
      <w:r w:rsidRPr="006B5594">
        <w:rPr>
          <w:rFonts w:cstheme="minorHAnsi"/>
          <w:bCs/>
        </w:rPr>
        <w:t>development site.</w:t>
      </w:r>
    </w:p>
    <w:p w14:paraId="68390555" w14:textId="1D18C62D" w:rsidR="000A40CC" w:rsidRPr="003633A2" w:rsidRDefault="000A40CC" w:rsidP="00F96375">
      <w:pPr>
        <w:pStyle w:val="ListParagraph"/>
        <w:numPr>
          <w:ilvl w:val="1"/>
          <w:numId w:val="24"/>
        </w:numPr>
        <w:spacing w:after="200"/>
        <w:ind w:left="567" w:hanging="567"/>
        <w:contextualSpacing w:val="0"/>
        <w:rPr>
          <w:color w:val="000000" w:themeColor="text1"/>
          <w:u w:val="single"/>
        </w:rPr>
      </w:pPr>
      <w:r w:rsidRPr="00E909EA">
        <w:rPr>
          <w:rFonts w:cs="Arial"/>
        </w:rPr>
        <w:t xml:space="preserve">Following this approval, the RDT will </w:t>
      </w:r>
      <w:r w:rsidR="005B0403">
        <w:rPr>
          <w:rFonts w:cs="Arial"/>
        </w:rPr>
        <w:t>start</w:t>
      </w:r>
      <w:r w:rsidR="005B0403" w:rsidRPr="00E909EA">
        <w:rPr>
          <w:rFonts w:cs="Arial"/>
        </w:rPr>
        <w:t xml:space="preserve"> </w:t>
      </w:r>
      <w:r w:rsidRPr="00E909EA">
        <w:rPr>
          <w:color w:val="000000" w:themeColor="text1"/>
        </w:rPr>
        <w:t>full due diligence for the proposed project</w:t>
      </w:r>
      <w:r w:rsidR="00C44DD8">
        <w:rPr>
          <w:color w:val="000000" w:themeColor="text1"/>
        </w:rPr>
        <w:t>s</w:t>
      </w:r>
      <w:r w:rsidR="005B0403">
        <w:rPr>
          <w:color w:val="000000" w:themeColor="text1"/>
        </w:rPr>
        <w:t>. This will</w:t>
      </w:r>
      <w:r w:rsidRPr="00E909EA">
        <w:rPr>
          <w:color w:val="000000" w:themeColor="text1"/>
        </w:rPr>
        <w:t xml:space="preserve"> ensure that services are properly procured, and contracts are distributed fairly and transparently, in accordance with the GLA’s equality policy</w:t>
      </w:r>
      <w:r w:rsidR="003306B1">
        <w:rPr>
          <w:color w:val="000000" w:themeColor="text1"/>
        </w:rPr>
        <w:t xml:space="preserve"> and s</w:t>
      </w:r>
      <w:r w:rsidRPr="00E909EA">
        <w:rPr>
          <w:color w:val="000000" w:themeColor="text1"/>
        </w:rPr>
        <w:t xml:space="preserve">ubsidy </w:t>
      </w:r>
      <w:r w:rsidR="003306B1">
        <w:rPr>
          <w:color w:val="000000" w:themeColor="text1"/>
        </w:rPr>
        <w:t>c</w:t>
      </w:r>
      <w:r w:rsidR="003306B1" w:rsidRPr="00E909EA">
        <w:rPr>
          <w:color w:val="000000" w:themeColor="text1"/>
        </w:rPr>
        <w:t xml:space="preserve">ontrol </w:t>
      </w:r>
      <w:r w:rsidRPr="00E909EA">
        <w:rPr>
          <w:color w:val="000000" w:themeColor="text1"/>
        </w:rPr>
        <w:t>principles</w:t>
      </w:r>
      <w:r w:rsidR="003306B1">
        <w:rPr>
          <w:color w:val="000000" w:themeColor="text1"/>
        </w:rPr>
        <w:t>;</w:t>
      </w:r>
      <w:r w:rsidRPr="00E909EA">
        <w:rPr>
          <w:color w:val="000000" w:themeColor="text1"/>
        </w:rPr>
        <w:t xml:space="preserve"> and in a manner that affords value for money</w:t>
      </w:r>
      <w:r w:rsidR="003306B1">
        <w:rPr>
          <w:color w:val="000000" w:themeColor="text1"/>
        </w:rPr>
        <w:t>,</w:t>
      </w:r>
      <w:r w:rsidRPr="00E909EA">
        <w:rPr>
          <w:color w:val="000000" w:themeColor="text1"/>
        </w:rPr>
        <w:t xml:space="preserve"> in accordance with the GLA Contracts and Funding Code</w:t>
      </w:r>
      <w:r w:rsidR="00EB4398">
        <w:rPr>
          <w:color w:val="000000" w:themeColor="text1"/>
        </w:rPr>
        <w:t xml:space="preserve"> (the Code)</w:t>
      </w:r>
      <w:r w:rsidRPr="00E909EA">
        <w:rPr>
          <w:color w:val="000000" w:themeColor="text1"/>
        </w:rPr>
        <w:t>. This will be done in conjunction with TfL Procurement and TfL Legal.</w:t>
      </w:r>
      <w:r w:rsidRPr="00E909EA">
        <w:rPr>
          <w:rFonts w:cs="Arial"/>
        </w:rPr>
        <w:t xml:space="preserve"> </w:t>
      </w:r>
    </w:p>
    <w:p w14:paraId="754456BB" w14:textId="5A975BA2" w:rsidR="003633A2" w:rsidRPr="003633A2" w:rsidRDefault="003633A2" w:rsidP="003633A2">
      <w:pPr>
        <w:pStyle w:val="ListParagraph"/>
        <w:numPr>
          <w:ilvl w:val="1"/>
          <w:numId w:val="24"/>
        </w:numPr>
        <w:spacing w:after="200"/>
        <w:ind w:left="567" w:hanging="567"/>
        <w:contextualSpacing w:val="0"/>
        <w:rPr>
          <w:color w:val="000000" w:themeColor="text1"/>
        </w:rPr>
      </w:pPr>
      <w:r w:rsidRPr="00E909EA">
        <w:rPr>
          <w:color w:val="000000" w:themeColor="text1"/>
        </w:rPr>
        <w:t>The Royal Docks Cultural Placemaking Strategy focuses on building a sustainable legacy, within the Delivery Plan</w:t>
      </w:r>
      <w:r>
        <w:rPr>
          <w:color w:val="000000" w:themeColor="text1"/>
        </w:rPr>
        <w:t xml:space="preserve"> timeframe</w:t>
      </w:r>
      <w:r w:rsidRPr="00E909EA">
        <w:rPr>
          <w:color w:val="000000" w:themeColor="text1"/>
        </w:rPr>
        <w:t xml:space="preserve">, to achieve its vision </w:t>
      </w:r>
      <w:r>
        <w:rPr>
          <w:color w:val="000000" w:themeColor="text1"/>
        </w:rPr>
        <w:t>of</w:t>
      </w:r>
      <w:r w:rsidRPr="00E909EA">
        <w:rPr>
          <w:color w:val="000000" w:themeColor="text1"/>
        </w:rPr>
        <w:t xml:space="preserve"> becom</w:t>
      </w:r>
      <w:r>
        <w:rPr>
          <w:color w:val="000000" w:themeColor="text1"/>
        </w:rPr>
        <w:t>ing</w:t>
      </w:r>
      <w:r w:rsidRPr="00E909EA">
        <w:rPr>
          <w:color w:val="000000" w:themeColor="text1"/>
        </w:rPr>
        <w:t xml:space="preserve"> a major cultural quarter with long-term community and economic benefits. </w:t>
      </w:r>
      <w:r>
        <w:rPr>
          <w:color w:val="000000" w:themeColor="text1"/>
        </w:rPr>
        <w:t>Subject to the separate approval of the Executive, Director Housing and Land,</w:t>
      </w:r>
      <w:r w:rsidRPr="00C1073A">
        <w:rPr>
          <w:color w:val="000000" w:themeColor="text1"/>
        </w:rPr>
        <w:t xml:space="preserve"> </w:t>
      </w:r>
      <w:r>
        <w:rPr>
          <w:color w:val="000000" w:themeColor="text1"/>
        </w:rPr>
        <w:t>the</w:t>
      </w:r>
      <w:r w:rsidRPr="00E909EA">
        <w:rPr>
          <w:color w:val="000000" w:themeColor="text1"/>
        </w:rPr>
        <w:t xml:space="preserve"> RDT is </w:t>
      </w:r>
      <w:r>
        <w:rPr>
          <w:color w:val="000000" w:themeColor="text1"/>
        </w:rPr>
        <w:t xml:space="preserve">seeking </w:t>
      </w:r>
      <w:r w:rsidRPr="00E909EA">
        <w:rPr>
          <w:color w:val="000000" w:themeColor="text1"/>
        </w:rPr>
        <w:t xml:space="preserve">sponsorship, funding, </w:t>
      </w:r>
      <w:r>
        <w:rPr>
          <w:color w:val="000000" w:themeColor="text1"/>
        </w:rPr>
        <w:t xml:space="preserve">benefit in kind, </w:t>
      </w:r>
      <w:r w:rsidRPr="00E909EA">
        <w:rPr>
          <w:color w:val="000000" w:themeColor="text1"/>
        </w:rPr>
        <w:t xml:space="preserve">and other relevant and appropriate income and concessions to </w:t>
      </w:r>
      <w:r>
        <w:rPr>
          <w:color w:val="000000" w:themeColor="text1"/>
        </w:rPr>
        <w:t xml:space="preserve">support the </w:t>
      </w:r>
      <w:r w:rsidRPr="00A54386">
        <w:rPr>
          <w:rFonts w:cstheme="minorHAnsi"/>
          <w:bCs/>
        </w:rPr>
        <w:t>Cultural Placemaking</w:t>
      </w:r>
      <w:r>
        <w:rPr>
          <w:color w:val="000000" w:themeColor="text1"/>
        </w:rPr>
        <w:t xml:space="preserve"> programme up to the value of £250,000 per year. </w:t>
      </w:r>
    </w:p>
    <w:p w14:paraId="4D63C7D1" w14:textId="03401D86" w:rsidR="000A40CC" w:rsidRPr="00E909EA" w:rsidRDefault="000A40CC" w:rsidP="00F96375">
      <w:pPr>
        <w:pStyle w:val="ListParagraph"/>
        <w:spacing w:after="200"/>
        <w:ind w:left="567"/>
        <w:contextualSpacing w:val="0"/>
        <w:rPr>
          <w:color w:val="000000" w:themeColor="text1"/>
          <w:u w:val="single"/>
        </w:rPr>
      </w:pPr>
      <w:r w:rsidRPr="00E909EA">
        <w:rPr>
          <w:color w:val="000000" w:themeColor="text1"/>
          <w:u w:val="single"/>
        </w:rPr>
        <w:t>Expected outcomes</w:t>
      </w:r>
      <w:r w:rsidR="00EA1F8B">
        <w:rPr>
          <w:color w:val="000000" w:themeColor="text1"/>
          <w:u w:val="single"/>
        </w:rPr>
        <w:t xml:space="preserve"> </w:t>
      </w:r>
    </w:p>
    <w:p w14:paraId="2AFBF27E" w14:textId="6C2ED939" w:rsidR="00844DE7" w:rsidRPr="006779F9" w:rsidRDefault="004B6E33" w:rsidP="00F76018">
      <w:pPr>
        <w:pStyle w:val="BodyTextIndent3"/>
        <w:numPr>
          <w:ilvl w:val="1"/>
          <w:numId w:val="24"/>
        </w:numPr>
        <w:spacing w:after="200" w:line="240" w:lineRule="auto"/>
        <w:ind w:left="567" w:hanging="567"/>
        <w:rPr>
          <w:rFonts w:cstheme="minorHAnsi"/>
          <w:bCs/>
        </w:rPr>
      </w:pPr>
      <w:r w:rsidRPr="004B6E33">
        <w:rPr>
          <w:color w:val="000000" w:themeColor="text1"/>
        </w:rPr>
        <w:t>The Public Realm and Cultural Placemaking Programme will contribute to the transformation of the Royal Docks into a distinctive waterfront destination and thriving neighbourhood.</w:t>
      </w:r>
    </w:p>
    <w:p w14:paraId="095D4878" w14:textId="3EAF836E" w:rsidR="00844DE7" w:rsidRPr="006779F9" w:rsidRDefault="00844DE7" w:rsidP="00F76018">
      <w:pPr>
        <w:pStyle w:val="BodyTextIndent3"/>
        <w:numPr>
          <w:ilvl w:val="1"/>
          <w:numId w:val="24"/>
        </w:numPr>
        <w:spacing w:after="200" w:line="240" w:lineRule="auto"/>
        <w:ind w:left="567" w:hanging="567"/>
        <w:rPr>
          <w:rFonts w:cstheme="minorHAnsi"/>
          <w:bCs/>
        </w:rPr>
      </w:pPr>
      <w:r w:rsidRPr="006779F9">
        <w:rPr>
          <w:color w:val="000000" w:themeColor="text1"/>
        </w:rPr>
        <w:t>Key outcomes include:</w:t>
      </w:r>
    </w:p>
    <w:p w14:paraId="56C0D17A" w14:textId="5E92E976" w:rsidR="004B6E33" w:rsidRDefault="00AF0992" w:rsidP="00F96375">
      <w:pPr>
        <w:pStyle w:val="ListParagraph"/>
        <w:numPr>
          <w:ilvl w:val="0"/>
          <w:numId w:val="34"/>
        </w:numPr>
        <w:spacing w:after="200"/>
        <w:ind w:left="992" w:hanging="283"/>
        <w:contextualSpacing w:val="0"/>
        <w:rPr>
          <w:color w:val="000000" w:themeColor="text1"/>
        </w:rPr>
      </w:pPr>
      <w:r>
        <w:rPr>
          <w:color w:val="000000" w:themeColor="text1"/>
        </w:rPr>
        <w:t>i</w:t>
      </w:r>
      <w:r w:rsidR="004B6E33">
        <w:rPr>
          <w:color w:val="000000" w:themeColor="text1"/>
        </w:rPr>
        <w:t xml:space="preserve">mproved </w:t>
      </w:r>
      <w:r w:rsidR="004B6E33" w:rsidRPr="004B6E33">
        <w:rPr>
          <w:color w:val="000000" w:themeColor="text1"/>
        </w:rPr>
        <w:t>quality</w:t>
      </w:r>
      <w:r w:rsidR="00CF2919">
        <w:rPr>
          <w:color w:val="000000" w:themeColor="text1"/>
        </w:rPr>
        <w:t xml:space="preserve">, </w:t>
      </w:r>
      <w:r w:rsidR="004B6E33" w:rsidRPr="004B6E33">
        <w:rPr>
          <w:color w:val="000000" w:themeColor="text1"/>
        </w:rPr>
        <w:t xml:space="preserve">functionality </w:t>
      </w:r>
      <w:r w:rsidR="00CF2919">
        <w:rPr>
          <w:color w:val="000000" w:themeColor="text1"/>
        </w:rPr>
        <w:t xml:space="preserve">and </w:t>
      </w:r>
      <w:r w:rsidR="00E6445F">
        <w:rPr>
          <w:color w:val="000000" w:themeColor="text1"/>
        </w:rPr>
        <w:t>attractiveness</w:t>
      </w:r>
      <w:r w:rsidR="00CF2919">
        <w:rPr>
          <w:color w:val="000000" w:themeColor="text1"/>
        </w:rPr>
        <w:t xml:space="preserve"> </w:t>
      </w:r>
      <w:r w:rsidR="004B6E33" w:rsidRPr="004B6E33">
        <w:rPr>
          <w:color w:val="000000" w:themeColor="text1"/>
        </w:rPr>
        <w:t>of public spaces across Royal Docks neighbourhoods</w:t>
      </w:r>
    </w:p>
    <w:p w14:paraId="4DC9CD3A" w14:textId="3650F3BD" w:rsidR="004B6E33" w:rsidRDefault="004B6E33" w:rsidP="00F96375">
      <w:pPr>
        <w:pStyle w:val="ListParagraph"/>
        <w:numPr>
          <w:ilvl w:val="0"/>
          <w:numId w:val="34"/>
        </w:numPr>
        <w:spacing w:after="200"/>
        <w:ind w:left="992" w:hanging="283"/>
        <w:contextualSpacing w:val="0"/>
        <w:rPr>
          <w:color w:val="000000" w:themeColor="text1"/>
        </w:rPr>
      </w:pPr>
      <w:r w:rsidRPr="004B6E33">
        <w:rPr>
          <w:color w:val="000000" w:themeColor="text1"/>
        </w:rPr>
        <w:t>increased cultur</w:t>
      </w:r>
      <w:r w:rsidR="00A41BEB">
        <w:rPr>
          <w:color w:val="000000" w:themeColor="text1"/>
        </w:rPr>
        <w:t xml:space="preserve">e and leisure </w:t>
      </w:r>
      <w:r w:rsidRPr="004B6E33">
        <w:rPr>
          <w:color w:val="000000" w:themeColor="text1"/>
        </w:rPr>
        <w:t>activity and animation of public spaces</w:t>
      </w:r>
    </w:p>
    <w:p w14:paraId="17505C94" w14:textId="5AA37C0A" w:rsidR="004B6E33" w:rsidRDefault="004B6E33" w:rsidP="00F96375">
      <w:pPr>
        <w:pStyle w:val="ListParagraph"/>
        <w:numPr>
          <w:ilvl w:val="0"/>
          <w:numId w:val="34"/>
        </w:numPr>
        <w:spacing w:after="200"/>
        <w:ind w:left="992" w:hanging="283"/>
        <w:contextualSpacing w:val="0"/>
        <w:rPr>
          <w:color w:val="000000" w:themeColor="text1"/>
        </w:rPr>
      </w:pPr>
      <w:r w:rsidRPr="004B6E33">
        <w:rPr>
          <w:color w:val="000000" w:themeColor="text1"/>
        </w:rPr>
        <w:t>strengthened place identity</w:t>
      </w:r>
      <w:r w:rsidR="00A41BEB">
        <w:rPr>
          <w:color w:val="000000" w:themeColor="text1"/>
        </w:rPr>
        <w:t xml:space="preserve">, </w:t>
      </w:r>
      <w:r w:rsidRPr="004B6E33">
        <w:rPr>
          <w:color w:val="000000" w:themeColor="text1"/>
        </w:rPr>
        <w:t>and destination appeal</w:t>
      </w:r>
    </w:p>
    <w:p w14:paraId="7464B8A4" w14:textId="77777777" w:rsidR="004B3FD1" w:rsidRDefault="00A50382" w:rsidP="00F96375">
      <w:pPr>
        <w:pStyle w:val="ListParagraph"/>
        <w:numPr>
          <w:ilvl w:val="0"/>
          <w:numId w:val="34"/>
        </w:numPr>
        <w:spacing w:after="200"/>
        <w:ind w:left="992" w:hanging="283"/>
        <w:contextualSpacing w:val="0"/>
        <w:rPr>
          <w:color w:val="000000" w:themeColor="text1"/>
        </w:rPr>
      </w:pPr>
      <w:r>
        <w:rPr>
          <w:color w:val="000000" w:themeColor="text1"/>
        </w:rPr>
        <w:t xml:space="preserve">improved perceptions, civic pride and </w:t>
      </w:r>
      <w:r w:rsidR="004B3FD1">
        <w:rPr>
          <w:color w:val="000000" w:themeColor="text1"/>
        </w:rPr>
        <w:t>community cohesion</w:t>
      </w:r>
      <w:r w:rsidRPr="004B6E33">
        <w:rPr>
          <w:color w:val="000000" w:themeColor="text1"/>
        </w:rPr>
        <w:t xml:space="preserve"> </w:t>
      </w:r>
      <w:r>
        <w:rPr>
          <w:color w:val="000000" w:themeColor="text1"/>
        </w:rPr>
        <w:t xml:space="preserve">of </w:t>
      </w:r>
      <w:proofErr w:type="gramStart"/>
      <w:r>
        <w:rPr>
          <w:color w:val="000000" w:themeColor="text1"/>
        </w:rPr>
        <w:t>local residents</w:t>
      </w:r>
      <w:proofErr w:type="gramEnd"/>
      <w:r>
        <w:rPr>
          <w:color w:val="000000" w:themeColor="text1"/>
        </w:rPr>
        <w:t xml:space="preserve"> </w:t>
      </w:r>
      <w:r w:rsidR="004B3FD1">
        <w:rPr>
          <w:color w:val="000000" w:themeColor="text1"/>
        </w:rPr>
        <w:t xml:space="preserve">and </w:t>
      </w:r>
      <w:r>
        <w:rPr>
          <w:color w:val="000000" w:themeColor="text1"/>
        </w:rPr>
        <w:t>workers</w:t>
      </w:r>
    </w:p>
    <w:p w14:paraId="0048AA5F" w14:textId="4CDA786E" w:rsidR="004B6E33" w:rsidRDefault="004B6E33" w:rsidP="00F96375">
      <w:pPr>
        <w:pStyle w:val="ListParagraph"/>
        <w:numPr>
          <w:ilvl w:val="0"/>
          <w:numId w:val="34"/>
        </w:numPr>
        <w:spacing w:after="200"/>
        <w:ind w:left="992" w:hanging="283"/>
        <w:contextualSpacing w:val="0"/>
        <w:rPr>
          <w:color w:val="000000" w:themeColor="text1"/>
        </w:rPr>
      </w:pPr>
      <w:r w:rsidRPr="004B6E33">
        <w:rPr>
          <w:color w:val="000000" w:themeColor="text1"/>
        </w:rPr>
        <w:t>increased visitor numbers</w:t>
      </w:r>
      <w:r w:rsidR="008446E0">
        <w:rPr>
          <w:color w:val="000000" w:themeColor="text1"/>
        </w:rPr>
        <w:t xml:space="preserve">, </w:t>
      </w:r>
      <w:r w:rsidRPr="004B6E33">
        <w:rPr>
          <w:color w:val="000000" w:themeColor="text1"/>
        </w:rPr>
        <w:t>footfall</w:t>
      </w:r>
      <w:r w:rsidR="008446E0">
        <w:rPr>
          <w:color w:val="000000" w:themeColor="text1"/>
        </w:rPr>
        <w:t xml:space="preserve"> and dwell time</w:t>
      </w:r>
      <w:r w:rsidRPr="004B6E33">
        <w:rPr>
          <w:color w:val="000000" w:themeColor="text1"/>
        </w:rPr>
        <w:t xml:space="preserve"> in Royal Docks neighbourhoods</w:t>
      </w:r>
    </w:p>
    <w:p w14:paraId="676A231A" w14:textId="79AE8237" w:rsidR="006779F9" w:rsidRDefault="004B6E33" w:rsidP="00F96375">
      <w:pPr>
        <w:pStyle w:val="ListParagraph"/>
        <w:numPr>
          <w:ilvl w:val="0"/>
          <w:numId w:val="34"/>
        </w:numPr>
        <w:spacing w:after="200"/>
        <w:ind w:left="992" w:hanging="283"/>
        <w:contextualSpacing w:val="0"/>
        <w:rPr>
          <w:color w:val="000000" w:themeColor="text1"/>
        </w:rPr>
      </w:pPr>
      <w:r w:rsidRPr="004B6E33">
        <w:rPr>
          <w:color w:val="000000" w:themeColor="text1"/>
        </w:rPr>
        <w:t>increased confidence from investors, businesses and residents in the long-term transformation of the Royal Docks.</w:t>
      </w:r>
    </w:p>
    <w:p w14:paraId="7107B5C8" w14:textId="5D106703" w:rsidR="000A40CC" w:rsidRDefault="000A40CC" w:rsidP="00F96375">
      <w:pPr>
        <w:pStyle w:val="ListParagraph"/>
        <w:spacing w:after="200"/>
        <w:ind w:left="357" w:firstLine="210"/>
        <w:contextualSpacing w:val="0"/>
        <w:rPr>
          <w:u w:val="single"/>
        </w:rPr>
      </w:pPr>
      <w:r w:rsidRPr="00E909EA">
        <w:rPr>
          <w:u w:val="single"/>
        </w:rPr>
        <w:t>Expected outputs</w:t>
      </w:r>
    </w:p>
    <w:p w14:paraId="4FD5BF8D" w14:textId="77777777" w:rsidR="000A40CC" w:rsidRPr="001A74E2" w:rsidRDefault="000A40CC" w:rsidP="00F96375">
      <w:pPr>
        <w:pStyle w:val="ListParagraph"/>
        <w:numPr>
          <w:ilvl w:val="1"/>
          <w:numId w:val="24"/>
        </w:numPr>
        <w:spacing w:after="200"/>
        <w:ind w:left="567" w:hanging="567"/>
        <w:contextualSpacing w:val="0"/>
      </w:pPr>
      <w:r w:rsidRPr="00A640E6">
        <w:rPr>
          <w:color w:val="000000" w:themeColor="text1"/>
        </w:rPr>
        <w:t>The</w:t>
      </w:r>
      <w:r w:rsidRPr="001A74E2">
        <w:t xml:space="preserve"> expected outputs are listed in the table below:</w:t>
      </w:r>
    </w:p>
    <w:tbl>
      <w:tblPr>
        <w:tblStyle w:val="TableGrid"/>
        <w:tblW w:w="10314" w:type="dxa"/>
        <w:tblInd w:w="-113" w:type="dxa"/>
        <w:tblLook w:val="04A0" w:firstRow="1" w:lastRow="0" w:firstColumn="1" w:lastColumn="0" w:noHBand="0" w:noVBand="1"/>
      </w:tblPr>
      <w:tblGrid>
        <w:gridCol w:w="1668"/>
        <w:gridCol w:w="4110"/>
        <w:gridCol w:w="4536"/>
      </w:tblGrid>
      <w:tr w:rsidR="006B5594" w:rsidRPr="00AD6566" w14:paraId="1024CF8F" w14:textId="77777777" w:rsidTr="00F76018">
        <w:trPr>
          <w:tblHeader/>
        </w:trPr>
        <w:tc>
          <w:tcPr>
            <w:tcW w:w="1668" w:type="dxa"/>
            <w:shd w:val="clear" w:color="auto" w:fill="BFBFBF" w:themeFill="background1" w:themeFillShade="BF"/>
          </w:tcPr>
          <w:p w14:paraId="562274D7" w14:textId="77777777" w:rsidR="000A40CC" w:rsidRPr="00F76018" w:rsidRDefault="000A40CC" w:rsidP="00FF76DB">
            <w:pPr>
              <w:spacing w:before="60" w:after="60"/>
              <w:rPr>
                <w:rFonts w:cs="Arial"/>
                <w:b/>
                <w:bCs/>
              </w:rPr>
            </w:pPr>
            <w:r w:rsidRPr="00F76018">
              <w:rPr>
                <w:rFonts w:cs="Arial"/>
                <w:b/>
                <w:bCs/>
              </w:rPr>
              <w:lastRenderedPageBreak/>
              <w:t>Objectives</w:t>
            </w:r>
          </w:p>
        </w:tc>
        <w:tc>
          <w:tcPr>
            <w:tcW w:w="4110" w:type="dxa"/>
            <w:shd w:val="clear" w:color="auto" w:fill="BFBFBF" w:themeFill="background1" w:themeFillShade="BF"/>
          </w:tcPr>
          <w:p w14:paraId="02E9362C" w14:textId="77777777" w:rsidR="000A40CC" w:rsidRPr="00F76018" w:rsidRDefault="000A40CC" w:rsidP="00FF76DB">
            <w:pPr>
              <w:spacing w:before="60" w:after="60"/>
              <w:rPr>
                <w:rFonts w:cs="Arial"/>
                <w:b/>
                <w:bCs/>
              </w:rPr>
            </w:pPr>
            <w:r w:rsidRPr="00F76018">
              <w:rPr>
                <w:rFonts w:cs="Arial"/>
                <w:b/>
                <w:bCs/>
              </w:rPr>
              <w:t>Indicators</w:t>
            </w:r>
          </w:p>
        </w:tc>
        <w:tc>
          <w:tcPr>
            <w:tcW w:w="4536" w:type="dxa"/>
            <w:shd w:val="clear" w:color="auto" w:fill="BFBFBF" w:themeFill="background1" w:themeFillShade="BF"/>
          </w:tcPr>
          <w:p w14:paraId="47CFF633" w14:textId="0C07FCB6" w:rsidR="000A40CC" w:rsidRPr="00F76018" w:rsidRDefault="006779F9" w:rsidP="00FF76DB">
            <w:pPr>
              <w:spacing w:before="60" w:after="60"/>
              <w:rPr>
                <w:rFonts w:cs="Arial"/>
                <w:b/>
                <w:bCs/>
              </w:rPr>
            </w:pPr>
            <w:r w:rsidRPr="00F76018">
              <w:rPr>
                <w:rFonts w:cs="Arial"/>
                <w:b/>
                <w:bCs/>
              </w:rPr>
              <w:t>Outputs</w:t>
            </w:r>
          </w:p>
        </w:tc>
      </w:tr>
      <w:tr w:rsidR="006B5594" w:rsidRPr="00AD6566" w14:paraId="1F3AE691" w14:textId="77777777" w:rsidTr="00F76018">
        <w:trPr>
          <w:trHeight w:val="620"/>
        </w:trPr>
        <w:tc>
          <w:tcPr>
            <w:tcW w:w="1668" w:type="dxa"/>
            <w:shd w:val="clear" w:color="auto" w:fill="auto"/>
          </w:tcPr>
          <w:p w14:paraId="5E2A7D5E" w14:textId="1FCCB872" w:rsidR="006B5594" w:rsidRPr="00F76018" w:rsidRDefault="006B5594" w:rsidP="00FF76DB">
            <w:pPr>
              <w:spacing w:before="60" w:after="60"/>
              <w:rPr>
                <w:rFonts w:cs="Arial"/>
                <w:color w:val="000000"/>
              </w:rPr>
            </w:pPr>
            <w:r w:rsidRPr="00F76018">
              <w:rPr>
                <w:rFonts w:cstheme="minorHAnsi"/>
              </w:rPr>
              <w:t xml:space="preserve">Strategic </w:t>
            </w:r>
            <w:r w:rsidR="00FF76DB">
              <w:rPr>
                <w:rFonts w:cstheme="minorHAnsi"/>
              </w:rPr>
              <w:t>p</w:t>
            </w:r>
            <w:r w:rsidR="00FF76DB" w:rsidRPr="00F76018">
              <w:rPr>
                <w:rFonts w:cstheme="minorHAnsi"/>
              </w:rPr>
              <w:t xml:space="preserve">ublic </w:t>
            </w:r>
            <w:r w:rsidR="00FF76DB">
              <w:rPr>
                <w:rFonts w:cstheme="minorHAnsi"/>
              </w:rPr>
              <w:t>r</w:t>
            </w:r>
            <w:r w:rsidRPr="00F76018">
              <w:rPr>
                <w:rFonts w:cstheme="minorHAnsi"/>
              </w:rPr>
              <w:t xml:space="preserve">ealm </w:t>
            </w:r>
            <w:r w:rsidR="00FF76DB">
              <w:rPr>
                <w:rFonts w:cstheme="minorHAnsi"/>
              </w:rPr>
              <w:t>c</w:t>
            </w:r>
            <w:r w:rsidR="00FF76DB" w:rsidRPr="00F76018">
              <w:rPr>
                <w:rFonts w:cstheme="minorHAnsi"/>
              </w:rPr>
              <w:t xml:space="preserve">oordination </w:t>
            </w:r>
            <w:r w:rsidRPr="00F76018">
              <w:rPr>
                <w:rFonts w:cstheme="minorHAnsi"/>
              </w:rPr>
              <w:t>at Royal Victoria</w:t>
            </w:r>
            <w:r w:rsidR="00147215">
              <w:rPr>
                <w:rFonts w:cstheme="minorHAnsi"/>
                <w:bCs/>
              </w:rPr>
              <w:t xml:space="preserve"> Dock</w:t>
            </w:r>
          </w:p>
        </w:tc>
        <w:tc>
          <w:tcPr>
            <w:tcW w:w="4110" w:type="dxa"/>
            <w:shd w:val="clear" w:color="auto" w:fill="auto"/>
          </w:tcPr>
          <w:p w14:paraId="35315E49" w14:textId="193005B1" w:rsidR="006B5594" w:rsidRPr="00FF76DB" w:rsidRDefault="006B5594"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Alignment of major public realm and infrastructure projects across Royal Victoria</w:t>
            </w:r>
            <w:r w:rsidR="00147215">
              <w:rPr>
                <w:rFonts w:cstheme="minorHAnsi"/>
                <w:bCs/>
              </w:rPr>
              <w:t xml:space="preserve"> Dock</w:t>
            </w:r>
            <w:r w:rsidRPr="00FF76DB">
              <w:rPr>
                <w:color w:val="000000" w:themeColor="text1"/>
              </w:rPr>
              <w:t xml:space="preserve"> </w:t>
            </w:r>
          </w:p>
          <w:p w14:paraId="36B1D61B" w14:textId="77777777" w:rsidR="006B5594" w:rsidRPr="00FF76DB" w:rsidRDefault="006B5594"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 xml:space="preserve">Improved quality, consistency and usability of public spaces </w:t>
            </w:r>
          </w:p>
          <w:p w14:paraId="37DBCAE9" w14:textId="77777777" w:rsidR="006B5594" w:rsidRPr="00FF76DB" w:rsidRDefault="006B5594"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 xml:space="preserve">Increased activation and use of dockside spaces and waterfront areas </w:t>
            </w:r>
          </w:p>
          <w:p w14:paraId="00756C96" w14:textId="77777777" w:rsidR="006B5594" w:rsidRPr="00FF76DB" w:rsidRDefault="006B5594"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 xml:space="preserve">Increased coordination between landowners, developers and public bodies </w:t>
            </w:r>
          </w:p>
          <w:p w14:paraId="1F185638" w14:textId="1BE57A71" w:rsidR="006B5594" w:rsidRPr="00FF76DB" w:rsidRDefault="006B5594"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Increased footfall and dwell time around Royal Victoria</w:t>
            </w:r>
            <w:r w:rsidR="00147215">
              <w:rPr>
                <w:rFonts w:cstheme="minorHAnsi"/>
                <w:bCs/>
              </w:rPr>
              <w:t xml:space="preserve"> Dock</w:t>
            </w:r>
          </w:p>
        </w:tc>
        <w:tc>
          <w:tcPr>
            <w:tcW w:w="4536" w:type="dxa"/>
            <w:shd w:val="clear" w:color="auto" w:fill="auto"/>
          </w:tcPr>
          <w:p w14:paraId="2272E015" w14:textId="04D094B1" w:rsidR="00434E1B" w:rsidRPr="00FF76DB" w:rsidRDefault="00434E1B"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 xml:space="preserve">Appointment of a strategic design and spatial coordination </w:t>
            </w:r>
            <w:r w:rsidR="003633A2">
              <w:rPr>
                <w:color w:val="000000" w:themeColor="text1"/>
              </w:rPr>
              <w:t>consultancy</w:t>
            </w:r>
            <w:r w:rsidRPr="00FF76DB">
              <w:rPr>
                <w:color w:val="000000" w:themeColor="text1"/>
              </w:rPr>
              <w:t xml:space="preserve"> </w:t>
            </w:r>
          </w:p>
          <w:p w14:paraId="52067E40" w14:textId="77777777" w:rsidR="00434E1B" w:rsidRPr="00FF76DB" w:rsidRDefault="00434E1B"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Coordinated design review across partner-led projects (Royal Victoria Square, dock bridges, Thameside West Park, etc.)</w:t>
            </w:r>
          </w:p>
          <w:p w14:paraId="501FAEDB" w14:textId="77777777" w:rsidR="00434E1B" w:rsidRPr="00FF76DB" w:rsidRDefault="00434E1B"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 xml:space="preserve">Updated Royal Docks Public Realm Framework and Transport Strategy inputs </w:t>
            </w:r>
          </w:p>
          <w:p w14:paraId="24743951" w14:textId="77777777" w:rsidR="00434E1B" w:rsidRPr="00FF76DB" w:rsidRDefault="00434E1B"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 xml:space="preserve">Development of site technical specifications to support events and activation </w:t>
            </w:r>
          </w:p>
          <w:p w14:paraId="03B0585F" w14:textId="0BCCA22B" w:rsidR="006B5594" w:rsidRPr="00FF76DB" w:rsidRDefault="00434E1B"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Coordination of waterfront activation initiatives with Royal Docks Waterways</w:t>
            </w:r>
          </w:p>
        </w:tc>
      </w:tr>
      <w:tr w:rsidR="006B5594" w:rsidRPr="00AD6566" w14:paraId="348C6743" w14:textId="77777777" w:rsidTr="00F76018">
        <w:tc>
          <w:tcPr>
            <w:tcW w:w="1668" w:type="dxa"/>
            <w:shd w:val="clear" w:color="auto" w:fill="auto"/>
          </w:tcPr>
          <w:p w14:paraId="44464BC9" w14:textId="7D103C07" w:rsidR="006779F9" w:rsidRPr="00F76018" w:rsidRDefault="00434E1B" w:rsidP="00F76018">
            <w:pPr>
              <w:spacing w:before="60" w:after="60"/>
              <w:rPr>
                <w:rFonts w:cs="Arial"/>
              </w:rPr>
            </w:pPr>
            <w:r w:rsidRPr="00F76018">
              <w:rPr>
                <w:rFonts w:cstheme="minorHAnsi"/>
              </w:rPr>
              <w:t xml:space="preserve">Attract and </w:t>
            </w:r>
            <w:r w:rsidR="00FF76DB">
              <w:rPr>
                <w:rFonts w:cstheme="minorHAnsi"/>
              </w:rPr>
              <w:t>e</w:t>
            </w:r>
            <w:r w:rsidRPr="00F76018">
              <w:rPr>
                <w:rFonts w:cstheme="minorHAnsi"/>
              </w:rPr>
              <w:t xml:space="preserve">ngage </w:t>
            </w:r>
            <w:r w:rsidR="00FF76DB">
              <w:rPr>
                <w:rFonts w:cstheme="minorHAnsi"/>
              </w:rPr>
              <w:t>p</w:t>
            </w:r>
            <w:r w:rsidRPr="00F76018">
              <w:rPr>
                <w:rFonts w:cstheme="minorHAnsi"/>
              </w:rPr>
              <w:t>eople</w:t>
            </w:r>
          </w:p>
        </w:tc>
        <w:tc>
          <w:tcPr>
            <w:tcW w:w="4110" w:type="dxa"/>
            <w:shd w:val="clear" w:color="auto" w:fill="auto"/>
          </w:tcPr>
          <w:p w14:paraId="5A6DC1AA" w14:textId="149314CF" w:rsidR="00434E1B" w:rsidRPr="00F76018" w:rsidRDefault="00434E1B" w:rsidP="00F76018">
            <w:pPr>
              <w:spacing w:before="60" w:after="60"/>
              <w:rPr>
                <w:rFonts w:cstheme="minorHAnsi"/>
                <w:b/>
                <w:bCs/>
              </w:rPr>
            </w:pPr>
            <w:r w:rsidRPr="00F76018">
              <w:rPr>
                <w:rFonts w:cstheme="minorHAnsi"/>
                <w:b/>
                <w:bCs/>
              </w:rPr>
              <w:t>Deliver an enlarged, diverse, year-round offer at Royal Victoria</w:t>
            </w:r>
            <w:r w:rsidR="00E534F3">
              <w:rPr>
                <w:rFonts w:cstheme="minorHAnsi"/>
                <w:b/>
                <w:bCs/>
              </w:rPr>
              <w:t>:</w:t>
            </w:r>
          </w:p>
          <w:p w14:paraId="53D26EFD" w14:textId="72DBD37F" w:rsidR="00434E1B" w:rsidRPr="00FF76DB" w:rsidRDefault="00851D64" w:rsidP="00F76018">
            <w:pPr>
              <w:pStyle w:val="ListParagraph"/>
              <w:numPr>
                <w:ilvl w:val="0"/>
                <w:numId w:val="34"/>
              </w:numPr>
              <w:spacing w:before="60" w:after="60"/>
              <w:ind w:left="321" w:hanging="284"/>
              <w:contextualSpacing w:val="0"/>
              <w:rPr>
                <w:color w:val="000000" w:themeColor="text1"/>
              </w:rPr>
            </w:pPr>
            <w:r>
              <w:rPr>
                <w:color w:val="000000" w:themeColor="text1"/>
              </w:rPr>
              <w:t xml:space="preserve">More </w:t>
            </w:r>
            <w:r w:rsidR="00434E1B" w:rsidRPr="00FF76DB">
              <w:rPr>
                <w:color w:val="000000" w:themeColor="text1"/>
              </w:rPr>
              <w:t>events, leisure, culture, sport and hospitality activities, including programming targeted at workers</w:t>
            </w:r>
          </w:p>
          <w:p w14:paraId="6BB69D7B" w14:textId="533AADB8" w:rsidR="00434E1B" w:rsidRPr="00FF76DB" w:rsidRDefault="00434E1B" w:rsidP="00F76018">
            <w:pPr>
              <w:pStyle w:val="ListParagraph"/>
              <w:numPr>
                <w:ilvl w:val="0"/>
                <w:numId w:val="34"/>
              </w:numPr>
              <w:spacing w:before="60" w:after="60"/>
              <w:ind w:left="321" w:hanging="284"/>
              <w:contextualSpacing w:val="0"/>
              <w:rPr>
                <w:color w:val="000000" w:themeColor="text1"/>
              </w:rPr>
            </w:pPr>
            <w:r w:rsidRPr="00FF76DB">
              <w:rPr>
                <w:color w:val="000000" w:themeColor="text1"/>
              </w:rPr>
              <w:t>Increase in local participation and visitor attendance</w:t>
            </w:r>
          </w:p>
          <w:p w14:paraId="36613F7B" w14:textId="7D81A282" w:rsidR="00434E1B" w:rsidRPr="00FF76DB" w:rsidRDefault="00434E1B" w:rsidP="00F76018">
            <w:pPr>
              <w:pStyle w:val="ListParagraph"/>
              <w:numPr>
                <w:ilvl w:val="0"/>
                <w:numId w:val="34"/>
              </w:numPr>
              <w:spacing w:before="60" w:after="60"/>
              <w:ind w:left="321" w:hanging="284"/>
              <w:contextualSpacing w:val="0"/>
              <w:rPr>
                <w:color w:val="000000" w:themeColor="text1"/>
              </w:rPr>
            </w:pPr>
            <w:r w:rsidRPr="00FF76DB">
              <w:rPr>
                <w:color w:val="000000" w:themeColor="text1"/>
              </w:rPr>
              <w:t>Improved visitor dwell time and footfall at Royal Victoria</w:t>
            </w:r>
            <w:r w:rsidR="00147215">
              <w:rPr>
                <w:rFonts w:cstheme="minorHAnsi"/>
                <w:bCs/>
              </w:rPr>
              <w:t xml:space="preserve"> Dock</w:t>
            </w:r>
          </w:p>
          <w:p w14:paraId="23FA37D8" w14:textId="730C7379" w:rsidR="00434E1B" w:rsidRPr="00FF76DB" w:rsidRDefault="00434E1B" w:rsidP="00F76018">
            <w:pPr>
              <w:pStyle w:val="ListParagraph"/>
              <w:numPr>
                <w:ilvl w:val="0"/>
                <w:numId w:val="34"/>
              </w:numPr>
              <w:spacing w:before="60" w:after="60"/>
              <w:ind w:left="321" w:hanging="284"/>
              <w:contextualSpacing w:val="0"/>
              <w:rPr>
                <w:color w:val="000000" w:themeColor="text1"/>
              </w:rPr>
            </w:pPr>
            <w:r w:rsidRPr="00FF76DB">
              <w:rPr>
                <w:color w:val="000000" w:themeColor="text1"/>
              </w:rPr>
              <w:t>Increased activation and use of dockside and public realm spaces</w:t>
            </w:r>
          </w:p>
          <w:p w14:paraId="57D62DD1" w14:textId="764DB22F" w:rsidR="006779F9" w:rsidRPr="00FF76DB" w:rsidRDefault="00434E1B" w:rsidP="00F76018">
            <w:pPr>
              <w:pStyle w:val="ListParagraph"/>
              <w:numPr>
                <w:ilvl w:val="0"/>
                <w:numId w:val="34"/>
              </w:numPr>
              <w:spacing w:before="60" w:after="60"/>
              <w:ind w:left="321" w:hanging="284"/>
              <w:contextualSpacing w:val="0"/>
              <w:rPr>
                <w:color w:val="000000" w:themeColor="text1"/>
              </w:rPr>
            </w:pPr>
            <w:r w:rsidRPr="00FF76DB">
              <w:rPr>
                <w:color w:val="000000" w:themeColor="text1"/>
              </w:rPr>
              <w:t xml:space="preserve">Improved integration of </w:t>
            </w:r>
            <w:r w:rsidR="00B93661">
              <w:rPr>
                <w:color w:val="000000" w:themeColor="text1"/>
              </w:rPr>
              <w:t>food and beverage,</w:t>
            </w:r>
            <w:r w:rsidRPr="00FF76DB">
              <w:rPr>
                <w:color w:val="000000" w:themeColor="text1"/>
              </w:rPr>
              <w:t xml:space="preserve"> and hospitality offers within Royal Victoria</w:t>
            </w:r>
            <w:r w:rsidR="00147215">
              <w:rPr>
                <w:rFonts w:cstheme="minorHAnsi"/>
                <w:bCs/>
              </w:rPr>
              <w:t xml:space="preserve"> Dock</w:t>
            </w:r>
            <w:r w:rsidRPr="00FF76DB">
              <w:rPr>
                <w:color w:val="000000" w:themeColor="text1"/>
              </w:rPr>
              <w:t xml:space="preserve"> programming</w:t>
            </w:r>
            <w:r w:rsidR="00E13C81" w:rsidRPr="00F76018">
              <w:rPr>
                <w:rFonts w:cs="Arial"/>
              </w:rPr>
              <w:t xml:space="preserve"> </w:t>
            </w:r>
          </w:p>
        </w:tc>
        <w:tc>
          <w:tcPr>
            <w:tcW w:w="4536" w:type="dxa"/>
            <w:shd w:val="clear" w:color="auto" w:fill="auto"/>
          </w:tcPr>
          <w:p w14:paraId="6B2EF8EF" w14:textId="76A60AF8" w:rsidR="00434E1B" w:rsidRPr="00FF76DB" w:rsidRDefault="00434E1B"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 xml:space="preserve">Delivery of </w:t>
            </w:r>
            <w:r w:rsidR="00641132">
              <w:rPr>
                <w:color w:val="000000" w:themeColor="text1"/>
              </w:rPr>
              <w:t xml:space="preserve">at least four </w:t>
            </w:r>
            <w:r w:rsidRPr="00FF76DB">
              <w:rPr>
                <w:color w:val="000000" w:themeColor="text1"/>
              </w:rPr>
              <w:t>daily activities</w:t>
            </w:r>
            <w:r w:rsidR="00641132">
              <w:rPr>
                <w:color w:val="000000" w:themeColor="text1"/>
              </w:rPr>
              <w:t>,</w:t>
            </w:r>
            <w:r w:rsidRPr="00FF76DB">
              <w:rPr>
                <w:color w:val="000000" w:themeColor="text1"/>
              </w:rPr>
              <w:t xml:space="preserve"> and </w:t>
            </w:r>
            <w:r w:rsidR="00641132">
              <w:rPr>
                <w:color w:val="000000" w:themeColor="text1"/>
              </w:rPr>
              <w:t>at least four</w:t>
            </w:r>
            <w:r w:rsidRPr="00FF76DB">
              <w:rPr>
                <w:color w:val="000000" w:themeColor="text1"/>
              </w:rPr>
              <w:t xml:space="preserve"> weekly events</w:t>
            </w:r>
          </w:p>
          <w:p w14:paraId="1CD73F0C" w14:textId="2CC8A755" w:rsidR="00434E1B" w:rsidRPr="00FF76DB" w:rsidRDefault="00434E1B"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Baseline TfL footfall and dwell time data collected</w:t>
            </w:r>
            <w:r w:rsidR="005F010B">
              <w:rPr>
                <w:color w:val="000000" w:themeColor="text1"/>
              </w:rPr>
              <w:t>,</w:t>
            </w:r>
            <w:r w:rsidRPr="00FF76DB">
              <w:rPr>
                <w:color w:val="000000" w:themeColor="text1"/>
              </w:rPr>
              <w:t xml:space="preserve"> and targets established</w:t>
            </w:r>
          </w:p>
          <w:p w14:paraId="5FFEB4B1" w14:textId="77777777" w:rsidR="00434E1B" w:rsidRPr="00FF76DB" w:rsidRDefault="00434E1B"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 xml:space="preserve">Site technical specifications developed to enable events and programming </w:t>
            </w:r>
          </w:p>
          <w:p w14:paraId="5B9A73EC" w14:textId="5AFFD1C4" w:rsidR="00434E1B" w:rsidRPr="00FF76DB" w:rsidRDefault="00434E1B"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Kiosk, market</w:t>
            </w:r>
            <w:r w:rsidR="005F010B">
              <w:rPr>
                <w:color w:val="000000" w:themeColor="text1"/>
              </w:rPr>
              <w:t>,</w:t>
            </w:r>
            <w:r w:rsidRPr="00FF76DB">
              <w:rPr>
                <w:color w:val="000000" w:themeColor="text1"/>
              </w:rPr>
              <w:t xml:space="preserve"> and additional </w:t>
            </w:r>
            <w:r w:rsidR="00B93661">
              <w:rPr>
                <w:color w:val="000000" w:themeColor="text1"/>
              </w:rPr>
              <w:t>food and beverage</w:t>
            </w:r>
            <w:r w:rsidR="00B93661" w:rsidRPr="00FF76DB" w:rsidDel="00B93661">
              <w:rPr>
                <w:color w:val="000000" w:themeColor="text1"/>
              </w:rPr>
              <w:t xml:space="preserve"> </w:t>
            </w:r>
            <w:r w:rsidRPr="00FF76DB">
              <w:rPr>
                <w:color w:val="000000" w:themeColor="text1"/>
              </w:rPr>
              <w:t xml:space="preserve">offers integrated into the Royal Docks Programming Group and event programme </w:t>
            </w:r>
          </w:p>
          <w:p w14:paraId="4EA895EC" w14:textId="7978D235" w:rsidR="007154CC" w:rsidRPr="00F76018" w:rsidRDefault="00434E1B" w:rsidP="00F76018">
            <w:pPr>
              <w:pStyle w:val="ListParagraph"/>
              <w:numPr>
                <w:ilvl w:val="0"/>
                <w:numId w:val="34"/>
              </w:numPr>
              <w:spacing w:before="60" w:after="60"/>
              <w:ind w:left="324" w:hanging="284"/>
              <w:contextualSpacing w:val="0"/>
              <w:rPr>
                <w:rFonts w:cs="Arial"/>
                <w:color w:val="000000"/>
              </w:rPr>
            </w:pPr>
            <w:r w:rsidRPr="00FF76DB">
              <w:rPr>
                <w:color w:val="000000" w:themeColor="text1"/>
              </w:rPr>
              <w:t>Expanded year-round events and activation programme across Royal Victoria</w:t>
            </w:r>
          </w:p>
        </w:tc>
      </w:tr>
      <w:tr w:rsidR="008F4B6E" w:rsidRPr="00AD6566" w14:paraId="0605E52A" w14:textId="77777777" w:rsidTr="00E534F3">
        <w:tc>
          <w:tcPr>
            <w:tcW w:w="1668" w:type="dxa"/>
            <w:vMerge w:val="restart"/>
            <w:shd w:val="clear" w:color="auto" w:fill="auto"/>
          </w:tcPr>
          <w:p w14:paraId="0EED8C5C" w14:textId="5A24C279" w:rsidR="008F4B6E" w:rsidRPr="00FF76DB" w:rsidRDefault="008F4B6E" w:rsidP="00F76018">
            <w:pPr>
              <w:spacing w:before="60" w:after="60"/>
              <w:rPr>
                <w:rFonts w:cstheme="minorHAnsi"/>
                <w:b/>
                <w:bCs/>
              </w:rPr>
            </w:pPr>
          </w:p>
        </w:tc>
        <w:tc>
          <w:tcPr>
            <w:tcW w:w="4110" w:type="dxa"/>
            <w:shd w:val="clear" w:color="auto" w:fill="auto"/>
          </w:tcPr>
          <w:p w14:paraId="3685420A" w14:textId="7D484290" w:rsidR="008F4B6E" w:rsidRPr="00FF76DB" w:rsidRDefault="008F4B6E" w:rsidP="00F76018">
            <w:pPr>
              <w:spacing w:before="60" w:after="60"/>
              <w:rPr>
                <w:rFonts w:cstheme="minorHAnsi"/>
                <w:b/>
                <w:bCs/>
              </w:rPr>
            </w:pPr>
            <w:r w:rsidRPr="00FF76DB">
              <w:rPr>
                <w:rFonts w:cstheme="minorHAnsi"/>
                <w:b/>
                <w:bCs/>
              </w:rPr>
              <w:t>Investment in At the Docks Summer Programme</w:t>
            </w:r>
            <w:r w:rsidR="005F010B">
              <w:rPr>
                <w:rFonts w:cstheme="minorHAnsi"/>
                <w:b/>
                <w:bCs/>
              </w:rPr>
              <w:t xml:space="preserve"> and RDO;</w:t>
            </w:r>
            <w:r w:rsidRPr="00FF76DB">
              <w:rPr>
                <w:rFonts w:cstheme="minorHAnsi"/>
                <w:b/>
                <w:bCs/>
              </w:rPr>
              <w:t xml:space="preserve"> and preparation for </w:t>
            </w:r>
            <w:r w:rsidR="005F010B">
              <w:rPr>
                <w:rFonts w:cstheme="minorHAnsi"/>
                <w:b/>
                <w:bCs/>
              </w:rPr>
              <w:t xml:space="preserve">the </w:t>
            </w:r>
            <w:r w:rsidRPr="00FF76DB">
              <w:rPr>
                <w:rFonts w:cstheme="minorHAnsi"/>
                <w:b/>
                <w:bCs/>
              </w:rPr>
              <w:t>Royal Docks Waterways’ Floating Wellness offer</w:t>
            </w:r>
            <w:r w:rsidR="005F010B">
              <w:rPr>
                <w:rFonts w:cstheme="minorHAnsi"/>
                <w:b/>
                <w:bCs/>
              </w:rPr>
              <w:t>:</w:t>
            </w:r>
          </w:p>
          <w:p w14:paraId="782ED2C2" w14:textId="77777777" w:rsidR="008F4B6E" w:rsidRPr="00FF76DB" w:rsidRDefault="008F4B6E"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 xml:space="preserve">Growth in the number and diversity of cultural, leisure and sports activities delivered through At the Docks </w:t>
            </w:r>
          </w:p>
          <w:p w14:paraId="55137715" w14:textId="77777777" w:rsidR="008F4B6E" w:rsidRPr="00FF76DB" w:rsidRDefault="008F4B6E"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 xml:space="preserve">Increased participation from </w:t>
            </w:r>
            <w:proofErr w:type="gramStart"/>
            <w:r w:rsidRPr="00FF76DB">
              <w:rPr>
                <w:color w:val="000000" w:themeColor="text1"/>
              </w:rPr>
              <w:t>local residents</w:t>
            </w:r>
            <w:proofErr w:type="gramEnd"/>
            <w:r w:rsidRPr="00FF76DB">
              <w:rPr>
                <w:color w:val="000000" w:themeColor="text1"/>
              </w:rPr>
              <w:t xml:space="preserve"> and visitors in Royal Docks programming </w:t>
            </w:r>
          </w:p>
          <w:p w14:paraId="0C472E07" w14:textId="77777777" w:rsidR="008F4B6E" w:rsidRPr="00FF76DB" w:rsidRDefault="008F4B6E"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Increased media visibility and profile of Royal Docks festivals and cultural activity</w:t>
            </w:r>
          </w:p>
          <w:p w14:paraId="38E577F4" w14:textId="77777777" w:rsidR="008F4B6E" w:rsidRPr="00FF76DB" w:rsidRDefault="008F4B6E"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 xml:space="preserve"> Development of long-term programming and funding partnerships for Royal Docks festivals</w:t>
            </w:r>
          </w:p>
          <w:p w14:paraId="4A2E50E1" w14:textId="09BA16C3" w:rsidR="008F4B6E" w:rsidRPr="00F76018" w:rsidRDefault="008F4B6E"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Progression of dockside activities and water-based programming supporting the future Floating Wellness Centre</w:t>
            </w:r>
          </w:p>
        </w:tc>
        <w:tc>
          <w:tcPr>
            <w:tcW w:w="4536" w:type="dxa"/>
            <w:shd w:val="clear" w:color="auto" w:fill="auto"/>
          </w:tcPr>
          <w:p w14:paraId="6196EE27" w14:textId="4307DB68" w:rsidR="008F4B6E" w:rsidRPr="00FF76DB" w:rsidRDefault="008F4B6E"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 xml:space="preserve">Three-year programming and fundraising plan for At the Docks and </w:t>
            </w:r>
            <w:r w:rsidR="005F010B">
              <w:rPr>
                <w:color w:val="000000" w:themeColor="text1"/>
              </w:rPr>
              <w:t>RDO,</w:t>
            </w:r>
            <w:r w:rsidRPr="00FF76DB">
              <w:rPr>
                <w:color w:val="000000" w:themeColor="text1"/>
              </w:rPr>
              <w:t xml:space="preserve"> developed in collaboration with the Placemaking and Promotion Partnership </w:t>
            </w:r>
          </w:p>
          <w:p w14:paraId="1344B1DA" w14:textId="1F78F0D6" w:rsidR="00FD24B0" w:rsidRPr="00FF76DB" w:rsidRDefault="005F010B" w:rsidP="00F76018">
            <w:pPr>
              <w:pStyle w:val="ListParagraph"/>
              <w:numPr>
                <w:ilvl w:val="0"/>
                <w:numId w:val="34"/>
              </w:numPr>
              <w:spacing w:before="60" w:after="60"/>
              <w:ind w:left="324" w:hanging="284"/>
              <w:contextualSpacing w:val="0"/>
              <w:rPr>
                <w:color w:val="000000" w:themeColor="text1"/>
              </w:rPr>
            </w:pPr>
            <w:r>
              <w:rPr>
                <w:color w:val="000000" w:themeColor="text1"/>
              </w:rPr>
              <w:t>Three</w:t>
            </w:r>
            <w:r w:rsidR="008F4B6E" w:rsidRPr="00FF76DB">
              <w:rPr>
                <w:color w:val="000000" w:themeColor="text1"/>
              </w:rPr>
              <w:t xml:space="preserve"> At the Docks summer programmes delivered (building on a base of approximately 160 event-day activities in 2025) </w:t>
            </w:r>
          </w:p>
          <w:p w14:paraId="58F6827D" w14:textId="7DBC033A" w:rsidR="00FD24B0" w:rsidRPr="00FF76DB" w:rsidRDefault="008F4B6E"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 xml:space="preserve">Royal Docks Originals 2027 delivered, including: </w:t>
            </w:r>
          </w:p>
          <w:p w14:paraId="6088BAD1" w14:textId="6CA9C778" w:rsidR="00FD24B0" w:rsidRPr="00FF76DB" w:rsidRDefault="008F4B6E" w:rsidP="00F76018">
            <w:pPr>
              <w:pStyle w:val="ListParagraph"/>
              <w:numPr>
                <w:ilvl w:val="0"/>
                <w:numId w:val="49"/>
              </w:numPr>
              <w:spacing w:before="60" w:after="60"/>
              <w:ind w:left="739" w:hanging="283"/>
              <w:contextualSpacing w:val="0"/>
              <w:rPr>
                <w:color w:val="000000" w:themeColor="text1"/>
              </w:rPr>
            </w:pPr>
            <w:r w:rsidRPr="00FF76DB">
              <w:rPr>
                <w:color w:val="000000" w:themeColor="text1"/>
              </w:rPr>
              <w:t xml:space="preserve">1 major flagship commission generating significant media profile and mass participation (approx. 7,000 </w:t>
            </w:r>
            <w:r w:rsidR="005F010B" w:rsidRPr="00FF76DB">
              <w:rPr>
                <w:color w:val="000000" w:themeColor="text1"/>
              </w:rPr>
              <w:t>audience</w:t>
            </w:r>
            <w:r w:rsidR="005F010B">
              <w:rPr>
                <w:color w:val="000000" w:themeColor="text1"/>
              </w:rPr>
              <w:t xml:space="preserve"> members</w:t>
            </w:r>
            <w:r w:rsidRPr="00FF76DB">
              <w:rPr>
                <w:color w:val="000000" w:themeColor="text1"/>
              </w:rPr>
              <w:t xml:space="preserve">) </w:t>
            </w:r>
          </w:p>
          <w:p w14:paraId="25A15D2A" w14:textId="48563B7B" w:rsidR="00FD24B0" w:rsidRPr="00FF76DB" w:rsidRDefault="008F4B6E" w:rsidP="00F76018">
            <w:pPr>
              <w:pStyle w:val="ListParagraph"/>
              <w:numPr>
                <w:ilvl w:val="0"/>
                <w:numId w:val="49"/>
              </w:numPr>
              <w:spacing w:before="60" w:after="60"/>
              <w:ind w:left="739" w:hanging="283"/>
              <w:contextualSpacing w:val="0"/>
              <w:rPr>
                <w:color w:val="000000" w:themeColor="text1"/>
              </w:rPr>
            </w:pPr>
            <w:r w:rsidRPr="00FF76DB">
              <w:rPr>
                <w:color w:val="000000" w:themeColor="text1"/>
              </w:rPr>
              <w:t>25 local creative commissions supporting local artists and cultural organisations</w:t>
            </w:r>
          </w:p>
          <w:p w14:paraId="5560289D" w14:textId="3A7FE27C" w:rsidR="008F4B6E" w:rsidRPr="00FF76DB" w:rsidRDefault="008F4B6E" w:rsidP="00F76018">
            <w:pPr>
              <w:pStyle w:val="ListParagraph"/>
              <w:numPr>
                <w:ilvl w:val="0"/>
                <w:numId w:val="49"/>
              </w:numPr>
              <w:spacing w:before="60" w:after="60"/>
              <w:ind w:left="739" w:hanging="283"/>
              <w:contextualSpacing w:val="0"/>
              <w:rPr>
                <w:color w:val="000000" w:themeColor="text1"/>
              </w:rPr>
            </w:pPr>
            <w:r w:rsidRPr="00FF76DB">
              <w:rPr>
                <w:color w:val="000000" w:themeColor="text1"/>
              </w:rPr>
              <w:t xml:space="preserve">total festival audience of approximately 15,000 people </w:t>
            </w:r>
          </w:p>
          <w:p w14:paraId="046D4887" w14:textId="2F34C550" w:rsidR="008F4B6E" w:rsidRPr="00FF76DB" w:rsidRDefault="005F010B" w:rsidP="00F76018">
            <w:pPr>
              <w:pStyle w:val="ListParagraph"/>
              <w:numPr>
                <w:ilvl w:val="0"/>
                <w:numId w:val="34"/>
              </w:numPr>
              <w:spacing w:before="60" w:after="60"/>
              <w:ind w:left="324" w:hanging="284"/>
              <w:contextualSpacing w:val="0"/>
              <w:rPr>
                <w:color w:val="000000" w:themeColor="text1"/>
              </w:rPr>
            </w:pPr>
            <w:r>
              <w:rPr>
                <w:color w:val="000000" w:themeColor="text1"/>
              </w:rPr>
              <w:t>Three</w:t>
            </w:r>
            <w:r w:rsidR="008F4B6E" w:rsidRPr="00FF76DB">
              <w:rPr>
                <w:color w:val="000000" w:themeColor="text1"/>
              </w:rPr>
              <w:t xml:space="preserve"> Royal Docks Summer Splash programmes delivered, with later editions </w:t>
            </w:r>
            <w:r w:rsidR="008F4B6E" w:rsidRPr="00FF76DB">
              <w:rPr>
                <w:color w:val="000000" w:themeColor="text1"/>
              </w:rPr>
              <w:lastRenderedPageBreak/>
              <w:t xml:space="preserve">evolving towards the future Floating Wellness offer </w:t>
            </w:r>
          </w:p>
          <w:p w14:paraId="6DE1AF10" w14:textId="1682498F" w:rsidR="008F4B6E" w:rsidRPr="00F76018" w:rsidRDefault="008F4B6E"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Dockside activity development plan prepared to support long-term water activation</w:t>
            </w:r>
          </w:p>
        </w:tc>
      </w:tr>
      <w:tr w:rsidR="008F4B6E" w:rsidRPr="00AD6566" w14:paraId="1BD6F5C8" w14:textId="77777777" w:rsidTr="00F76018">
        <w:tc>
          <w:tcPr>
            <w:tcW w:w="1668" w:type="dxa"/>
            <w:vMerge/>
            <w:shd w:val="clear" w:color="auto" w:fill="auto"/>
          </w:tcPr>
          <w:p w14:paraId="6FF8D047" w14:textId="77777777" w:rsidR="008F4B6E" w:rsidRPr="00FF76DB" w:rsidRDefault="008F4B6E" w:rsidP="00F76018">
            <w:pPr>
              <w:spacing w:before="60" w:after="60"/>
              <w:rPr>
                <w:rFonts w:cstheme="minorHAnsi"/>
                <w:b/>
                <w:bCs/>
              </w:rPr>
            </w:pPr>
          </w:p>
        </w:tc>
        <w:tc>
          <w:tcPr>
            <w:tcW w:w="4110" w:type="dxa"/>
            <w:shd w:val="clear" w:color="auto" w:fill="auto"/>
          </w:tcPr>
          <w:p w14:paraId="375B1D98" w14:textId="30442D72" w:rsidR="008F4B6E" w:rsidRPr="00FF76DB" w:rsidRDefault="008F4B6E" w:rsidP="00F76018">
            <w:pPr>
              <w:spacing w:before="60" w:after="60"/>
              <w:rPr>
                <w:rFonts w:cstheme="minorHAnsi"/>
                <w:b/>
                <w:bCs/>
              </w:rPr>
            </w:pPr>
            <w:r w:rsidRPr="00FF76DB">
              <w:rPr>
                <w:rFonts w:cstheme="minorHAnsi"/>
                <w:b/>
                <w:bCs/>
              </w:rPr>
              <w:t>New Public art commissions</w:t>
            </w:r>
            <w:r w:rsidRPr="00FF76DB">
              <w:rPr>
                <w:rFonts w:cstheme="minorHAnsi"/>
              </w:rPr>
              <w:t xml:space="preserve"> developed with landowners and developers</w:t>
            </w:r>
          </w:p>
        </w:tc>
        <w:tc>
          <w:tcPr>
            <w:tcW w:w="4536" w:type="dxa"/>
            <w:shd w:val="clear" w:color="auto" w:fill="auto"/>
          </w:tcPr>
          <w:p w14:paraId="330004FF" w14:textId="77777777" w:rsidR="008F4B6E" w:rsidRPr="00FF76DB" w:rsidRDefault="008F4B6E"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Integration of large-scale public artworks and wrap-around activities within RDO</w:t>
            </w:r>
          </w:p>
          <w:p w14:paraId="3D8B15FA" w14:textId="14845AD9" w:rsidR="008F4B6E" w:rsidRPr="00F76018" w:rsidRDefault="008F4B6E"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Delivery of two new public artworks across the Royal Docks</w:t>
            </w:r>
          </w:p>
        </w:tc>
      </w:tr>
      <w:tr w:rsidR="008F4B6E" w:rsidRPr="00AD6566" w14:paraId="7D034E09" w14:textId="77777777" w:rsidTr="00F76018">
        <w:tc>
          <w:tcPr>
            <w:tcW w:w="1668" w:type="dxa"/>
            <w:vMerge/>
            <w:shd w:val="clear" w:color="auto" w:fill="auto"/>
          </w:tcPr>
          <w:p w14:paraId="2438DDF8" w14:textId="77777777" w:rsidR="008F4B6E" w:rsidRPr="00FF76DB" w:rsidRDefault="008F4B6E" w:rsidP="00F76018">
            <w:pPr>
              <w:spacing w:before="60" w:after="60"/>
              <w:rPr>
                <w:rFonts w:cstheme="minorHAnsi"/>
                <w:b/>
                <w:bCs/>
              </w:rPr>
            </w:pPr>
          </w:p>
        </w:tc>
        <w:tc>
          <w:tcPr>
            <w:tcW w:w="4110" w:type="dxa"/>
            <w:shd w:val="clear" w:color="auto" w:fill="auto"/>
          </w:tcPr>
          <w:p w14:paraId="34A82A51" w14:textId="349DF0C1" w:rsidR="008F4B6E" w:rsidRPr="00FF76DB" w:rsidRDefault="008F4B6E" w:rsidP="00F76018">
            <w:pPr>
              <w:spacing w:before="60" w:after="60"/>
              <w:rPr>
                <w:rFonts w:cstheme="minorHAnsi"/>
                <w:b/>
                <w:bCs/>
              </w:rPr>
            </w:pPr>
            <w:r w:rsidRPr="00FF76DB">
              <w:rPr>
                <w:rFonts w:cstheme="minorHAnsi"/>
                <w:b/>
                <w:bCs/>
              </w:rPr>
              <w:t>More incoming external events</w:t>
            </w:r>
            <w:r w:rsidRPr="00FF76DB">
              <w:rPr>
                <w:rFonts w:cstheme="minorHAnsi"/>
              </w:rPr>
              <w:t xml:space="preserve"> – events that regularly make their home in the Royal Docks, one off activities and meanwhile cultural offers. Sports events and the use of the water are a particular focus.</w:t>
            </w:r>
          </w:p>
        </w:tc>
        <w:tc>
          <w:tcPr>
            <w:tcW w:w="4536" w:type="dxa"/>
            <w:shd w:val="clear" w:color="auto" w:fill="auto"/>
          </w:tcPr>
          <w:p w14:paraId="7E85CF30" w14:textId="0312668A" w:rsidR="007356D4" w:rsidRPr="00FF76DB" w:rsidRDefault="007356D4"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 xml:space="preserve">Promotion of new brochure </w:t>
            </w:r>
          </w:p>
          <w:p w14:paraId="6E6A56DA" w14:textId="02CC6C77" w:rsidR="007356D4" w:rsidRPr="00FF76DB" w:rsidRDefault="007356D4"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 xml:space="preserve">Site tech specs in place </w:t>
            </w:r>
          </w:p>
          <w:p w14:paraId="326C3A3F" w14:textId="31EEBBEE" w:rsidR="008F4B6E" w:rsidRPr="00F76018" w:rsidRDefault="007356D4"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 xml:space="preserve">Target </w:t>
            </w:r>
            <w:r w:rsidR="005F010B">
              <w:rPr>
                <w:color w:val="000000" w:themeColor="text1"/>
              </w:rPr>
              <w:t>six</w:t>
            </w:r>
            <w:r w:rsidR="005F010B" w:rsidRPr="00FF76DB">
              <w:rPr>
                <w:color w:val="000000" w:themeColor="text1"/>
              </w:rPr>
              <w:t xml:space="preserve"> </w:t>
            </w:r>
            <w:r w:rsidRPr="00FF76DB">
              <w:rPr>
                <w:color w:val="000000" w:themeColor="text1"/>
              </w:rPr>
              <w:t>summer events</w:t>
            </w:r>
            <w:r w:rsidR="005F010B">
              <w:rPr>
                <w:color w:val="000000" w:themeColor="text1"/>
              </w:rPr>
              <w:t>,</w:t>
            </w:r>
            <w:r w:rsidRPr="00FF76DB">
              <w:rPr>
                <w:color w:val="000000" w:themeColor="text1"/>
              </w:rPr>
              <w:t xml:space="preserve"> and </w:t>
            </w:r>
            <w:r w:rsidR="005F010B">
              <w:rPr>
                <w:color w:val="000000" w:themeColor="text1"/>
              </w:rPr>
              <w:t>two</w:t>
            </w:r>
            <w:r w:rsidR="005F010B" w:rsidRPr="00FF76DB">
              <w:rPr>
                <w:color w:val="000000" w:themeColor="text1"/>
              </w:rPr>
              <w:t xml:space="preserve"> </w:t>
            </w:r>
            <w:r w:rsidRPr="00FF76DB">
              <w:rPr>
                <w:color w:val="000000" w:themeColor="text1"/>
              </w:rPr>
              <w:t>other events</w:t>
            </w:r>
            <w:r w:rsidR="005F010B">
              <w:rPr>
                <w:color w:val="000000" w:themeColor="text1"/>
              </w:rPr>
              <w:t>, per year</w:t>
            </w:r>
          </w:p>
        </w:tc>
      </w:tr>
      <w:tr w:rsidR="007356D4" w:rsidRPr="00AD6566" w14:paraId="689090AA" w14:textId="77777777" w:rsidTr="00F76018">
        <w:tc>
          <w:tcPr>
            <w:tcW w:w="1668" w:type="dxa"/>
            <w:vMerge/>
            <w:shd w:val="clear" w:color="auto" w:fill="auto"/>
          </w:tcPr>
          <w:p w14:paraId="23F8C426" w14:textId="77777777" w:rsidR="007356D4" w:rsidRPr="00FF76DB" w:rsidRDefault="007356D4" w:rsidP="00F76018">
            <w:pPr>
              <w:spacing w:before="60" w:after="60"/>
              <w:rPr>
                <w:rFonts w:cstheme="minorHAnsi"/>
                <w:b/>
                <w:bCs/>
              </w:rPr>
            </w:pPr>
          </w:p>
        </w:tc>
        <w:tc>
          <w:tcPr>
            <w:tcW w:w="4110" w:type="dxa"/>
            <w:shd w:val="clear" w:color="auto" w:fill="auto"/>
          </w:tcPr>
          <w:p w14:paraId="13353954" w14:textId="25A2A73F" w:rsidR="00FC4709" w:rsidRDefault="007356D4">
            <w:pPr>
              <w:spacing w:before="60" w:after="60"/>
              <w:rPr>
                <w:rFonts w:cstheme="minorHAnsi"/>
                <w:b/>
                <w:bCs/>
              </w:rPr>
            </w:pPr>
            <w:r w:rsidRPr="00FF76DB">
              <w:rPr>
                <w:rFonts w:cstheme="minorHAnsi"/>
                <w:b/>
                <w:bCs/>
              </w:rPr>
              <w:t>Development of a cultural placemaking vision for Royal Albert,</w:t>
            </w:r>
            <w:r w:rsidRPr="00FF76DB">
              <w:rPr>
                <w:rFonts w:cstheme="minorHAnsi"/>
              </w:rPr>
              <w:t xml:space="preserve"> and as part of this:</w:t>
            </w:r>
          </w:p>
          <w:p w14:paraId="6C844E64" w14:textId="7207A73F" w:rsidR="007356D4" w:rsidRPr="00FF76DB" w:rsidRDefault="007356D4"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A successful first three years for Big Fridge</w:t>
            </w:r>
            <w:r w:rsidR="002E5471">
              <w:rPr>
                <w:color w:val="000000" w:themeColor="text1"/>
              </w:rPr>
              <w:t>,</w:t>
            </w:r>
            <w:r w:rsidRPr="00FF76DB">
              <w:rPr>
                <w:color w:val="000000" w:themeColor="text1"/>
              </w:rPr>
              <w:t xml:space="preserve"> </w:t>
            </w:r>
            <w:r w:rsidR="004C365F">
              <w:rPr>
                <w:color w:val="000000" w:themeColor="text1"/>
              </w:rPr>
              <w:t xml:space="preserve">the new operator at Compressor House, </w:t>
            </w:r>
            <w:r w:rsidRPr="00FF76DB">
              <w:rPr>
                <w:color w:val="000000" w:themeColor="text1"/>
              </w:rPr>
              <w:t xml:space="preserve">with a growing local community programme underpinned by commercial lettings </w:t>
            </w:r>
          </w:p>
          <w:p w14:paraId="2AC034CA" w14:textId="64722C59" w:rsidR="007356D4" w:rsidRPr="00FF76DB" w:rsidRDefault="007356D4"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 xml:space="preserve">Wider attendance at UEL festivals </w:t>
            </w:r>
          </w:p>
          <w:p w14:paraId="1989ADAA" w14:textId="7A062C52" w:rsidR="007356D4" w:rsidRPr="00FF76DB" w:rsidRDefault="007356D4"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 xml:space="preserve">Exploration of a meanwhile strategy for </w:t>
            </w:r>
            <w:r w:rsidR="002E5471">
              <w:rPr>
                <w:color w:val="000000" w:themeColor="text1"/>
              </w:rPr>
              <w:t>Royal Albert D</w:t>
            </w:r>
            <w:r w:rsidR="003633A2">
              <w:rPr>
                <w:color w:val="000000" w:themeColor="text1"/>
              </w:rPr>
              <w:t>ock</w:t>
            </w:r>
          </w:p>
        </w:tc>
        <w:tc>
          <w:tcPr>
            <w:tcW w:w="4536" w:type="dxa"/>
            <w:shd w:val="clear" w:color="auto" w:fill="auto"/>
          </w:tcPr>
          <w:p w14:paraId="09E472DD" w14:textId="5F36F2C7" w:rsidR="007356D4" w:rsidRPr="00FF76DB" w:rsidRDefault="007356D4"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 xml:space="preserve">Big Fridge community, culture and commercial events each season </w:t>
            </w:r>
          </w:p>
          <w:p w14:paraId="10C5766B" w14:textId="78B9FAB8" w:rsidR="007356D4" w:rsidRPr="00FF76DB" w:rsidRDefault="002E5471"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Collaborat</w:t>
            </w:r>
            <w:r>
              <w:rPr>
                <w:color w:val="000000" w:themeColor="text1"/>
              </w:rPr>
              <w:t>e</w:t>
            </w:r>
            <w:r w:rsidRPr="00FF76DB">
              <w:rPr>
                <w:color w:val="000000" w:themeColor="text1"/>
              </w:rPr>
              <w:t xml:space="preserve"> </w:t>
            </w:r>
            <w:r w:rsidR="007356D4" w:rsidRPr="00FF76DB">
              <w:rPr>
                <w:color w:val="000000" w:themeColor="text1"/>
              </w:rPr>
              <w:t xml:space="preserve">with UEL to programme and promote festival events across the region </w:t>
            </w:r>
          </w:p>
          <w:p w14:paraId="51D80DA7" w14:textId="79B2B8D0" w:rsidR="007356D4" w:rsidRPr="00F76018" w:rsidRDefault="002E5471" w:rsidP="00F76018">
            <w:pPr>
              <w:pStyle w:val="ListParagraph"/>
              <w:numPr>
                <w:ilvl w:val="0"/>
                <w:numId w:val="34"/>
              </w:numPr>
              <w:spacing w:before="60" w:after="60"/>
              <w:ind w:left="324" w:hanging="284"/>
              <w:contextualSpacing w:val="0"/>
              <w:rPr>
                <w:color w:val="000000" w:themeColor="text1"/>
              </w:rPr>
            </w:pPr>
            <w:r w:rsidRPr="00FF76DB">
              <w:rPr>
                <w:color w:val="000000" w:themeColor="text1"/>
              </w:rPr>
              <w:t>Collaborat</w:t>
            </w:r>
            <w:r>
              <w:rPr>
                <w:color w:val="000000" w:themeColor="text1"/>
              </w:rPr>
              <w:t>e</w:t>
            </w:r>
            <w:r w:rsidRPr="00FF76DB">
              <w:rPr>
                <w:color w:val="000000" w:themeColor="text1"/>
              </w:rPr>
              <w:t xml:space="preserve"> </w:t>
            </w:r>
            <w:r w:rsidR="007356D4" w:rsidRPr="00FF76DB">
              <w:rPr>
                <w:color w:val="000000" w:themeColor="text1"/>
              </w:rPr>
              <w:t xml:space="preserve">with new developer on </w:t>
            </w:r>
            <w:r w:rsidR="00866683">
              <w:rPr>
                <w:color w:val="000000" w:themeColor="text1"/>
              </w:rPr>
              <w:t>Royal Albert Dock</w:t>
            </w:r>
            <w:r w:rsidR="00866683" w:rsidRPr="00FF76DB">
              <w:rPr>
                <w:color w:val="000000" w:themeColor="text1"/>
              </w:rPr>
              <w:t xml:space="preserve"> </w:t>
            </w:r>
            <w:r w:rsidR="007356D4" w:rsidRPr="00FF76DB">
              <w:rPr>
                <w:color w:val="000000" w:themeColor="text1"/>
              </w:rPr>
              <w:t xml:space="preserve">meanwhile strategy </w:t>
            </w:r>
          </w:p>
        </w:tc>
      </w:tr>
    </w:tbl>
    <w:p w14:paraId="611049B2" w14:textId="77777777" w:rsidR="00EA1F8B" w:rsidRDefault="00EA1F8B">
      <w:pPr>
        <w:pStyle w:val="BodyTextIndent3"/>
        <w:spacing w:after="200" w:line="240" w:lineRule="auto"/>
        <w:ind w:left="0" w:firstLine="0"/>
        <w:rPr>
          <w:rFonts w:cs="Arial"/>
          <w:szCs w:val="24"/>
        </w:rPr>
      </w:pPr>
    </w:p>
    <w:p w14:paraId="7A39CE6A" w14:textId="77777777" w:rsidR="00603715" w:rsidRDefault="005F23B6" w:rsidP="00FD24B0">
      <w:pPr>
        <w:numPr>
          <w:ilvl w:val="0"/>
          <w:numId w:val="24"/>
        </w:numPr>
        <w:tabs>
          <w:tab w:val="left" w:pos="8115"/>
        </w:tabs>
        <w:spacing w:after="200"/>
        <w:ind w:left="567" w:hanging="567"/>
        <w:rPr>
          <w:rFonts w:cs="Arial"/>
          <w:i/>
        </w:rPr>
      </w:pPr>
      <w:r w:rsidRPr="00603715">
        <w:rPr>
          <w:rFonts w:cs="Arial"/>
          <w:b/>
        </w:rPr>
        <w:t>Equality comments</w:t>
      </w:r>
    </w:p>
    <w:p w14:paraId="677B6092" w14:textId="4E7CDD60" w:rsidR="000A40CC" w:rsidRPr="00E909EA" w:rsidRDefault="000A40CC" w:rsidP="00FD24B0">
      <w:pPr>
        <w:pStyle w:val="ListParagraph"/>
        <w:numPr>
          <w:ilvl w:val="1"/>
          <w:numId w:val="27"/>
        </w:numPr>
        <w:spacing w:after="200"/>
        <w:ind w:left="567" w:hanging="567"/>
        <w:contextualSpacing w:val="0"/>
      </w:pPr>
      <w:r w:rsidRPr="00E909EA">
        <w:t xml:space="preserve">Section 149(1) of the Equality Act 2010 </w:t>
      </w:r>
      <w:r w:rsidR="00B56A9B">
        <w:t xml:space="preserve">(the Equality Act) </w:t>
      </w:r>
      <w:r w:rsidRPr="00E909EA">
        <w:t>provides that, in the exercise of their functions, public authorities must have due regard to the need to:</w:t>
      </w:r>
    </w:p>
    <w:p w14:paraId="0334A4C6" w14:textId="31D3CEE7" w:rsidR="000A40CC" w:rsidRPr="00E909EA" w:rsidRDefault="000A40CC" w:rsidP="00FD24B0">
      <w:pPr>
        <w:pStyle w:val="ListParagraph"/>
        <w:numPr>
          <w:ilvl w:val="1"/>
          <w:numId w:val="26"/>
        </w:numPr>
        <w:spacing w:after="200"/>
        <w:ind w:left="993" w:hanging="284"/>
        <w:contextualSpacing w:val="0"/>
      </w:pPr>
      <w:r w:rsidRPr="00E909EA">
        <w:t xml:space="preserve">eliminate discrimination, harassment, victimisation and any other conduct that is prohibited by or under the Equality Act </w:t>
      </w:r>
    </w:p>
    <w:p w14:paraId="15A1EA58" w14:textId="77777777" w:rsidR="000A40CC" w:rsidRPr="00E909EA" w:rsidRDefault="000A40CC" w:rsidP="00FD24B0">
      <w:pPr>
        <w:pStyle w:val="ListParagraph"/>
        <w:numPr>
          <w:ilvl w:val="1"/>
          <w:numId w:val="26"/>
        </w:numPr>
        <w:spacing w:after="200"/>
        <w:ind w:left="993" w:hanging="284"/>
        <w:contextualSpacing w:val="0"/>
      </w:pPr>
      <w:r w:rsidRPr="00E909EA">
        <w:t>advance equality of opportunity between persons who share a relevant protected characteristic and persons who do not share it</w:t>
      </w:r>
    </w:p>
    <w:p w14:paraId="7FA7DE1A" w14:textId="77777777" w:rsidR="000A40CC" w:rsidRPr="00E909EA" w:rsidRDefault="000A40CC" w:rsidP="00FD24B0">
      <w:pPr>
        <w:pStyle w:val="ListParagraph"/>
        <w:numPr>
          <w:ilvl w:val="1"/>
          <w:numId w:val="26"/>
        </w:numPr>
        <w:spacing w:after="200"/>
        <w:ind w:left="993" w:hanging="284"/>
        <w:contextualSpacing w:val="0"/>
      </w:pPr>
      <w:r w:rsidRPr="00E909EA">
        <w:t xml:space="preserve">foster good relations between persons who share a relevant protected characteristic and persons who do not share it. </w:t>
      </w:r>
    </w:p>
    <w:p w14:paraId="66007BC3" w14:textId="77777777" w:rsidR="000A40CC" w:rsidRPr="00E909EA" w:rsidRDefault="000A40CC" w:rsidP="00FD24B0">
      <w:pPr>
        <w:numPr>
          <w:ilvl w:val="1"/>
          <w:numId w:val="25"/>
        </w:numPr>
        <w:tabs>
          <w:tab w:val="left" w:pos="8115"/>
        </w:tabs>
        <w:spacing w:after="200"/>
        <w:ind w:left="567" w:hanging="567"/>
      </w:pPr>
      <w:r w:rsidRPr="00E909EA">
        <w:t xml:space="preserve">Protected characteristics under the 2010 Act are: age, disability, gender reassignment, pregnancy and maternity, race, religion or belief, sex, sexual orientation and marriage or civil partnership status (the duty in respect of this last characteristic is to eliminate unlawful discrimination only). </w:t>
      </w:r>
    </w:p>
    <w:p w14:paraId="3B98CC78" w14:textId="4DC85EB6" w:rsidR="000A40CC" w:rsidRPr="00E909EA" w:rsidRDefault="000A40CC" w:rsidP="00FD24B0">
      <w:pPr>
        <w:numPr>
          <w:ilvl w:val="1"/>
          <w:numId w:val="25"/>
        </w:numPr>
        <w:tabs>
          <w:tab w:val="left" w:pos="8115"/>
        </w:tabs>
        <w:spacing w:after="200"/>
        <w:ind w:left="567" w:hanging="567"/>
      </w:pPr>
      <w:r w:rsidRPr="00E909EA">
        <w:t>An Equality Impact Assessment (</w:t>
      </w:r>
      <w:proofErr w:type="spellStart"/>
      <w:r w:rsidRPr="00E909EA">
        <w:t>EqIA</w:t>
      </w:r>
      <w:proofErr w:type="spellEnd"/>
      <w:r w:rsidRPr="00E909EA">
        <w:t xml:space="preserve">) was prepared in 2023 to support the development of this new Royal Docks Delivery Plan. </w:t>
      </w:r>
      <w:r w:rsidR="00BB42EC">
        <w:t>T</w:t>
      </w:r>
      <w:r w:rsidRPr="00E909EA">
        <w:t>he 2024</w:t>
      </w:r>
      <w:r>
        <w:t>-29</w:t>
      </w:r>
      <w:r w:rsidRPr="00E909EA">
        <w:t xml:space="preserve"> Delivery Plan was developed </w:t>
      </w:r>
      <w:r w:rsidR="00BB42EC">
        <w:t>to continue</w:t>
      </w:r>
      <w:r w:rsidRPr="00E909EA">
        <w:t xml:space="preserve"> the Royal Docks programme</w:t>
      </w:r>
      <w:r w:rsidR="00F906C2">
        <w:t>. A</w:t>
      </w:r>
      <w:r w:rsidR="00BB42EC">
        <w:t xml:space="preserve">s such, </w:t>
      </w:r>
      <w:r w:rsidRPr="00E909EA">
        <w:t xml:space="preserve">the </w:t>
      </w:r>
      <w:proofErr w:type="spellStart"/>
      <w:r w:rsidRPr="00E909EA">
        <w:t>EqIA</w:t>
      </w:r>
      <w:proofErr w:type="spellEnd"/>
      <w:r w:rsidRPr="00E909EA">
        <w:t xml:space="preserve"> sets out how the proposed programme of activity might impact different groups, including those who share protected characteristics. </w:t>
      </w:r>
    </w:p>
    <w:p w14:paraId="6FE8EF42" w14:textId="00AE3994" w:rsidR="000A40CC" w:rsidRPr="00E909EA" w:rsidRDefault="000A40CC" w:rsidP="00FD24B0">
      <w:pPr>
        <w:numPr>
          <w:ilvl w:val="1"/>
          <w:numId w:val="25"/>
        </w:numPr>
        <w:tabs>
          <w:tab w:val="left" w:pos="8115"/>
        </w:tabs>
        <w:spacing w:after="200"/>
        <w:ind w:left="567" w:hanging="567"/>
      </w:pPr>
      <w:r w:rsidRPr="00E909EA">
        <w:lastRenderedPageBreak/>
        <w:t xml:space="preserve">The </w:t>
      </w:r>
      <w:proofErr w:type="spellStart"/>
      <w:r w:rsidRPr="00E909EA">
        <w:t>EqIA</w:t>
      </w:r>
      <w:proofErr w:type="spellEnd"/>
      <w:r w:rsidRPr="00E909EA">
        <w:t xml:space="preserve"> makes recommendations for how any potential adverse equality effects may be mitigated, and any potentially positive equality effects enhanced. These recommendations were used to inform the 2024</w:t>
      </w:r>
      <w:r>
        <w:t>-29</w:t>
      </w:r>
      <w:r w:rsidRPr="00E909EA">
        <w:t xml:space="preserve"> Delivery Plan, with further detail about how they may be actioned and monitored</w:t>
      </w:r>
      <w:r w:rsidR="002C5BE7">
        <w:t>.</w:t>
      </w:r>
      <w:r w:rsidR="00EA1F8B">
        <w:t xml:space="preserve"> </w:t>
      </w:r>
      <w:r>
        <w:t>Since the project</w:t>
      </w:r>
      <w:r w:rsidR="00EA1F8B">
        <w:t xml:space="preserve"> </w:t>
      </w:r>
      <w:r>
        <w:t>is part</w:t>
      </w:r>
      <w:r w:rsidR="00EA1F8B">
        <w:t xml:space="preserve"> </w:t>
      </w:r>
      <w:r>
        <w:t>of this plan</w:t>
      </w:r>
      <w:r w:rsidR="002C5BE7">
        <w:t>,</w:t>
      </w:r>
      <w:r>
        <w:t xml:space="preserve"> </w:t>
      </w:r>
      <w:r w:rsidRPr="00B73244">
        <w:t xml:space="preserve">it is not felt necessary to prepare another </w:t>
      </w:r>
      <w:proofErr w:type="spellStart"/>
      <w:r w:rsidRPr="00B73244">
        <w:t>EqIA</w:t>
      </w:r>
      <w:proofErr w:type="spellEnd"/>
      <w:r w:rsidRPr="00B73244">
        <w:t xml:space="preserve"> report</w:t>
      </w:r>
      <w:r>
        <w:t>.</w:t>
      </w:r>
    </w:p>
    <w:p w14:paraId="31701661" w14:textId="1AE648E2" w:rsidR="00396567" w:rsidRPr="00E909EA" w:rsidRDefault="000A40CC" w:rsidP="00FD24B0">
      <w:pPr>
        <w:pStyle w:val="ListParagraph"/>
        <w:numPr>
          <w:ilvl w:val="1"/>
          <w:numId w:val="25"/>
        </w:numPr>
        <w:spacing w:after="200"/>
        <w:ind w:left="567" w:hanging="567"/>
        <w:contextualSpacing w:val="0"/>
      </w:pPr>
      <w:r w:rsidRPr="00E909EA">
        <w:t xml:space="preserve">Strategic </w:t>
      </w:r>
      <w:r w:rsidR="00744BBD" w:rsidRPr="00744BBD">
        <w:t>projects relating to the Royal Docks Delivery Plan will directly contribute to the Mayor of London’s key strategies and policies. These policies and strategies are underpinned by a clear commitment to equality, diversity and inclusion</w:t>
      </w:r>
      <w:r w:rsidR="00F906C2">
        <w:t xml:space="preserve">. They </w:t>
      </w:r>
      <w:r w:rsidR="00744BBD" w:rsidRPr="00744BBD">
        <w:t>are central to the RDT’s ambitions for the Royal Docks to become a sustainable, liveable and cohesive place that prioritises the wellbeing and prosperity of all its communities.</w:t>
      </w:r>
    </w:p>
    <w:p w14:paraId="7CD01145" w14:textId="0F86B4A3" w:rsidR="000A40CC" w:rsidRPr="00AD6566" w:rsidRDefault="004B6E33" w:rsidP="00FD24B0">
      <w:pPr>
        <w:numPr>
          <w:ilvl w:val="1"/>
          <w:numId w:val="25"/>
        </w:numPr>
        <w:tabs>
          <w:tab w:val="left" w:pos="8115"/>
        </w:tabs>
        <w:spacing w:after="200"/>
        <w:ind w:left="567" w:hanging="567"/>
      </w:pPr>
      <w:r w:rsidRPr="004B6E33">
        <w:t>Public realm improvements and cultural placemaking activities will help ensure that the Royal Docks becomes an inclusive, accessible and welcoming environment for residents, visitors and businesses. Improvements to public spaces will support accessibility</w:t>
      </w:r>
      <w:r w:rsidR="00F906C2">
        <w:t>;</w:t>
      </w:r>
      <w:r w:rsidR="00F906C2" w:rsidRPr="004B6E33">
        <w:t xml:space="preserve"> </w:t>
      </w:r>
      <w:r w:rsidRPr="004B6E33">
        <w:t>encourage active lifestyles</w:t>
      </w:r>
      <w:r w:rsidR="00F906C2">
        <w:t>;</w:t>
      </w:r>
      <w:r w:rsidRPr="004B6E33">
        <w:t xml:space="preserve"> and ensure that public areas can be enjoyed by a wide range of users.</w:t>
      </w:r>
    </w:p>
    <w:p w14:paraId="553374C2" w14:textId="33A6D47D" w:rsidR="000A40CC" w:rsidRPr="00AD6566" w:rsidRDefault="004B6E33" w:rsidP="00FD24B0">
      <w:pPr>
        <w:numPr>
          <w:ilvl w:val="1"/>
          <w:numId w:val="25"/>
        </w:numPr>
        <w:tabs>
          <w:tab w:val="left" w:pos="8115"/>
        </w:tabs>
        <w:spacing w:after="200"/>
        <w:ind w:left="567" w:hanging="567"/>
      </w:pPr>
      <w:r w:rsidRPr="004B6E33">
        <w:t>Cultural placemaking programmes and events will champion the diversity of Royal Docks communities and support participation from a wide range of cultural organisations, artists and residents. Activities will aim to bring communities together, celebrate cultural diversity and encourage inclusive participation in the social and cultural life of the Royal Docks.</w:t>
      </w:r>
    </w:p>
    <w:p w14:paraId="32131783" w14:textId="3583CBC7" w:rsidR="000A40CC" w:rsidRPr="00AD6566" w:rsidRDefault="000A40CC" w:rsidP="00FD24B0">
      <w:pPr>
        <w:numPr>
          <w:ilvl w:val="1"/>
          <w:numId w:val="25"/>
        </w:numPr>
        <w:tabs>
          <w:tab w:val="left" w:pos="8115"/>
        </w:tabs>
        <w:spacing w:after="200"/>
        <w:ind w:left="567" w:hanging="567"/>
      </w:pPr>
      <w:r w:rsidRPr="00AD6566">
        <w:t>Equality impact considerations and mitigations are built into all RDT projects as they move forward for implementation</w:t>
      </w:r>
      <w:r w:rsidR="008F3A86">
        <w:t>. They</w:t>
      </w:r>
      <w:r w:rsidRPr="00AD6566">
        <w:t xml:space="preserve"> are a core part of the evaluation process.</w:t>
      </w:r>
    </w:p>
    <w:p w14:paraId="2179B8AF" w14:textId="356A1679" w:rsidR="000A40CC" w:rsidRPr="00E909EA" w:rsidRDefault="000A40CC" w:rsidP="00FD24B0">
      <w:pPr>
        <w:numPr>
          <w:ilvl w:val="1"/>
          <w:numId w:val="25"/>
        </w:numPr>
        <w:tabs>
          <w:tab w:val="left" w:pos="8115"/>
        </w:tabs>
        <w:spacing w:after="200"/>
        <w:ind w:left="567" w:hanging="567"/>
      </w:pPr>
      <w:r w:rsidRPr="00E909EA">
        <w:rPr>
          <w:rFonts w:cs="Arial"/>
        </w:rPr>
        <w:t>Equalities considerations will also be considered by the GLA in connection with all work procured</w:t>
      </w:r>
      <w:r w:rsidR="00B56A9B">
        <w:rPr>
          <w:rFonts w:cs="Arial"/>
        </w:rPr>
        <w:t>. T</w:t>
      </w:r>
      <w:r w:rsidRPr="00E909EA">
        <w:rPr>
          <w:rFonts w:cs="Arial"/>
        </w:rPr>
        <w:t xml:space="preserve">he GLA Equalities </w:t>
      </w:r>
      <w:r>
        <w:rPr>
          <w:rFonts w:cs="Arial"/>
        </w:rPr>
        <w:t>team</w:t>
      </w:r>
      <w:r w:rsidRPr="00E909EA">
        <w:rPr>
          <w:rFonts w:cs="Arial"/>
        </w:rPr>
        <w:t xml:space="preserve"> </w:t>
      </w:r>
      <w:r w:rsidR="00B56A9B">
        <w:rPr>
          <w:rFonts w:cs="Arial"/>
        </w:rPr>
        <w:t xml:space="preserve">will be </w:t>
      </w:r>
      <w:r w:rsidRPr="00E909EA">
        <w:rPr>
          <w:rFonts w:cs="Arial"/>
        </w:rPr>
        <w:t>consulted to ensure approaches are inclusive and accessible.</w:t>
      </w:r>
      <w:r w:rsidR="00EA1F8B">
        <w:rPr>
          <w:rFonts w:cs="Arial"/>
        </w:rPr>
        <w:t xml:space="preserve"> </w:t>
      </w:r>
      <w:r w:rsidRPr="00E909EA">
        <w:rPr>
          <w:rFonts w:cs="Arial"/>
        </w:rPr>
        <w:t>All recruitment will fully comply with the Equality Act</w:t>
      </w:r>
      <w:r w:rsidR="00B56A9B">
        <w:rPr>
          <w:rFonts w:cs="Arial"/>
        </w:rPr>
        <w:t>;</w:t>
      </w:r>
      <w:r w:rsidRPr="00E909EA">
        <w:rPr>
          <w:rFonts w:cs="Arial"/>
        </w:rPr>
        <w:t xml:space="preserve"> and fulfil the requirements of the Public Sector Equality Duty</w:t>
      </w:r>
      <w:r w:rsidR="00B56A9B">
        <w:rPr>
          <w:rFonts w:cs="Arial"/>
        </w:rPr>
        <w:t>,</w:t>
      </w:r>
      <w:r w:rsidRPr="00E909EA">
        <w:rPr>
          <w:rFonts w:cs="Arial"/>
        </w:rPr>
        <w:t xml:space="preserve"> as set out in the section 149(1) of the Equality Act.</w:t>
      </w:r>
    </w:p>
    <w:p w14:paraId="24B41E77" w14:textId="61EFC3B3" w:rsidR="00F906C2" w:rsidRDefault="000A40CC" w:rsidP="00D007B6">
      <w:pPr>
        <w:numPr>
          <w:ilvl w:val="1"/>
          <w:numId w:val="25"/>
        </w:numPr>
        <w:tabs>
          <w:tab w:val="left" w:pos="8115"/>
        </w:tabs>
        <w:spacing w:after="200"/>
        <w:ind w:left="567" w:hanging="567"/>
      </w:pPr>
      <w:r w:rsidRPr="00E909EA">
        <w:rPr>
          <w:rFonts w:cs="Arial"/>
        </w:rPr>
        <w:t>This decision is therefore expected to have positive impacts on persons with a protected characteristic under the Equality Act.</w:t>
      </w:r>
    </w:p>
    <w:p w14:paraId="7A971C9B" w14:textId="77777777" w:rsidR="00F906C2" w:rsidRDefault="00F906C2" w:rsidP="00F906C2">
      <w:pPr>
        <w:tabs>
          <w:tab w:val="left" w:pos="8115"/>
        </w:tabs>
        <w:spacing w:after="200"/>
        <w:ind w:left="567"/>
      </w:pPr>
    </w:p>
    <w:p w14:paraId="7B19A81F" w14:textId="77777777" w:rsidR="00603715" w:rsidRDefault="000479A9" w:rsidP="00FD24B0">
      <w:pPr>
        <w:numPr>
          <w:ilvl w:val="0"/>
          <w:numId w:val="24"/>
        </w:numPr>
        <w:spacing w:after="200"/>
        <w:ind w:left="567" w:hanging="567"/>
        <w:rPr>
          <w:rFonts w:cs="Arial"/>
          <w:b/>
        </w:rPr>
      </w:pPr>
      <w:r w:rsidRPr="005F23B6">
        <w:rPr>
          <w:rFonts w:cs="Arial"/>
          <w:b/>
        </w:rPr>
        <w:t>Other considerations</w:t>
      </w:r>
    </w:p>
    <w:p w14:paraId="3E573B43" w14:textId="77777777" w:rsidR="003633A2" w:rsidRPr="00E909EA" w:rsidRDefault="003633A2" w:rsidP="003633A2">
      <w:pPr>
        <w:spacing w:after="200"/>
        <w:ind w:left="567"/>
        <w:rPr>
          <w:rFonts w:eastAsia="Calibri" w:cs="Calibri"/>
          <w:u w:val="single"/>
        </w:rPr>
      </w:pPr>
      <w:r w:rsidRPr="00E909EA">
        <w:rPr>
          <w:rFonts w:eastAsia="Calibri" w:cs="Calibri"/>
          <w:u w:val="single"/>
        </w:rPr>
        <w:t>Key risks and issues</w:t>
      </w:r>
    </w:p>
    <w:p w14:paraId="02CD2DED" w14:textId="10B8EB8F" w:rsidR="003633A2" w:rsidRPr="003633A2" w:rsidRDefault="003633A2" w:rsidP="003633A2">
      <w:pPr>
        <w:numPr>
          <w:ilvl w:val="1"/>
          <w:numId w:val="28"/>
        </w:numPr>
        <w:spacing w:after="200"/>
        <w:ind w:left="567" w:hanging="567"/>
        <w:rPr>
          <w:rFonts w:cs="Arial"/>
        </w:rPr>
      </w:pPr>
      <w:r w:rsidRPr="00E909EA">
        <w:rPr>
          <w:rFonts w:cs="Arial"/>
        </w:rPr>
        <w:t xml:space="preserve">The key risks and issues are outlined in the table below: </w:t>
      </w:r>
    </w:p>
    <w:tbl>
      <w:tblPr>
        <w:tblStyle w:val="TableGrid"/>
        <w:tblW w:w="9781" w:type="dxa"/>
        <w:tblInd w:w="-5" w:type="dxa"/>
        <w:tblLayout w:type="fixed"/>
        <w:tblLook w:val="04A0" w:firstRow="1" w:lastRow="0" w:firstColumn="1" w:lastColumn="0" w:noHBand="0" w:noVBand="1"/>
      </w:tblPr>
      <w:tblGrid>
        <w:gridCol w:w="2694"/>
        <w:gridCol w:w="1417"/>
        <w:gridCol w:w="1418"/>
        <w:gridCol w:w="4252"/>
      </w:tblGrid>
      <w:tr w:rsidR="00117A2F" w:rsidRPr="00323842" w14:paraId="4AC64C1E" w14:textId="77777777" w:rsidTr="00117A2F">
        <w:tc>
          <w:tcPr>
            <w:tcW w:w="2694" w:type="dxa"/>
            <w:shd w:val="clear" w:color="auto" w:fill="DBE5F1" w:themeFill="accent1" w:themeFillTint="33"/>
          </w:tcPr>
          <w:p w14:paraId="14679991" w14:textId="77777777" w:rsidR="00117A2F" w:rsidRPr="00323842" w:rsidRDefault="00117A2F" w:rsidP="0067198D">
            <w:pPr>
              <w:spacing w:before="60" w:after="60"/>
              <w:rPr>
                <w:b/>
              </w:rPr>
            </w:pPr>
            <w:r w:rsidRPr="00323842">
              <w:rPr>
                <w:b/>
              </w:rPr>
              <w:t xml:space="preserve">Risk </w:t>
            </w:r>
            <w:r>
              <w:rPr>
                <w:b/>
              </w:rPr>
              <w:t>d</w:t>
            </w:r>
            <w:r w:rsidRPr="00323842">
              <w:rPr>
                <w:b/>
              </w:rPr>
              <w:t xml:space="preserve">escription </w:t>
            </w:r>
          </w:p>
        </w:tc>
        <w:tc>
          <w:tcPr>
            <w:tcW w:w="1417" w:type="dxa"/>
            <w:shd w:val="clear" w:color="auto" w:fill="DBE5F1" w:themeFill="accent1" w:themeFillTint="33"/>
          </w:tcPr>
          <w:p w14:paraId="3E90512D" w14:textId="77777777" w:rsidR="00117A2F" w:rsidRPr="00323842" w:rsidRDefault="00117A2F" w:rsidP="0067198D">
            <w:pPr>
              <w:spacing w:before="60" w:after="60"/>
              <w:rPr>
                <w:b/>
              </w:rPr>
            </w:pPr>
            <w:r w:rsidRPr="00323842">
              <w:rPr>
                <w:b/>
              </w:rPr>
              <w:t>Probability</w:t>
            </w:r>
          </w:p>
        </w:tc>
        <w:tc>
          <w:tcPr>
            <w:tcW w:w="1418" w:type="dxa"/>
            <w:shd w:val="clear" w:color="auto" w:fill="DBE5F1" w:themeFill="accent1" w:themeFillTint="33"/>
          </w:tcPr>
          <w:p w14:paraId="4186F71A" w14:textId="77777777" w:rsidR="00117A2F" w:rsidRPr="00323842" w:rsidRDefault="00117A2F" w:rsidP="0067198D">
            <w:pPr>
              <w:spacing w:before="60" w:after="60"/>
              <w:rPr>
                <w:b/>
              </w:rPr>
            </w:pPr>
            <w:r w:rsidRPr="00323842">
              <w:rPr>
                <w:b/>
              </w:rPr>
              <w:t>Impact</w:t>
            </w:r>
          </w:p>
        </w:tc>
        <w:tc>
          <w:tcPr>
            <w:tcW w:w="4252" w:type="dxa"/>
            <w:shd w:val="clear" w:color="auto" w:fill="DBE5F1" w:themeFill="accent1" w:themeFillTint="33"/>
          </w:tcPr>
          <w:p w14:paraId="71C26C6B" w14:textId="77777777" w:rsidR="00117A2F" w:rsidRPr="00323842" w:rsidRDefault="00117A2F" w:rsidP="0067198D">
            <w:pPr>
              <w:spacing w:before="60" w:after="60"/>
              <w:rPr>
                <w:b/>
              </w:rPr>
            </w:pPr>
            <w:r w:rsidRPr="00323842">
              <w:rPr>
                <w:b/>
              </w:rPr>
              <w:t xml:space="preserve">Mitigation </w:t>
            </w:r>
          </w:p>
        </w:tc>
      </w:tr>
      <w:tr w:rsidR="00117A2F" w:rsidRPr="00323842" w14:paraId="12330888" w14:textId="77777777" w:rsidTr="00117A2F">
        <w:tc>
          <w:tcPr>
            <w:tcW w:w="2694" w:type="dxa"/>
          </w:tcPr>
          <w:p w14:paraId="3462EF7E" w14:textId="77777777" w:rsidR="00117A2F" w:rsidRPr="00D64162" w:rsidRDefault="00117A2F" w:rsidP="0067198D">
            <w:pPr>
              <w:spacing w:before="60" w:after="60"/>
              <w:rPr>
                <w:rFonts w:cs="Arial"/>
              </w:rPr>
            </w:pPr>
            <w:r>
              <w:rPr>
                <w:rFonts w:cs="Arial"/>
              </w:rPr>
              <w:t>Lack of capital funding to deliver new public realm projects.</w:t>
            </w:r>
          </w:p>
        </w:tc>
        <w:tc>
          <w:tcPr>
            <w:tcW w:w="1417" w:type="dxa"/>
          </w:tcPr>
          <w:p w14:paraId="28F849EC" w14:textId="77777777" w:rsidR="00117A2F" w:rsidRPr="00323842" w:rsidRDefault="00117A2F" w:rsidP="0067198D">
            <w:pPr>
              <w:spacing w:before="60" w:after="60"/>
            </w:pPr>
            <w:r>
              <w:t>Medium</w:t>
            </w:r>
          </w:p>
        </w:tc>
        <w:tc>
          <w:tcPr>
            <w:tcW w:w="1418" w:type="dxa"/>
          </w:tcPr>
          <w:p w14:paraId="5838BD19" w14:textId="77777777" w:rsidR="00117A2F" w:rsidRPr="00323842" w:rsidRDefault="00117A2F" w:rsidP="0067198D">
            <w:pPr>
              <w:spacing w:before="60" w:after="60"/>
            </w:pPr>
            <w:r>
              <w:t>Medium</w:t>
            </w:r>
          </w:p>
        </w:tc>
        <w:tc>
          <w:tcPr>
            <w:tcW w:w="4252" w:type="dxa"/>
          </w:tcPr>
          <w:p w14:paraId="13BB442C" w14:textId="77777777" w:rsidR="00117A2F" w:rsidRPr="00323842" w:rsidRDefault="00117A2F" w:rsidP="0067198D">
            <w:pPr>
              <w:spacing w:before="60" w:after="60"/>
            </w:pPr>
            <w:r>
              <w:t>Work with partners to prioritise new interventions; and explore funding routes, including partners’ resources.</w:t>
            </w:r>
          </w:p>
        </w:tc>
      </w:tr>
      <w:tr w:rsidR="00117A2F" w:rsidRPr="00323842" w14:paraId="4F7AAD75" w14:textId="77777777" w:rsidTr="00117A2F">
        <w:trPr>
          <w:trHeight w:val="451"/>
        </w:trPr>
        <w:tc>
          <w:tcPr>
            <w:tcW w:w="2694" w:type="dxa"/>
          </w:tcPr>
          <w:p w14:paraId="4ADAF3E4" w14:textId="77777777" w:rsidR="00117A2F" w:rsidRPr="00323842" w:rsidRDefault="00117A2F" w:rsidP="0067198D">
            <w:pPr>
              <w:spacing w:before="60" w:after="60"/>
            </w:pPr>
            <w:r>
              <w:t>Lack of buy-in from stakeholders over public realm coordination.</w:t>
            </w:r>
          </w:p>
        </w:tc>
        <w:tc>
          <w:tcPr>
            <w:tcW w:w="1417" w:type="dxa"/>
          </w:tcPr>
          <w:p w14:paraId="2E145171" w14:textId="77777777" w:rsidR="00117A2F" w:rsidRPr="00323842" w:rsidRDefault="00117A2F" w:rsidP="0067198D">
            <w:pPr>
              <w:spacing w:before="60" w:after="60"/>
            </w:pPr>
            <w:r>
              <w:t>Low</w:t>
            </w:r>
          </w:p>
        </w:tc>
        <w:tc>
          <w:tcPr>
            <w:tcW w:w="1418" w:type="dxa"/>
          </w:tcPr>
          <w:p w14:paraId="5C8523AE" w14:textId="77777777" w:rsidR="00117A2F" w:rsidRPr="00323842" w:rsidRDefault="00117A2F" w:rsidP="0067198D">
            <w:pPr>
              <w:spacing w:before="60" w:after="60"/>
            </w:pPr>
            <w:r>
              <w:t>Medium</w:t>
            </w:r>
          </w:p>
        </w:tc>
        <w:tc>
          <w:tcPr>
            <w:tcW w:w="4252" w:type="dxa"/>
          </w:tcPr>
          <w:p w14:paraId="7AB6BCEC" w14:textId="77777777" w:rsidR="00117A2F" w:rsidRPr="00323842" w:rsidRDefault="00117A2F" w:rsidP="0067198D">
            <w:pPr>
              <w:spacing w:before="60" w:after="60"/>
            </w:pPr>
            <w:r>
              <w:t>Engagement to date has indicated broad support.</w:t>
            </w:r>
          </w:p>
        </w:tc>
      </w:tr>
      <w:tr w:rsidR="00117A2F" w:rsidRPr="00323842" w14:paraId="4C2C7938" w14:textId="77777777" w:rsidTr="00117A2F">
        <w:trPr>
          <w:trHeight w:val="451"/>
        </w:trPr>
        <w:tc>
          <w:tcPr>
            <w:tcW w:w="2694" w:type="dxa"/>
          </w:tcPr>
          <w:p w14:paraId="305D47EF" w14:textId="77777777" w:rsidR="00117A2F" w:rsidRPr="00323842" w:rsidRDefault="00117A2F" w:rsidP="0067198D">
            <w:pPr>
              <w:spacing w:before="60" w:after="60"/>
            </w:pPr>
            <w:r w:rsidRPr="00643124">
              <w:t>Limited developers and stakeholders buy-in to cultural placemaking</w:t>
            </w:r>
            <w:r>
              <w:t>.</w:t>
            </w:r>
          </w:p>
        </w:tc>
        <w:tc>
          <w:tcPr>
            <w:tcW w:w="1417" w:type="dxa"/>
          </w:tcPr>
          <w:p w14:paraId="00B59A9A" w14:textId="77777777" w:rsidR="00117A2F" w:rsidRPr="00323842" w:rsidRDefault="00117A2F" w:rsidP="0067198D">
            <w:pPr>
              <w:spacing w:before="60" w:after="60"/>
            </w:pPr>
            <w:r w:rsidRPr="00643124">
              <w:t>Medium</w:t>
            </w:r>
          </w:p>
        </w:tc>
        <w:tc>
          <w:tcPr>
            <w:tcW w:w="1418" w:type="dxa"/>
          </w:tcPr>
          <w:p w14:paraId="51F8C662" w14:textId="77777777" w:rsidR="00117A2F" w:rsidRPr="00323842" w:rsidRDefault="00117A2F" w:rsidP="0067198D">
            <w:pPr>
              <w:spacing w:before="60" w:after="60"/>
            </w:pPr>
            <w:r w:rsidRPr="00643124">
              <w:t>High</w:t>
            </w:r>
          </w:p>
        </w:tc>
        <w:tc>
          <w:tcPr>
            <w:tcW w:w="4252" w:type="dxa"/>
          </w:tcPr>
          <w:p w14:paraId="4FDF7F89" w14:textId="77777777" w:rsidR="00117A2F" w:rsidRPr="00323842" w:rsidRDefault="00117A2F" w:rsidP="0067198D">
            <w:pPr>
              <w:spacing w:before="60" w:after="60"/>
            </w:pPr>
            <w:r>
              <w:t xml:space="preserve">The </w:t>
            </w:r>
            <w:r w:rsidRPr="00643124">
              <w:t>P</w:t>
            </w:r>
            <w:r>
              <w:t xml:space="preserve">lacemaking and Promotion Partnership collaboration, and the shared three-year plan, </w:t>
            </w:r>
            <w:r w:rsidRPr="00643124">
              <w:t xml:space="preserve">will ensure robust partnership working around cultural placemaking development and delivery. </w:t>
            </w:r>
          </w:p>
        </w:tc>
      </w:tr>
      <w:tr w:rsidR="00117A2F" w:rsidRPr="00323842" w14:paraId="68A4A400" w14:textId="77777777" w:rsidTr="00117A2F">
        <w:trPr>
          <w:trHeight w:val="451"/>
        </w:trPr>
        <w:tc>
          <w:tcPr>
            <w:tcW w:w="2694" w:type="dxa"/>
          </w:tcPr>
          <w:p w14:paraId="61333A00" w14:textId="77777777" w:rsidR="00117A2F" w:rsidRPr="00323842" w:rsidRDefault="00117A2F" w:rsidP="0067198D">
            <w:pPr>
              <w:spacing w:before="60" w:after="60"/>
            </w:pPr>
            <w:r w:rsidRPr="00643124">
              <w:t>Poor attendance and footfall at events and activities</w:t>
            </w:r>
            <w:r>
              <w:t>.</w:t>
            </w:r>
          </w:p>
        </w:tc>
        <w:tc>
          <w:tcPr>
            <w:tcW w:w="1417" w:type="dxa"/>
          </w:tcPr>
          <w:p w14:paraId="41EA13D4" w14:textId="77777777" w:rsidR="00117A2F" w:rsidRPr="00323842" w:rsidRDefault="00117A2F" w:rsidP="0067198D">
            <w:pPr>
              <w:spacing w:before="60" w:after="60"/>
            </w:pPr>
            <w:r w:rsidRPr="00643124">
              <w:t xml:space="preserve">Low </w:t>
            </w:r>
          </w:p>
        </w:tc>
        <w:tc>
          <w:tcPr>
            <w:tcW w:w="1418" w:type="dxa"/>
          </w:tcPr>
          <w:p w14:paraId="4C0775F8" w14:textId="77777777" w:rsidR="00117A2F" w:rsidRPr="00323842" w:rsidRDefault="00117A2F" w:rsidP="0067198D">
            <w:pPr>
              <w:spacing w:before="60" w:after="60"/>
            </w:pPr>
            <w:r w:rsidRPr="00643124">
              <w:t>Medium</w:t>
            </w:r>
          </w:p>
        </w:tc>
        <w:tc>
          <w:tcPr>
            <w:tcW w:w="4252" w:type="dxa"/>
          </w:tcPr>
          <w:p w14:paraId="55458FA6" w14:textId="77777777" w:rsidR="00117A2F" w:rsidRPr="00323842" w:rsidRDefault="00117A2F" w:rsidP="0067198D">
            <w:pPr>
              <w:spacing w:before="60" w:after="60"/>
            </w:pPr>
            <w:r w:rsidRPr="00643124">
              <w:t>Programming and Marketing campaigns work collectively.</w:t>
            </w:r>
            <w:r>
              <w:t xml:space="preserve"> </w:t>
            </w:r>
            <w:r w:rsidRPr="00643124">
              <w:t>Close work with strategic partners</w:t>
            </w:r>
            <w:r>
              <w:t>,</w:t>
            </w:r>
            <w:r w:rsidRPr="00643124">
              <w:t xml:space="preserve"> through the Placemaking and </w:t>
            </w:r>
            <w:r w:rsidRPr="00643124">
              <w:lastRenderedPageBreak/>
              <w:t>Promotion Partnership</w:t>
            </w:r>
            <w:r>
              <w:t>,</w:t>
            </w:r>
            <w:r w:rsidRPr="00643124">
              <w:t xml:space="preserve"> to amplify reach and impact. </w:t>
            </w:r>
          </w:p>
        </w:tc>
      </w:tr>
    </w:tbl>
    <w:p w14:paraId="0714A6FF" w14:textId="77777777" w:rsidR="003633A2" w:rsidRDefault="003633A2" w:rsidP="00117A2F">
      <w:pPr>
        <w:spacing w:after="200"/>
        <w:rPr>
          <w:bCs/>
          <w:u w:val="single"/>
        </w:rPr>
      </w:pPr>
    </w:p>
    <w:p w14:paraId="32B31231" w14:textId="51961E49" w:rsidR="000A40CC" w:rsidRPr="00E909EA" w:rsidRDefault="000A40CC" w:rsidP="00FD24B0">
      <w:pPr>
        <w:spacing w:after="200"/>
        <w:ind w:firstLine="567"/>
        <w:rPr>
          <w:bCs/>
          <w:u w:val="single"/>
        </w:rPr>
      </w:pPr>
      <w:r w:rsidRPr="00E909EA">
        <w:rPr>
          <w:bCs/>
          <w:u w:val="single"/>
        </w:rPr>
        <w:t>Links to Mayoral strategies and priorities</w:t>
      </w:r>
    </w:p>
    <w:p w14:paraId="23B2566D" w14:textId="0D76541B" w:rsidR="00F906C2" w:rsidRPr="00F76018" w:rsidRDefault="004B6E33" w:rsidP="00FD24B0">
      <w:pPr>
        <w:numPr>
          <w:ilvl w:val="1"/>
          <w:numId w:val="28"/>
        </w:numPr>
        <w:spacing w:after="200"/>
        <w:ind w:left="567" w:hanging="567"/>
        <w:rPr>
          <w:rFonts w:cs="Arial"/>
        </w:rPr>
      </w:pPr>
      <w:r w:rsidRPr="004B6E33">
        <w:rPr>
          <w:rFonts w:eastAsia="Arial" w:cs="Arial"/>
        </w:rPr>
        <w:t>The Royal Docks Public Realm and Cultural Placemaking Programme directly supports the</w:t>
      </w:r>
      <w:r w:rsidR="00F906C2">
        <w:rPr>
          <w:rFonts w:eastAsia="Arial" w:cs="Arial"/>
        </w:rPr>
        <w:t xml:space="preserve"> following</w:t>
      </w:r>
      <w:r w:rsidRPr="004B6E33">
        <w:rPr>
          <w:rFonts w:eastAsia="Arial" w:cs="Arial"/>
        </w:rPr>
        <w:t xml:space="preserve"> Mayoral </w:t>
      </w:r>
      <w:r w:rsidR="00117A2F">
        <w:rPr>
          <w:rFonts w:eastAsia="Arial" w:cs="Arial"/>
        </w:rPr>
        <w:t>programmes</w:t>
      </w:r>
      <w:r w:rsidR="00F906C2">
        <w:rPr>
          <w:rFonts w:eastAsia="Arial" w:cs="Arial"/>
        </w:rPr>
        <w:t>:</w:t>
      </w:r>
      <w:r w:rsidRPr="004B6E33">
        <w:rPr>
          <w:rFonts w:eastAsia="Arial" w:cs="Arial"/>
        </w:rPr>
        <w:t xml:space="preserve"> </w:t>
      </w:r>
    </w:p>
    <w:p w14:paraId="54BD2365" w14:textId="6B4E9A03" w:rsidR="00D007B6" w:rsidRDefault="00D007B6" w:rsidP="00F76018">
      <w:pPr>
        <w:pStyle w:val="ListParagraph"/>
        <w:numPr>
          <w:ilvl w:val="0"/>
          <w:numId w:val="57"/>
        </w:numPr>
        <w:spacing w:after="200"/>
        <w:ind w:left="993" w:hanging="284"/>
        <w:contextualSpacing w:val="0"/>
        <w:rPr>
          <w:rFonts w:eastAsia="Arial" w:cs="Arial"/>
        </w:rPr>
      </w:pPr>
      <w:r>
        <w:rPr>
          <w:rFonts w:eastAsia="Arial" w:cs="Arial"/>
        </w:rPr>
        <w:t>building more homes</w:t>
      </w:r>
    </w:p>
    <w:p w14:paraId="751D1BD7" w14:textId="2F5115C6" w:rsidR="00F906C2" w:rsidRPr="00F906C2" w:rsidRDefault="00F906C2" w:rsidP="00F76018">
      <w:pPr>
        <w:pStyle w:val="ListParagraph"/>
        <w:numPr>
          <w:ilvl w:val="0"/>
          <w:numId w:val="57"/>
        </w:numPr>
        <w:spacing w:after="200"/>
        <w:ind w:left="993" w:hanging="284"/>
        <w:contextualSpacing w:val="0"/>
        <w:rPr>
          <w:rFonts w:eastAsia="Arial" w:cs="Arial"/>
        </w:rPr>
      </w:pPr>
      <w:r w:rsidRPr="00F906C2">
        <w:rPr>
          <w:rFonts w:eastAsia="Arial" w:cs="Arial"/>
        </w:rPr>
        <w:t xml:space="preserve">upgrading </w:t>
      </w:r>
      <w:r w:rsidR="005061CC" w:rsidRPr="00F906C2">
        <w:rPr>
          <w:rFonts w:eastAsia="Arial" w:cs="Arial"/>
        </w:rPr>
        <w:t xml:space="preserve">London’s infrastructure </w:t>
      </w:r>
    </w:p>
    <w:p w14:paraId="32E3A915" w14:textId="457DE783" w:rsidR="00F906C2" w:rsidRPr="00F906C2" w:rsidRDefault="00F906C2" w:rsidP="00F76018">
      <w:pPr>
        <w:pStyle w:val="ListParagraph"/>
        <w:numPr>
          <w:ilvl w:val="0"/>
          <w:numId w:val="57"/>
        </w:numPr>
        <w:spacing w:after="200"/>
        <w:ind w:left="993" w:hanging="284"/>
        <w:contextualSpacing w:val="0"/>
        <w:rPr>
          <w:rFonts w:eastAsia="Arial" w:cs="Arial"/>
        </w:rPr>
      </w:pPr>
      <w:r>
        <w:rPr>
          <w:rFonts w:eastAsia="Arial" w:cs="Arial"/>
        </w:rPr>
        <w:t>s</w:t>
      </w:r>
      <w:r w:rsidR="004B6E33" w:rsidRPr="00F906C2">
        <w:rPr>
          <w:rFonts w:eastAsia="Arial" w:cs="Arial"/>
        </w:rPr>
        <w:t xml:space="preserve">upporting community, cultural and sporting events in London. </w:t>
      </w:r>
    </w:p>
    <w:p w14:paraId="4DE68F90" w14:textId="569F5ED1" w:rsidR="001D6054" w:rsidRPr="004B6E33" w:rsidRDefault="004B6E33" w:rsidP="00F76018">
      <w:pPr>
        <w:spacing w:after="200"/>
        <w:ind w:left="567"/>
        <w:rPr>
          <w:rFonts w:cs="Arial"/>
        </w:rPr>
      </w:pPr>
      <w:r w:rsidRPr="004B6E33">
        <w:rPr>
          <w:rFonts w:eastAsia="Arial" w:cs="Arial"/>
        </w:rPr>
        <w:t xml:space="preserve">It </w:t>
      </w:r>
      <w:r w:rsidR="00F906C2">
        <w:rPr>
          <w:rFonts w:eastAsia="Arial" w:cs="Arial"/>
        </w:rPr>
        <w:t>indirectly</w:t>
      </w:r>
      <w:r w:rsidR="00F906C2" w:rsidRPr="004B6E33">
        <w:rPr>
          <w:rFonts w:eastAsia="Arial" w:cs="Arial"/>
        </w:rPr>
        <w:t xml:space="preserve"> </w:t>
      </w:r>
      <w:r w:rsidR="00F906C2">
        <w:rPr>
          <w:rFonts w:eastAsia="Arial" w:cs="Arial"/>
        </w:rPr>
        <w:t>supports</w:t>
      </w:r>
      <w:r w:rsidRPr="004B6E33">
        <w:rPr>
          <w:rFonts w:eastAsia="Arial" w:cs="Arial"/>
        </w:rPr>
        <w:t xml:space="preserve"> the following </w:t>
      </w:r>
      <w:r w:rsidR="00117A2F">
        <w:rPr>
          <w:rFonts w:eastAsia="Arial" w:cs="Arial"/>
        </w:rPr>
        <w:t>programmes</w:t>
      </w:r>
      <w:r w:rsidRPr="004B6E33">
        <w:rPr>
          <w:rFonts w:eastAsia="Arial" w:cs="Arial"/>
        </w:rPr>
        <w:t>:</w:t>
      </w:r>
    </w:p>
    <w:p w14:paraId="25C38415" w14:textId="33EC2A92" w:rsidR="005061CC" w:rsidRDefault="005061CC" w:rsidP="00FD24B0">
      <w:pPr>
        <w:pStyle w:val="ListParagraph"/>
        <w:numPr>
          <w:ilvl w:val="0"/>
          <w:numId w:val="34"/>
        </w:numPr>
        <w:spacing w:after="200"/>
        <w:ind w:left="992" w:hanging="283"/>
        <w:contextualSpacing w:val="0"/>
        <w:rPr>
          <w:color w:val="000000" w:themeColor="text1"/>
        </w:rPr>
      </w:pPr>
      <w:r>
        <w:rPr>
          <w:color w:val="000000" w:themeColor="text1"/>
        </w:rPr>
        <w:t>s</w:t>
      </w:r>
      <w:r w:rsidRPr="007A13E1">
        <w:rPr>
          <w:color w:val="000000" w:themeColor="text1"/>
        </w:rPr>
        <w:t>upport</w:t>
      </w:r>
      <w:r>
        <w:rPr>
          <w:color w:val="000000" w:themeColor="text1"/>
        </w:rPr>
        <w:t>ing Londoners to benefit from growth</w:t>
      </w:r>
    </w:p>
    <w:p w14:paraId="58AEF005" w14:textId="77777777" w:rsidR="005061CC" w:rsidRDefault="005061CC" w:rsidP="00FD24B0">
      <w:pPr>
        <w:pStyle w:val="ListParagraph"/>
        <w:numPr>
          <w:ilvl w:val="0"/>
          <w:numId w:val="34"/>
        </w:numPr>
        <w:spacing w:after="200"/>
        <w:ind w:left="992" w:hanging="283"/>
        <w:contextualSpacing w:val="0"/>
        <w:rPr>
          <w:color w:val="000000" w:themeColor="text1"/>
        </w:rPr>
      </w:pPr>
      <w:r>
        <w:rPr>
          <w:color w:val="000000" w:themeColor="text1"/>
        </w:rPr>
        <w:t xml:space="preserve">supporting and inspiring young Londoners </w:t>
      </w:r>
    </w:p>
    <w:p w14:paraId="4ED2471F" w14:textId="284BD0D7" w:rsidR="005061CC" w:rsidRDefault="005061CC" w:rsidP="00FD24B0">
      <w:pPr>
        <w:pStyle w:val="ListParagraph"/>
        <w:numPr>
          <w:ilvl w:val="0"/>
          <w:numId w:val="34"/>
        </w:numPr>
        <w:spacing w:after="200"/>
        <w:ind w:left="992" w:hanging="283"/>
        <w:contextualSpacing w:val="0"/>
        <w:rPr>
          <w:color w:val="000000" w:themeColor="text1"/>
        </w:rPr>
      </w:pPr>
      <w:r>
        <w:rPr>
          <w:color w:val="000000" w:themeColor="text1"/>
        </w:rPr>
        <w:t>m</w:t>
      </w:r>
      <w:r w:rsidRPr="007A13E1">
        <w:rPr>
          <w:color w:val="000000" w:themeColor="text1"/>
        </w:rPr>
        <w:t xml:space="preserve">aking </w:t>
      </w:r>
      <w:r w:rsidR="00117A2F">
        <w:rPr>
          <w:color w:val="000000" w:themeColor="text1"/>
        </w:rPr>
        <w:t>best use</w:t>
      </w:r>
      <w:r w:rsidRPr="007A13E1">
        <w:rPr>
          <w:color w:val="000000" w:themeColor="text1"/>
        </w:rPr>
        <w:t xml:space="preserve"> of land</w:t>
      </w:r>
      <w:r>
        <w:rPr>
          <w:color w:val="000000" w:themeColor="text1"/>
        </w:rPr>
        <w:t xml:space="preserve"> </w:t>
      </w:r>
    </w:p>
    <w:p w14:paraId="73FF539D" w14:textId="4616350A" w:rsidR="005061CC" w:rsidRPr="007A5604" w:rsidRDefault="005061CC" w:rsidP="00FD24B0">
      <w:pPr>
        <w:pStyle w:val="ListParagraph"/>
        <w:numPr>
          <w:ilvl w:val="0"/>
          <w:numId w:val="34"/>
        </w:numPr>
        <w:spacing w:after="200"/>
        <w:ind w:left="992" w:hanging="283"/>
        <w:contextualSpacing w:val="0"/>
        <w:rPr>
          <w:color w:val="000000" w:themeColor="text1"/>
        </w:rPr>
      </w:pPr>
      <w:r w:rsidRPr="00744BBD">
        <w:rPr>
          <w:rFonts w:eastAsia="Arial" w:cs="Arial"/>
        </w:rPr>
        <w:t>delivering a greener</w:t>
      </w:r>
      <w:r w:rsidR="00F906C2">
        <w:rPr>
          <w:rFonts w:eastAsia="Arial" w:cs="Arial"/>
        </w:rPr>
        <w:t>,</w:t>
      </w:r>
      <w:r w:rsidRPr="00744BBD">
        <w:rPr>
          <w:rFonts w:eastAsia="Arial" w:cs="Arial"/>
        </w:rPr>
        <w:t xml:space="preserve"> more climate</w:t>
      </w:r>
      <w:r w:rsidR="0002384A">
        <w:rPr>
          <w:rFonts w:eastAsia="Arial" w:cs="Arial"/>
        </w:rPr>
        <w:t>-</w:t>
      </w:r>
      <w:r w:rsidRPr="00744BBD">
        <w:rPr>
          <w:rFonts w:eastAsia="Arial" w:cs="Arial"/>
        </w:rPr>
        <w:t>resilient London</w:t>
      </w:r>
    </w:p>
    <w:p w14:paraId="2537A8B2" w14:textId="5CFDAAF4" w:rsidR="005061CC" w:rsidRPr="007A5604" w:rsidRDefault="00F906C2" w:rsidP="00FD24B0">
      <w:pPr>
        <w:pStyle w:val="ListParagraph"/>
        <w:numPr>
          <w:ilvl w:val="0"/>
          <w:numId w:val="34"/>
        </w:numPr>
        <w:spacing w:after="200"/>
        <w:ind w:left="992" w:hanging="283"/>
        <w:contextualSpacing w:val="0"/>
        <w:rPr>
          <w:color w:val="000000" w:themeColor="text1"/>
        </w:rPr>
      </w:pPr>
      <w:r>
        <w:rPr>
          <w:color w:val="000000" w:themeColor="text1"/>
        </w:rPr>
        <w:t xml:space="preserve">helping </w:t>
      </w:r>
      <w:r w:rsidR="005061CC">
        <w:rPr>
          <w:color w:val="000000" w:themeColor="text1"/>
        </w:rPr>
        <w:t xml:space="preserve">local economies to thrive </w:t>
      </w:r>
    </w:p>
    <w:p w14:paraId="69085351" w14:textId="0A94492E" w:rsidR="00744BBD" w:rsidRPr="005061CC" w:rsidRDefault="00F906C2" w:rsidP="00F76018">
      <w:pPr>
        <w:pStyle w:val="ListParagraph"/>
        <w:numPr>
          <w:ilvl w:val="0"/>
          <w:numId w:val="34"/>
        </w:numPr>
        <w:spacing w:after="200"/>
        <w:ind w:left="992" w:hanging="283"/>
        <w:contextualSpacing w:val="0"/>
        <w:rPr>
          <w:rFonts w:eastAsia="Arial" w:cs="Arial"/>
        </w:rPr>
      </w:pPr>
      <w:r>
        <w:rPr>
          <w:rFonts w:eastAsia="Arial" w:cs="Arial"/>
        </w:rPr>
        <w:t>b</w:t>
      </w:r>
      <w:r w:rsidRPr="007A5604">
        <w:rPr>
          <w:rFonts w:eastAsia="Arial" w:cs="Arial"/>
        </w:rPr>
        <w:t xml:space="preserve">oosting </w:t>
      </w:r>
      <w:r w:rsidR="005061CC" w:rsidRPr="007A5604">
        <w:rPr>
          <w:rFonts w:eastAsia="Arial" w:cs="Arial"/>
        </w:rPr>
        <w:t>London’s growth sectors</w:t>
      </w:r>
      <w:r>
        <w:rPr>
          <w:rFonts w:eastAsia="Arial" w:cs="Arial"/>
        </w:rPr>
        <w:t>.</w:t>
      </w:r>
    </w:p>
    <w:p w14:paraId="1600BD05" w14:textId="73D4089F" w:rsidR="001D6054" w:rsidRDefault="000A40CC" w:rsidP="00FD24B0">
      <w:pPr>
        <w:spacing w:after="200"/>
        <w:ind w:left="567"/>
        <w:rPr>
          <w:rFonts w:eastAsia="Arial" w:cs="Arial"/>
        </w:rPr>
      </w:pPr>
      <w:r>
        <w:rPr>
          <w:rFonts w:eastAsia="Arial" w:cs="Arial"/>
        </w:rPr>
        <w:t xml:space="preserve">It also delivers </w:t>
      </w:r>
      <w:r w:rsidRPr="00E909EA">
        <w:rPr>
          <w:rFonts w:eastAsia="Arial" w:cs="Arial"/>
        </w:rPr>
        <w:t>against a range of Mayor of London policies</w:t>
      </w:r>
      <w:r w:rsidR="00F906C2">
        <w:rPr>
          <w:rFonts w:eastAsia="Arial" w:cs="Arial"/>
        </w:rPr>
        <w:t>,</w:t>
      </w:r>
      <w:r w:rsidRPr="00E909EA">
        <w:rPr>
          <w:rFonts w:eastAsia="Arial" w:cs="Arial"/>
        </w:rPr>
        <w:t xml:space="preserve"> including</w:t>
      </w:r>
      <w:r w:rsidR="001D6054">
        <w:rPr>
          <w:rFonts w:eastAsia="Arial" w:cs="Arial"/>
        </w:rPr>
        <w:t>:</w:t>
      </w:r>
      <w:r w:rsidRPr="00E909EA">
        <w:rPr>
          <w:rFonts w:eastAsia="Arial" w:cs="Arial"/>
        </w:rPr>
        <w:t xml:space="preserve"> </w:t>
      </w:r>
    </w:p>
    <w:p w14:paraId="0E79B8B6" w14:textId="77777777" w:rsidR="001D6054" w:rsidRPr="001D6054" w:rsidRDefault="000A40CC" w:rsidP="00FD24B0">
      <w:pPr>
        <w:pStyle w:val="ListParagraph"/>
        <w:numPr>
          <w:ilvl w:val="0"/>
          <w:numId w:val="36"/>
        </w:numPr>
        <w:spacing w:after="200"/>
        <w:ind w:left="993" w:hanging="284"/>
        <w:contextualSpacing w:val="0"/>
        <w:rPr>
          <w:rFonts w:eastAsia="Arial" w:cs="Arial"/>
        </w:rPr>
      </w:pPr>
      <w:r w:rsidRPr="001D6054">
        <w:rPr>
          <w:rFonts w:eastAsia="Arial" w:cs="Arial"/>
        </w:rPr>
        <w:t>the London Plan</w:t>
      </w:r>
    </w:p>
    <w:p w14:paraId="14B49175" w14:textId="323BB801" w:rsidR="001D6054" w:rsidRPr="001D6054" w:rsidRDefault="000A40CC" w:rsidP="00FD24B0">
      <w:pPr>
        <w:pStyle w:val="ListParagraph"/>
        <w:numPr>
          <w:ilvl w:val="0"/>
          <w:numId w:val="36"/>
        </w:numPr>
        <w:spacing w:after="200"/>
        <w:ind w:left="993" w:hanging="284"/>
        <w:contextualSpacing w:val="0"/>
        <w:rPr>
          <w:rFonts w:eastAsia="Arial" w:cs="Arial"/>
        </w:rPr>
      </w:pPr>
      <w:r w:rsidRPr="001D6054">
        <w:rPr>
          <w:rFonts w:eastAsia="Arial" w:cs="Arial"/>
        </w:rPr>
        <w:t>the Economic Development Strategy</w:t>
      </w:r>
    </w:p>
    <w:p w14:paraId="75D636C3" w14:textId="380EDCA0" w:rsidR="001D6054" w:rsidRPr="001D6054" w:rsidRDefault="001D6054" w:rsidP="00FD24B0">
      <w:pPr>
        <w:pStyle w:val="ListParagraph"/>
        <w:numPr>
          <w:ilvl w:val="0"/>
          <w:numId w:val="36"/>
        </w:numPr>
        <w:spacing w:after="200"/>
        <w:ind w:left="993" w:hanging="284"/>
        <w:contextualSpacing w:val="0"/>
        <w:rPr>
          <w:rFonts w:eastAsia="Arial" w:cs="Arial"/>
        </w:rPr>
      </w:pPr>
      <w:r>
        <w:rPr>
          <w:rFonts w:eastAsia="Arial" w:cs="Arial"/>
        </w:rPr>
        <w:t xml:space="preserve">the </w:t>
      </w:r>
      <w:r w:rsidR="000A40CC" w:rsidRPr="001D6054">
        <w:rPr>
          <w:rFonts w:eastAsia="Arial" w:cs="Arial"/>
        </w:rPr>
        <w:t>Equality, Diversity and Inclusion Strategy</w:t>
      </w:r>
    </w:p>
    <w:p w14:paraId="69E976D4" w14:textId="2D32ACEF" w:rsidR="001D6054" w:rsidRPr="001D6054" w:rsidRDefault="000A40CC" w:rsidP="00FD24B0">
      <w:pPr>
        <w:pStyle w:val="ListParagraph"/>
        <w:numPr>
          <w:ilvl w:val="0"/>
          <w:numId w:val="36"/>
        </w:numPr>
        <w:spacing w:after="200"/>
        <w:ind w:left="993" w:hanging="284"/>
        <w:contextualSpacing w:val="0"/>
        <w:rPr>
          <w:rFonts w:eastAsia="Arial" w:cs="Arial"/>
        </w:rPr>
      </w:pPr>
      <w:r w:rsidRPr="001D6054">
        <w:rPr>
          <w:rFonts w:eastAsia="Arial" w:cs="Arial"/>
        </w:rPr>
        <w:t>Culture for all Londoners</w:t>
      </w:r>
    </w:p>
    <w:p w14:paraId="40FCB81C" w14:textId="0C211941" w:rsidR="001D6054" w:rsidRPr="001D6054" w:rsidRDefault="000A40CC" w:rsidP="00FD24B0">
      <w:pPr>
        <w:pStyle w:val="ListParagraph"/>
        <w:numPr>
          <w:ilvl w:val="0"/>
          <w:numId w:val="36"/>
        </w:numPr>
        <w:spacing w:after="200"/>
        <w:ind w:left="993" w:hanging="284"/>
        <w:contextualSpacing w:val="0"/>
        <w:rPr>
          <w:rFonts w:eastAsia="Arial" w:cs="Arial"/>
        </w:rPr>
      </w:pPr>
      <w:r w:rsidRPr="001D6054">
        <w:rPr>
          <w:rFonts w:eastAsia="Arial" w:cs="Arial"/>
        </w:rPr>
        <w:t>Vision for a 24-Hour City</w:t>
      </w:r>
    </w:p>
    <w:p w14:paraId="78160E5A" w14:textId="65015FEB" w:rsidR="001D6054" w:rsidRPr="001D6054" w:rsidRDefault="001D6054" w:rsidP="00FD24B0">
      <w:pPr>
        <w:pStyle w:val="ListParagraph"/>
        <w:numPr>
          <w:ilvl w:val="0"/>
          <w:numId w:val="36"/>
        </w:numPr>
        <w:spacing w:after="200"/>
        <w:ind w:left="993" w:hanging="284"/>
        <w:contextualSpacing w:val="0"/>
        <w:rPr>
          <w:rFonts w:eastAsia="Arial" w:cs="Arial"/>
        </w:rPr>
      </w:pPr>
      <w:r>
        <w:rPr>
          <w:rFonts w:eastAsia="Arial" w:cs="Arial"/>
        </w:rPr>
        <w:t xml:space="preserve">the </w:t>
      </w:r>
      <w:r w:rsidR="000A40CC" w:rsidRPr="001D6054">
        <w:rPr>
          <w:rFonts w:eastAsia="Arial" w:cs="Arial"/>
        </w:rPr>
        <w:t>Strategy for Social Integration</w:t>
      </w:r>
    </w:p>
    <w:p w14:paraId="18ECDD73" w14:textId="0B5D560D" w:rsidR="001D6054" w:rsidRPr="001D6054" w:rsidRDefault="001D6054" w:rsidP="00FD24B0">
      <w:pPr>
        <w:pStyle w:val="ListParagraph"/>
        <w:numPr>
          <w:ilvl w:val="0"/>
          <w:numId w:val="36"/>
        </w:numPr>
        <w:spacing w:after="200"/>
        <w:ind w:left="993" w:hanging="284"/>
        <w:contextualSpacing w:val="0"/>
        <w:rPr>
          <w:rFonts w:eastAsia="Arial" w:cs="Arial"/>
        </w:rPr>
      </w:pPr>
      <w:r>
        <w:rPr>
          <w:rFonts w:eastAsia="Arial" w:cs="Arial"/>
        </w:rPr>
        <w:t xml:space="preserve">the </w:t>
      </w:r>
      <w:r w:rsidR="000A40CC" w:rsidRPr="001D6054">
        <w:rPr>
          <w:rFonts w:eastAsia="Arial" w:cs="Arial"/>
        </w:rPr>
        <w:t>Healthy Streets Approach</w:t>
      </w:r>
      <w:r w:rsidRPr="001D6054">
        <w:rPr>
          <w:rFonts w:eastAsia="Arial" w:cs="Arial"/>
        </w:rPr>
        <w:t xml:space="preserve">. </w:t>
      </w:r>
    </w:p>
    <w:p w14:paraId="1ACDC1DD" w14:textId="749CA5BF" w:rsidR="000A40CC" w:rsidRPr="00744BBD" w:rsidRDefault="00744BBD" w:rsidP="00FD24B0">
      <w:pPr>
        <w:spacing w:after="200"/>
        <w:ind w:left="567"/>
        <w:rPr>
          <w:rFonts w:cs="Arial"/>
        </w:rPr>
      </w:pPr>
      <w:r w:rsidRPr="00744BBD">
        <w:rPr>
          <w:rFonts w:eastAsia="Arial" w:cs="Arial"/>
        </w:rPr>
        <w:t>The programme is aligned with the Mayor’s Equalities Framework, ensuring that economic growth and investment opportunities are inclusive and accessible to diverse communities.</w:t>
      </w:r>
    </w:p>
    <w:p w14:paraId="6292E984" w14:textId="75C82AD2" w:rsidR="000A40CC" w:rsidRPr="00E909EA" w:rsidRDefault="000A40CC" w:rsidP="00FD24B0">
      <w:pPr>
        <w:numPr>
          <w:ilvl w:val="1"/>
          <w:numId w:val="28"/>
        </w:numPr>
        <w:spacing w:after="200"/>
        <w:ind w:left="567" w:hanging="567"/>
        <w:rPr>
          <w:rFonts w:cs="Arial"/>
        </w:rPr>
      </w:pPr>
      <w:r w:rsidRPr="00E909EA">
        <w:rPr>
          <w:rFonts w:eastAsia="Arial" w:cs="Arial"/>
        </w:rPr>
        <w:t xml:space="preserve">There are no conflicts of interest to declare from anyone involved in the drafting or clearance of this </w:t>
      </w:r>
      <w:r w:rsidR="0002384A">
        <w:rPr>
          <w:rFonts w:eastAsia="Arial" w:cs="Arial"/>
        </w:rPr>
        <w:t>DD</w:t>
      </w:r>
      <w:r w:rsidRPr="00E909EA">
        <w:rPr>
          <w:rFonts w:eastAsia="Arial" w:cs="Arial"/>
        </w:rPr>
        <w:t>.</w:t>
      </w:r>
    </w:p>
    <w:p w14:paraId="2B4A5113" w14:textId="77777777" w:rsidR="00EA1F8B" w:rsidRDefault="00EA1F8B" w:rsidP="001A74E2">
      <w:pPr>
        <w:spacing w:before="200" w:after="200"/>
        <w:rPr>
          <w:rFonts w:cs="Arial"/>
        </w:rPr>
      </w:pPr>
    </w:p>
    <w:p w14:paraId="3B57C416" w14:textId="77777777" w:rsidR="00222733" w:rsidRPr="00866CB4" w:rsidRDefault="00222733" w:rsidP="00222733">
      <w:pPr>
        <w:numPr>
          <w:ilvl w:val="0"/>
          <w:numId w:val="24"/>
        </w:numPr>
        <w:spacing w:after="200"/>
        <w:ind w:left="567" w:hanging="567"/>
        <w:rPr>
          <w:rFonts w:cs="Arial"/>
          <w:b/>
        </w:rPr>
      </w:pPr>
      <w:r w:rsidRPr="00866CB4">
        <w:rPr>
          <w:rFonts w:cs="Arial"/>
          <w:b/>
        </w:rPr>
        <w:t>Financial comments</w:t>
      </w:r>
    </w:p>
    <w:p w14:paraId="360C9630" w14:textId="5A3113DE" w:rsidR="00FC4709" w:rsidRDefault="00F906C2" w:rsidP="00F76018">
      <w:pPr>
        <w:pStyle w:val="Footer"/>
        <w:numPr>
          <w:ilvl w:val="0"/>
          <w:numId w:val="53"/>
        </w:numPr>
        <w:tabs>
          <w:tab w:val="clear" w:pos="4320"/>
          <w:tab w:val="clear" w:pos="8640"/>
        </w:tabs>
        <w:spacing w:after="200"/>
        <w:ind w:left="567" w:hanging="567"/>
        <w:rPr>
          <w:rFonts w:cs="Arial"/>
        </w:rPr>
      </w:pPr>
      <w:r>
        <w:rPr>
          <w:rFonts w:cs="Arial"/>
        </w:rPr>
        <w:t xml:space="preserve">Approval is sought from the </w:t>
      </w:r>
      <w:r w:rsidR="00FC4709" w:rsidRPr="005061CC">
        <w:rPr>
          <w:rFonts w:cs="Arial"/>
        </w:rPr>
        <w:t xml:space="preserve">Executive Director of Housing and Land </w:t>
      </w:r>
      <w:r>
        <w:rPr>
          <w:rFonts w:cs="Arial"/>
        </w:rPr>
        <w:t>to spend</w:t>
      </w:r>
      <w:r w:rsidR="00FC4709" w:rsidRPr="005061CC">
        <w:rPr>
          <w:rFonts w:cs="Arial"/>
        </w:rPr>
        <w:t xml:space="preserve"> up to £1,090,000 revenue</w:t>
      </w:r>
      <w:r w:rsidR="0002384A">
        <w:rPr>
          <w:rFonts w:cs="Arial"/>
        </w:rPr>
        <w:t>,</w:t>
      </w:r>
      <w:r w:rsidR="00FC4709" w:rsidRPr="005061CC">
        <w:rPr>
          <w:rFonts w:cs="Arial"/>
        </w:rPr>
        <w:t xml:space="preserve"> between 2026-27 and 2028-29</w:t>
      </w:r>
      <w:r>
        <w:rPr>
          <w:rFonts w:cs="Arial"/>
        </w:rPr>
        <w:t>,</w:t>
      </w:r>
      <w:r w:rsidR="00FC4709" w:rsidRPr="005061CC">
        <w:rPr>
          <w:rFonts w:cs="Arial"/>
        </w:rPr>
        <w:t xml:space="preserve"> to deliver the Royal Docks Public Realm and Cultural Placemaking Programme. This forms part of the Royal Docks Delivery Plan for 2024-29</w:t>
      </w:r>
      <w:r w:rsidR="00FF46E0">
        <w:rPr>
          <w:rFonts w:cs="Arial"/>
        </w:rPr>
        <w:t xml:space="preserve"> </w:t>
      </w:r>
      <w:r w:rsidR="00FF46E0" w:rsidRPr="00A95A4B">
        <w:rPr>
          <w:rFonts w:cs="Arial"/>
        </w:rPr>
        <w:t>approved under MD3230</w:t>
      </w:r>
      <w:r w:rsidR="00FF46E0">
        <w:rPr>
          <w:rFonts w:cs="Arial"/>
        </w:rPr>
        <w:t>.</w:t>
      </w:r>
    </w:p>
    <w:p w14:paraId="3035FBD5" w14:textId="77777777" w:rsidR="00452BD8" w:rsidRDefault="00FF46E0" w:rsidP="00452BD8">
      <w:pPr>
        <w:pStyle w:val="Footer"/>
        <w:numPr>
          <w:ilvl w:val="0"/>
          <w:numId w:val="53"/>
        </w:numPr>
        <w:tabs>
          <w:tab w:val="clear" w:pos="4320"/>
          <w:tab w:val="clear" w:pos="8640"/>
        </w:tabs>
        <w:spacing w:after="200"/>
        <w:ind w:left="567" w:hanging="567"/>
        <w:rPr>
          <w:rFonts w:cs="Arial"/>
        </w:rPr>
      </w:pPr>
      <w:r w:rsidRPr="00A95A4B">
        <w:rPr>
          <w:rFonts w:cs="Arial"/>
        </w:rPr>
        <w:lastRenderedPageBreak/>
        <w:t xml:space="preserve">This </w:t>
      </w:r>
      <w:r w:rsidR="00452BD8">
        <w:rPr>
          <w:rFonts w:cs="Arial"/>
        </w:rPr>
        <w:t xml:space="preserve">expenditure </w:t>
      </w:r>
      <w:r w:rsidRPr="00A95A4B">
        <w:rPr>
          <w:rFonts w:cs="Arial"/>
        </w:rPr>
        <w:t>is to be funded from Royal Dock’s 2026-27 revenue budget and planned budgets to 2028-29</w:t>
      </w:r>
      <w:r w:rsidR="00452BD8">
        <w:rPr>
          <w:rFonts w:cs="Arial"/>
        </w:rPr>
        <w:t>,</w:t>
      </w:r>
      <w:r w:rsidRPr="00A95A4B">
        <w:rPr>
          <w:rFonts w:cs="Arial"/>
        </w:rPr>
        <w:t xml:space="preserve"> which is funded from the Royal Docks </w:t>
      </w:r>
      <w:r>
        <w:rPr>
          <w:rFonts w:cs="Arial"/>
        </w:rPr>
        <w:t>EZ</w:t>
      </w:r>
      <w:r w:rsidRPr="00A95A4B">
        <w:rPr>
          <w:rFonts w:cs="Arial"/>
        </w:rPr>
        <w:t xml:space="preserve"> business rate income from London Borough of Newham</w:t>
      </w:r>
      <w:r>
        <w:rPr>
          <w:rFonts w:cs="Arial"/>
        </w:rPr>
        <w:t>.</w:t>
      </w:r>
    </w:p>
    <w:p w14:paraId="339348FA" w14:textId="56CDCCC8" w:rsidR="00452BD8" w:rsidRPr="00452BD8" w:rsidRDefault="00452BD8" w:rsidP="00452BD8">
      <w:pPr>
        <w:pStyle w:val="Footer"/>
        <w:numPr>
          <w:ilvl w:val="0"/>
          <w:numId w:val="53"/>
        </w:numPr>
        <w:tabs>
          <w:tab w:val="clear" w:pos="4320"/>
          <w:tab w:val="clear" w:pos="8640"/>
        </w:tabs>
        <w:spacing w:after="200"/>
        <w:ind w:left="567" w:hanging="567"/>
        <w:rPr>
          <w:rFonts w:cs="Arial"/>
        </w:rPr>
      </w:pPr>
      <w:r w:rsidRPr="00452BD8">
        <w:rPr>
          <w:rFonts w:cs="Arial"/>
        </w:rPr>
        <w:t xml:space="preserve">As future years budget and funding is subject to budget setting process and </w:t>
      </w:r>
      <w:proofErr w:type="gramStart"/>
      <w:r w:rsidRPr="00452BD8">
        <w:rPr>
          <w:rFonts w:cs="Arial"/>
        </w:rPr>
        <w:t>approvals,</w:t>
      </w:r>
      <w:proofErr w:type="gramEnd"/>
      <w:r w:rsidRPr="00452BD8">
        <w:rPr>
          <w:rFonts w:cs="Arial"/>
        </w:rPr>
        <w:t xml:space="preserve"> to mitigate against risk of insufficient funding, a break clause should be included in the contracts and funding agreements should funding change for future years. Any shortfall in income for future years may also be expected to be met with available funds from the Royal Docks EZ Reserve Account.</w:t>
      </w:r>
    </w:p>
    <w:p w14:paraId="1C19DC4F" w14:textId="77777777" w:rsidR="00FC4709" w:rsidRDefault="00FC4709" w:rsidP="005061CC">
      <w:pPr>
        <w:pStyle w:val="Footer"/>
        <w:tabs>
          <w:tab w:val="clear" w:pos="4320"/>
          <w:tab w:val="clear" w:pos="8640"/>
        </w:tabs>
        <w:spacing w:after="200"/>
        <w:ind w:left="567" w:hanging="567"/>
        <w:rPr>
          <w:rFonts w:cs="Arial"/>
        </w:rPr>
      </w:pPr>
    </w:p>
    <w:p w14:paraId="3E30279B" w14:textId="77777777" w:rsidR="00222733" w:rsidRPr="00866CB4" w:rsidRDefault="00222733" w:rsidP="00222733">
      <w:pPr>
        <w:numPr>
          <w:ilvl w:val="0"/>
          <w:numId w:val="24"/>
        </w:numPr>
        <w:spacing w:after="200"/>
        <w:ind w:left="567" w:hanging="567"/>
        <w:rPr>
          <w:rFonts w:cs="Arial"/>
          <w:b/>
        </w:rPr>
      </w:pPr>
      <w:r w:rsidRPr="00866CB4">
        <w:rPr>
          <w:rFonts w:cs="Arial"/>
          <w:b/>
        </w:rPr>
        <w:t>Legal comments</w:t>
      </w:r>
    </w:p>
    <w:p w14:paraId="5C59B1FB" w14:textId="3FF4D93A" w:rsidR="001A74E2" w:rsidRPr="00256FA4" w:rsidRDefault="001A74E2" w:rsidP="001A74E2">
      <w:pPr>
        <w:pStyle w:val="ListParagraph"/>
        <w:numPr>
          <w:ilvl w:val="1"/>
          <w:numId w:val="38"/>
        </w:numPr>
        <w:spacing w:after="200"/>
        <w:ind w:left="567" w:hanging="567"/>
        <w:contextualSpacing w:val="0"/>
        <w:rPr>
          <w:rFonts w:eastAsia="Arial" w:cs="Arial"/>
        </w:rPr>
      </w:pPr>
      <w:r>
        <w:rPr>
          <w:rFonts w:cs="Arial"/>
        </w:rPr>
        <w:t>The</w:t>
      </w:r>
      <w:r w:rsidRPr="00256FA4">
        <w:rPr>
          <w:rFonts w:eastAsia="Arial" w:cs="Arial"/>
        </w:rPr>
        <w:t xml:space="preserve"> foregoing sections of this report indicate that the decisions requested of the Director concern the exercise of the GLA’s general powers</w:t>
      </w:r>
      <w:r w:rsidR="00EB4398">
        <w:rPr>
          <w:rFonts w:eastAsia="Arial" w:cs="Arial"/>
        </w:rPr>
        <w:t>,</w:t>
      </w:r>
      <w:r w:rsidRPr="00256FA4">
        <w:rPr>
          <w:rFonts w:eastAsia="Arial" w:cs="Arial"/>
        </w:rPr>
        <w:t xml:space="preserve"> falling within the GLA’s statutory powers to do such things considered to further</w:t>
      </w:r>
      <w:r w:rsidR="00EB4398">
        <w:rPr>
          <w:rFonts w:eastAsia="Arial" w:cs="Arial"/>
        </w:rPr>
        <w:t>,</w:t>
      </w:r>
      <w:r w:rsidRPr="00256FA4">
        <w:rPr>
          <w:rFonts w:eastAsia="Arial" w:cs="Arial"/>
        </w:rPr>
        <w:t xml:space="preserve"> or </w:t>
      </w:r>
      <w:r w:rsidR="00EB4398">
        <w:rPr>
          <w:rFonts w:eastAsia="Arial" w:cs="Arial"/>
        </w:rPr>
        <w:t>that</w:t>
      </w:r>
      <w:r w:rsidR="00EB4398" w:rsidRPr="00256FA4">
        <w:rPr>
          <w:rFonts w:eastAsia="Arial" w:cs="Arial"/>
        </w:rPr>
        <w:t xml:space="preserve"> </w:t>
      </w:r>
      <w:r w:rsidRPr="00256FA4">
        <w:rPr>
          <w:rFonts w:eastAsia="Arial" w:cs="Arial"/>
        </w:rPr>
        <w:t>are facilitative of,</w:t>
      </w:r>
      <w:r w:rsidR="00EB4398">
        <w:rPr>
          <w:rFonts w:eastAsia="Arial" w:cs="Arial"/>
        </w:rPr>
        <w:t xml:space="preserve"> or</w:t>
      </w:r>
      <w:r w:rsidRPr="00256FA4">
        <w:rPr>
          <w:rFonts w:eastAsia="Arial" w:cs="Arial"/>
        </w:rPr>
        <w:t xml:space="preserve"> conducive or incidental to</w:t>
      </w:r>
      <w:r w:rsidR="00EB4398">
        <w:rPr>
          <w:rFonts w:eastAsia="Arial" w:cs="Arial"/>
        </w:rPr>
        <w:t>,</w:t>
      </w:r>
      <w:r w:rsidRPr="00256FA4">
        <w:rPr>
          <w:rFonts w:eastAsia="Arial" w:cs="Arial"/>
        </w:rPr>
        <w:t xml:space="preserve"> the promotion of economic development and wealth creation in Greater London</w:t>
      </w:r>
      <w:r w:rsidR="00EB4398">
        <w:rPr>
          <w:rFonts w:eastAsia="Arial" w:cs="Arial"/>
        </w:rPr>
        <w:t>. I</w:t>
      </w:r>
      <w:r w:rsidRPr="00256FA4">
        <w:rPr>
          <w:rFonts w:eastAsia="Arial" w:cs="Arial"/>
        </w:rPr>
        <w:t>n formulating the proposals in</w:t>
      </w:r>
      <w:r>
        <w:rPr>
          <w:rFonts w:eastAsia="Arial" w:cs="Arial"/>
        </w:rPr>
        <w:t xml:space="preserve"> </w:t>
      </w:r>
      <w:r w:rsidRPr="00256FA4">
        <w:rPr>
          <w:rFonts w:eastAsia="Arial" w:cs="Arial"/>
        </w:rPr>
        <w:t>respect of which a decision is sought</w:t>
      </w:r>
      <w:r w:rsidR="00EB4398">
        <w:rPr>
          <w:rFonts w:eastAsia="Arial" w:cs="Arial"/>
        </w:rPr>
        <w:t>,</w:t>
      </w:r>
      <w:r w:rsidRPr="00256FA4">
        <w:rPr>
          <w:rFonts w:eastAsia="Arial" w:cs="Arial"/>
        </w:rPr>
        <w:t xml:space="preserve"> officers have complied with the GLA’s related statutory duties to:</w:t>
      </w:r>
    </w:p>
    <w:p w14:paraId="780DC871" w14:textId="77777777" w:rsidR="001A74E2" w:rsidRPr="00256FA4" w:rsidRDefault="001A74E2" w:rsidP="001A74E2">
      <w:pPr>
        <w:pStyle w:val="ListParagraph"/>
        <w:numPr>
          <w:ilvl w:val="1"/>
          <w:numId w:val="26"/>
        </w:numPr>
        <w:spacing w:after="200"/>
        <w:ind w:left="993" w:hanging="284"/>
        <w:contextualSpacing w:val="0"/>
      </w:pPr>
      <w:r w:rsidRPr="00256FA4">
        <w:t>pay due regard to the principle that there should be equality of opportunity for all people</w:t>
      </w:r>
    </w:p>
    <w:p w14:paraId="43CF8439" w14:textId="08FD67C8" w:rsidR="001A74E2" w:rsidRPr="00256FA4" w:rsidRDefault="001A74E2" w:rsidP="001A74E2">
      <w:pPr>
        <w:pStyle w:val="ListParagraph"/>
        <w:numPr>
          <w:ilvl w:val="1"/>
          <w:numId w:val="26"/>
        </w:numPr>
        <w:spacing w:after="200"/>
        <w:ind w:left="993" w:hanging="284"/>
        <w:contextualSpacing w:val="0"/>
      </w:pPr>
      <w:r w:rsidRPr="00256FA4">
        <w:t>consider how the proposals will promote the improvement of health of persons, health inequalities between persons</w:t>
      </w:r>
      <w:r w:rsidR="00EB4398">
        <w:t>,</w:t>
      </w:r>
      <w:r w:rsidRPr="00256FA4">
        <w:t xml:space="preserve"> and contribute towards the achievement of sustainable development in the </w:t>
      </w:r>
      <w:r w:rsidR="00EB4398">
        <w:t>UK</w:t>
      </w:r>
    </w:p>
    <w:p w14:paraId="0B104B36" w14:textId="7C8327EA" w:rsidR="001A74E2" w:rsidRPr="00256FA4" w:rsidRDefault="001A74E2" w:rsidP="001A74E2">
      <w:pPr>
        <w:pStyle w:val="ListParagraph"/>
        <w:numPr>
          <w:ilvl w:val="1"/>
          <w:numId w:val="26"/>
        </w:numPr>
        <w:spacing w:after="200"/>
        <w:ind w:left="993" w:hanging="284"/>
        <w:contextualSpacing w:val="0"/>
      </w:pPr>
      <w:r w:rsidRPr="00256FA4">
        <w:t>consult with appropriate bodies.</w:t>
      </w:r>
    </w:p>
    <w:p w14:paraId="3687CE42" w14:textId="543225E4" w:rsidR="001A74E2" w:rsidRPr="00911CED" w:rsidRDefault="001A74E2" w:rsidP="00911CED">
      <w:pPr>
        <w:pStyle w:val="ListParagraph"/>
        <w:numPr>
          <w:ilvl w:val="1"/>
          <w:numId w:val="38"/>
        </w:numPr>
        <w:spacing w:after="200"/>
        <w:ind w:left="567" w:hanging="567"/>
        <w:contextualSpacing w:val="0"/>
        <w:rPr>
          <w:rFonts w:eastAsia="Arial" w:cs="Arial"/>
        </w:rPr>
      </w:pPr>
      <w:r w:rsidRPr="00256FA4">
        <w:rPr>
          <w:rFonts w:eastAsia="Arial" w:cs="Arial"/>
        </w:rPr>
        <w:t>In taking the decisions requested, the Director must have due regard to the Public Sector Equality Duty</w:t>
      </w:r>
      <w:r w:rsidR="00EB4398">
        <w:rPr>
          <w:rFonts w:eastAsia="Arial" w:cs="Arial"/>
        </w:rPr>
        <w:t xml:space="preserve"> – </w:t>
      </w:r>
      <w:r w:rsidRPr="00256FA4">
        <w:rPr>
          <w:rFonts w:eastAsia="Arial" w:cs="Arial"/>
        </w:rPr>
        <w:t>namely</w:t>
      </w:r>
      <w:r w:rsidR="00EB4398">
        <w:rPr>
          <w:rFonts w:eastAsia="Arial" w:cs="Arial"/>
        </w:rPr>
        <w:t>,</w:t>
      </w:r>
      <w:r w:rsidRPr="00256FA4">
        <w:rPr>
          <w:rFonts w:eastAsia="Arial" w:cs="Arial"/>
        </w:rPr>
        <w:t xml:space="preserve"> the need to eliminate discrimination, harassment, victimisation and any other conduct prohibited by the Equality Act 2010</w:t>
      </w:r>
      <w:r w:rsidR="00EB4398">
        <w:rPr>
          <w:rFonts w:eastAsia="Arial" w:cs="Arial"/>
        </w:rPr>
        <w:t>;</w:t>
      </w:r>
      <w:r w:rsidRPr="00256FA4">
        <w:rPr>
          <w:rFonts w:eastAsia="Arial" w:cs="Arial"/>
        </w:rPr>
        <w:t xml:space="preserve"> and to advance equality of opportunity</w:t>
      </w:r>
      <w:r w:rsidR="00EB4398">
        <w:rPr>
          <w:rFonts w:eastAsia="Arial" w:cs="Arial"/>
        </w:rPr>
        <w:t>, and foster good relations,</w:t>
      </w:r>
      <w:r w:rsidRPr="00256FA4">
        <w:rPr>
          <w:rFonts w:eastAsia="Arial" w:cs="Arial"/>
        </w:rPr>
        <w:t xml:space="preserve"> between persons who share a relevant protected characteristic (age; disability; gender reassignment; marriage and civil partnership; pregnancy and maternity; race; religion or belief; sex; sexual orientation) and persons who do not (section 149 of the Equality Act 2010). To this end, the </w:t>
      </w:r>
      <w:r>
        <w:rPr>
          <w:rFonts w:eastAsia="Arial" w:cs="Arial"/>
        </w:rPr>
        <w:t>Director</w:t>
      </w:r>
      <w:r w:rsidRPr="00256FA4">
        <w:rPr>
          <w:rFonts w:eastAsia="Arial" w:cs="Arial"/>
        </w:rPr>
        <w:t xml:space="preserve"> should have </w:t>
      </w:r>
      <w:proofErr w:type="gramStart"/>
      <w:r w:rsidRPr="00256FA4">
        <w:rPr>
          <w:rFonts w:eastAsia="Arial" w:cs="Arial"/>
        </w:rPr>
        <w:t>particular regard</w:t>
      </w:r>
      <w:proofErr w:type="gramEnd"/>
      <w:r w:rsidRPr="00256FA4">
        <w:rPr>
          <w:rFonts w:eastAsia="Arial" w:cs="Arial"/>
        </w:rPr>
        <w:t xml:space="preserve"> to section 3 (above) of this report.</w:t>
      </w:r>
      <w:r w:rsidR="00FC4709">
        <w:rPr>
          <w:rFonts w:eastAsia="Arial" w:cs="Arial"/>
        </w:rPr>
        <w:t xml:space="preserve"> </w:t>
      </w:r>
    </w:p>
    <w:p w14:paraId="13FC6DD3" w14:textId="58BE9510" w:rsidR="00FF46E0" w:rsidRDefault="001A74E2" w:rsidP="00FF46E0">
      <w:pPr>
        <w:pStyle w:val="ListParagraph"/>
        <w:numPr>
          <w:ilvl w:val="1"/>
          <w:numId w:val="38"/>
        </w:numPr>
        <w:spacing w:after="200"/>
        <w:ind w:left="567" w:hanging="567"/>
        <w:contextualSpacing w:val="0"/>
        <w:rPr>
          <w:rFonts w:eastAsia="Arial" w:cs="Arial"/>
        </w:rPr>
      </w:pPr>
      <w:r w:rsidRPr="00256FA4">
        <w:rPr>
          <w:rFonts w:eastAsia="Arial" w:cs="Arial"/>
        </w:rPr>
        <w:t xml:space="preserve">All procurements of works, services and supplies required for the project must be procured in accordance with the </w:t>
      </w:r>
      <w:r w:rsidR="00117A2F" w:rsidRPr="00256FA4">
        <w:rPr>
          <w:rFonts w:eastAsia="Arial" w:cs="Arial"/>
        </w:rPr>
        <w:t>GLA’s Contracts and Funding Code (the “Code”)</w:t>
      </w:r>
      <w:r w:rsidR="00EB4398">
        <w:rPr>
          <w:rFonts w:eastAsia="Arial" w:cs="Arial"/>
        </w:rPr>
        <w:t>;</w:t>
      </w:r>
      <w:r w:rsidRPr="00256FA4">
        <w:rPr>
          <w:rFonts w:eastAsia="Arial" w:cs="Arial"/>
        </w:rPr>
        <w:t xml:space="preserve"> and, where the value exceeds £150,000, in accordance with the Procurement Act 2023 </w:t>
      </w:r>
      <w:r w:rsidR="004C365F" w:rsidRPr="00256FA4">
        <w:rPr>
          <w:rFonts w:eastAsia="Arial" w:cs="Arial"/>
        </w:rPr>
        <w:t>(the “Act”)</w:t>
      </w:r>
      <w:r w:rsidRPr="00256FA4">
        <w:rPr>
          <w:rFonts w:eastAsia="Arial" w:cs="Arial"/>
        </w:rPr>
        <w:t>.</w:t>
      </w:r>
      <w:r w:rsidR="00FC4709">
        <w:rPr>
          <w:rFonts w:eastAsia="Arial" w:cs="Arial"/>
        </w:rPr>
        <w:t xml:space="preserve"> </w:t>
      </w:r>
      <w:r w:rsidR="00EB4398">
        <w:rPr>
          <w:rFonts w:eastAsia="Arial" w:cs="Arial"/>
        </w:rPr>
        <w:t>O</w:t>
      </w:r>
      <w:r w:rsidRPr="00256FA4">
        <w:rPr>
          <w:rFonts w:eastAsia="Arial" w:cs="Arial"/>
        </w:rPr>
        <w:t xml:space="preserve">fficers must </w:t>
      </w:r>
      <w:r w:rsidR="00EB4398">
        <w:rPr>
          <w:rFonts w:eastAsia="Arial" w:cs="Arial"/>
        </w:rPr>
        <w:t xml:space="preserve">also </w:t>
      </w:r>
      <w:r w:rsidRPr="00256FA4">
        <w:rPr>
          <w:rFonts w:eastAsia="Arial" w:cs="Arial"/>
        </w:rPr>
        <w:t xml:space="preserve">liaise with </w:t>
      </w:r>
      <w:r w:rsidR="00EB4398">
        <w:rPr>
          <w:rFonts w:eastAsia="Arial" w:cs="Arial"/>
        </w:rPr>
        <w:t>TfL</w:t>
      </w:r>
      <w:r w:rsidRPr="00256FA4">
        <w:rPr>
          <w:rFonts w:eastAsia="Arial" w:cs="Arial"/>
        </w:rPr>
        <w:t xml:space="preserve">’s procurement and supply chain team, which will determine the detail of the procurement strategy to be adopted in accordance with the Code and the Act. Officers must ensure that appropriate contractual documentation </w:t>
      </w:r>
      <w:r w:rsidR="00EB4398">
        <w:rPr>
          <w:rFonts w:eastAsia="Arial" w:cs="Arial"/>
        </w:rPr>
        <w:t>is</w:t>
      </w:r>
      <w:r w:rsidRPr="00256FA4">
        <w:rPr>
          <w:rFonts w:eastAsia="Arial" w:cs="Arial"/>
        </w:rPr>
        <w:t xml:space="preserve"> put in place</w:t>
      </w:r>
      <w:r w:rsidR="00EB4398">
        <w:rPr>
          <w:rFonts w:eastAsia="Arial" w:cs="Arial"/>
        </w:rPr>
        <w:t>,</w:t>
      </w:r>
      <w:r w:rsidRPr="00256FA4">
        <w:rPr>
          <w:rFonts w:eastAsia="Arial" w:cs="Arial"/>
        </w:rPr>
        <w:t xml:space="preserve"> and executed</w:t>
      </w:r>
      <w:r w:rsidR="00EB4398">
        <w:rPr>
          <w:rFonts w:eastAsia="Arial" w:cs="Arial"/>
        </w:rPr>
        <w:t>,</w:t>
      </w:r>
      <w:r w:rsidRPr="00256FA4">
        <w:rPr>
          <w:rFonts w:eastAsia="Arial" w:cs="Arial"/>
        </w:rPr>
        <w:t xml:space="preserve"> by </w:t>
      </w:r>
      <w:r w:rsidR="00EB4398">
        <w:rPr>
          <w:rFonts w:eastAsia="Arial" w:cs="Arial"/>
        </w:rPr>
        <w:t xml:space="preserve">the </w:t>
      </w:r>
      <w:r w:rsidRPr="00256FA4">
        <w:rPr>
          <w:rFonts w:eastAsia="Arial" w:cs="Arial"/>
        </w:rPr>
        <w:t>chosen service provider/supplier and the GLA before the attendant works, services or supplies</w:t>
      </w:r>
      <w:r w:rsidR="00EB4398">
        <w:rPr>
          <w:rFonts w:eastAsia="Arial" w:cs="Arial"/>
        </w:rPr>
        <w:t xml:space="preserve"> begin</w:t>
      </w:r>
      <w:r w:rsidR="00117A2F">
        <w:rPr>
          <w:rFonts w:eastAsia="Arial" w:cs="Arial"/>
        </w:rPr>
        <w:t xml:space="preserve"> </w:t>
      </w:r>
      <w:r w:rsidR="00117A2F" w:rsidRPr="00E80324">
        <w:rPr>
          <w:rFonts w:eastAsia="Arial" w:cs="Arial"/>
        </w:rPr>
        <w:t>(containing termination for convenience provisions exercisable at sole discretion of the GLA)</w:t>
      </w:r>
      <w:r w:rsidRPr="00256FA4">
        <w:rPr>
          <w:rFonts w:eastAsia="Arial" w:cs="Arial"/>
        </w:rPr>
        <w:t>.</w:t>
      </w:r>
    </w:p>
    <w:p w14:paraId="0AC52A06" w14:textId="77777777" w:rsidR="00FF46E0" w:rsidRDefault="00FF46E0" w:rsidP="00FF46E0">
      <w:pPr>
        <w:pStyle w:val="ListParagraph"/>
        <w:numPr>
          <w:ilvl w:val="1"/>
          <w:numId w:val="38"/>
        </w:numPr>
        <w:spacing w:after="200"/>
        <w:ind w:left="567" w:hanging="567"/>
        <w:contextualSpacing w:val="0"/>
        <w:rPr>
          <w:rFonts w:eastAsia="Arial" w:cs="Arial"/>
        </w:rPr>
      </w:pPr>
      <w:r w:rsidRPr="00FF46E0">
        <w:rPr>
          <w:rFonts w:eastAsia="Arial" w:cs="Arial"/>
        </w:rPr>
        <w:t>Sections 1 and 2 above indicate that the GLA intends to make provision of grant funding.  Officers must ensure that the funding be distributed fairly, transparently, in accordance with the GLA’s equalities, subsidy control legislation, and with the requirements of section 12 of the GLA’s Contracts and Funding Code.</w:t>
      </w:r>
    </w:p>
    <w:p w14:paraId="35E2D93E" w14:textId="77777777" w:rsidR="00FF46E0" w:rsidRDefault="00FF46E0" w:rsidP="00FF46E0">
      <w:pPr>
        <w:pStyle w:val="ListParagraph"/>
        <w:numPr>
          <w:ilvl w:val="1"/>
          <w:numId w:val="38"/>
        </w:numPr>
        <w:spacing w:after="200"/>
        <w:ind w:left="567" w:hanging="567"/>
        <w:contextualSpacing w:val="0"/>
        <w:rPr>
          <w:rFonts w:eastAsia="Arial" w:cs="Arial"/>
        </w:rPr>
      </w:pPr>
      <w:r w:rsidRPr="00FF46E0">
        <w:rPr>
          <w:rFonts w:eastAsia="Arial" w:cs="Arial"/>
        </w:rPr>
        <w:t xml:space="preserve">Furthermore, officers must ensure that an appropriate funding agreement be put in place between and executed by the GLA and the recipient before any (a) commitment to fund is made; and (b) funding is paid to the recipient. </w:t>
      </w:r>
    </w:p>
    <w:p w14:paraId="0DE03900" w14:textId="16B0CA43" w:rsidR="00117A2F" w:rsidRPr="00FF46E0" w:rsidRDefault="00FF46E0" w:rsidP="00FF46E0">
      <w:pPr>
        <w:pStyle w:val="ListParagraph"/>
        <w:numPr>
          <w:ilvl w:val="1"/>
          <w:numId w:val="38"/>
        </w:numPr>
        <w:spacing w:after="200"/>
        <w:ind w:left="567" w:hanging="567"/>
        <w:contextualSpacing w:val="0"/>
        <w:rPr>
          <w:rFonts w:eastAsia="Arial" w:cs="Arial"/>
        </w:rPr>
      </w:pPr>
      <w:r w:rsidRPr="00FF46E0">
        <w:rPr>
          <w:rFonts w:eastAsia="Arial" w:cs="Arial"/>
        </w:rPr>
        <w:t xml:space="preserve">Subject to the separate approval of the Executive Director of Housing and Land, officers must ensure that sponsorship is sought in accordance with the sponsorship policy and appropriate sponsorship agreements be put in between and executed by the GLA and sponsor(s) before any reliance is placed on the sponsorship income and/benefits in kind.  </w:t>
      </w:r>
    </w:p>
    <w:p w14:paraId="5B6E46D1" w14:textId="0A99655C" w:rsidR="00DE40CC" w:rsidRDefault="001A74E2" w:rsidP="001A74E2">
      <w:pPr>
        <w:pStyle w:val="ListParagraph"/>
        <w:numPr>
          <w:ilvl w:val="1"/>
          <w:numId w:val="38"/>
        </w:numPr>
        <w:spacing w:after="200"/>
        <w:ind w:left="567" w:hanging="567"/>
        <w:contextualSpacing w:val="0"/>
        <w:rPr>
          <w:rFonts w:eastAsia="Arial" w:cs="Arial"/>
        </w:rPr>
      </w:pPr>
      <w:r w:rsidRPr="00256FA4">
        <w:rPr>
          <w:rFonts w:eastAsia="Arial" w:cs="Arial"/>
        </w:rPr>
        <w:lastRenderedPageBreak/>
        <w:t xml:space="preserve">The </w:t>
      </w:r>
      <w:r>
        <w:rPr>
          <w:rFonts w:eastAsia="Arial" w:cs="Arial"/>
        </w:rPr>
        <w:t>Director</w:t>
      </w:r>
      <w:r w:rsidRPr="00256FA4">
        <w:rPr>
          <w:rFonts w:eastAsia="Arial" w:cs="Arial"/>
        </w:rPr>
        <w:t xml:space="preserve"> must comply with the obligations set out in Openness of Local Government Bodies Regulations 2014 when taking decisions in accordance with the delegations set out in this decision form or any other delegations in existing Mayoral Decisions. </w:t>
      </w:r>
      <w:proofErr w:type="gramStart"/>
      <w:r w:rsidRPr="00256FA4">
        <w:rPr>
          <w:rFonts w:eastAsia="Arial" w:cs="Arial"/>
        </w:rPr>
        <w:t>In particular</w:t>
      </w:r>
      <w:r w:rsidR="0099010D">
        <w:rPr>
          <w:rFonts w:eastAsia="Arial" w:cs="Arial"/>
        </w:rPr>
        <w:t>,</w:t>
      </w:r>
      <w:r w:rsidRPr="00256FA4">
        <w:rPr>
          <w:rFonts w:eastAsia="Arial" w:cs="Arial"/>
        </w:rPr>
        <w:t xml:space="preserve"> regulation</w:t>
      </w:r>
      <w:proofErr w:type="gramEnd"/>
      <w:r w:rsidRPr="00256FA4">
        <w:rPr>
          <w:rFonts w:eastAsia="Arial" w:cs="Arial"/>
        </w:rPr>
        <w:t xml:space="preserve"> 7 provides that where a decision has been delegated to an officer </w:t>
      </w:r>
      <w:r w:rsidR="00DE40CC">
        <w:rPr>
          <w:rFonts w:eastAsia="Arial" w:cs="Arial"/>
        </w:rPr>
        <w:t xml:space="preserve">under </w:t>
      </w:r>
      <w:r w:rsidRPr="00256FA4">
        <w:rPr>
          <w:rFonts w:eastAsia="Arial" w:cs="Arial"/>
        </w:rPr>
        <w:t>either</w:t>
      </w:r>
    </w:p>
    <w:p w14:paraId="4C00F817" w14:textId="5FF84F38" w:rsidR="00DE40CC" w:rsidRDefault="001A74E2" w:rsidP="00F76018">
      <w:pPr>
        <w:pStyle w:val="ListParagraph"/>
        <w:numPr>
          <w:ilvl w:val="0"/>
          <w:numId w:val="58"/>
        </w:numPr>
        <w:spacing w:after="200"/>
        <w:ind w:left="992" w:hanging="283"/>
        <w:contextualSpacing w:val="0"/>
        <w:rPr>
          <w:rFonts w:eastAsia="Arial" w:cs="Arial"/>
        </w:rPr>
      </w:pPr>
      <w:r w:rsidRPr="00256FA4">
        <w:rPr>
          <w:rFonts w:eastAsia="Arial" w:cs="Arial"/>
        </w:rPr>
        <w:t xml:space="preserve">a specific express authorisation </w:t>
      </w:r>
    </w:p>
    <w:p w14:paraId="5DADFB07" w14:textId="77777777" w:rsidR="00DE40CC" w:rsidRDefault="001A74E2" w:rsidP="00F76018">
      <w:pPr>
        <w:pStyle w:val="ListParagraph"/>
        <w:numPr>
          <w:ilvl w:val="0"/>
          <w:numId w:val="58"/>
        </w:numPr>
        <w:spacing w:after="200"/>
        <w:ind w:left="992" w:hanging="283"/>
        <w:contextualSpacing w:val="0"/>
        <w:rPr>
          <w:rFonts w:eastAsia="Arial" w:cs="Arial"/>
        </w:rPr>
      </w:pPr>
      <w:r w:rsidRPr="00256FA4">
        <w:rPr>
          <w:rFonts w:eastAsia="Arial" w:cs="Arial"/>
        </w:rPr>
        <w:t xml:space="preserve">a general authorisation </w:t>
      </w:r>
    </w:p>
    <w:p w14:paraId="68505816" w14:textId="54041153" w:rsidR="00C24F20" w:rsidRDefault="001A74E2" w:rsidP="00DE40CC">
      <w:pPr>
        <w:pStyle w:val="ListParagraph"/>
        <w:spacing w:after="200"/>
        <w:ind w:left="567"/>
        <w:contextualSpacing w:val="0"/>
        <w:rPr>
          <w:rFonts w:eastAsia="Arial" w:cs="Arial"/>
        </w:rPr>
      </w:pPr>
      <w:r w:rsidRPr="00256FA4">
        <w:rPr>
          <w:rFonts w:eastAsia="Arial" w:cs="Arial"/>
        </w:rPr>
        <w:t xml:space="preserve">and the effect of the decision is to award a contract or incur expenditure </w:t>
      </w:r>
      <w:r w:rsidR="0099010D">
        <w:rPr>
          <w:rFonts w:eastAsia="Arial" w:cs="Arial"/>
        </w:rPr>
        <w:t>that</w:t>
      </w:r>
      <w:r w:rsidRPr="00256FA4">
        <w:rPr>
          <w:rFonts w:eastAsia="Arial" w:cs="Arial"/>
        </w:rPr>
        <w:t>, in either case, materially affects the GLA’s financial position, the officer to whom the delegation has been made must produce a written record of the decision (regulation 7(1) and (2)). Regulation 7(3) provides that the written record must be produced as soon as reasonably practicable after the decision has been taken and must contain</w:t>
      </w:r>
      <w:r w:rsidR="00C24F20">
        <w:rPr>
          <w:rFonts w:eastAsia="Arial" w:cs="Arial"/>
        </w:rPr>
        <w:t>:</w:t>
      </w:r>
      <w:r w:rsidRPr="00256FA4">
        <w:rPr>
          <w:rFonts w:eastAsia="Arial" w:cs="Arial"/>
        </w:rPr>
        <w:t xml:space="preserve"> </w:t>
      </w:r>
    </w:p>
    <w:p w14:paraId="52BAB69B" w14:textId="77777777" w:rsidR="00C24F20" w:rsidRDefault="001A74E2" w:rsidP="00F76018">
      <w:pPr>
        <w:pStyle w:val="ListParagraph"/>
        <w:numPr>
          <w:ilvl w:val="0"/>
          <w:numId w:val="61"/>
        </w:numPr>
        <w:spacing w:after="200"/>
        <w:ind w:left="992" w:hanging="283"/>
        <w:contextualSpacing w:val="0"/>
        <w:rPr>
          <w:rFonts w:eastAsia="Arial" w:cs="Arial"/>
        </w:rPr>
      </w:pPr>
      <w:r w:rsidRPr="00256FA4">
        <w:rPr>
          <w:rFonts w:eastAsia="Arial" w:cs="Arial"/>
        </w:rPr>
        <w:t>the date the decision was taken</w:t>
      </w:r>
    </w:p>
    <w:p w14:paraId="21F40708" w14:textId="5F0D10DE" w:rsidR="00C24F20" w:rsidRDefault="001A74E2" w:rsidP="00F76018">
      <w:pPr>
        <w:pStyle w:val="ListParagraph"/>
        <w:numPr>
          <w:ilvl w:val="0"/>
          <w:numId w:val="61"/>
        </w:numPr>
        <w:spacing w:after="200"/>
        <w:ind w:left="992" w:hanging="283"/>
        <w:contextualSpacing w:val="0"/>
        <w:rPr>
          <w:rFonts w:eastAsia="Arial" w:cs="Arial"/>
        </w:rPr>
      </w:pPr>
      <w:r w:rsidRPr="00256FA4">
        <w:rPr>
          <w:rFonts w:eastAsia="Arial" w:cs="Arial"/>
        </w:rPr>
        <w:t>a record of the decision taken with reasons, details of options considered and rejected, if any</w:t>
      </w:r>
    </w:p>
    <w:p w14:paraId="0E18FA4A" w14:textId="77777777" w:rsidR="00C24F20" w:rsidRDefault="001A74E2" w:rsidP="00F76018">
      <w:pPr>
        <w:pStyle w:val="ListParagraph"/>
        <w:numPr>
          <w:ilvl w:val="0"/>
          <w:numId w:val="61"/>
        </w:numPr>
        <w:spacing w:after="200"/>
        <w:ind w:left="992" w:hanging="283"/>
        <w:contextualSpacing w:val="0"/>
        <w:rPr>
          <w:rFonts w:eastAsia="Arial" w:cs="Arial"/>
        </w:rPr>
      </w:pPr>
      <w:r w:rsidRPr="00256FA4">
        <w:rPr>
          <w:rFonts w:eastAsia="Arial" w:cs="Arial"/>
        </w:rPr>
        <w:t xml:space="preserve">where a decision is delegated under a specific express authorisation, any conflicts of interest. </w:t>
      </w:r>
    </w:p>
    <w:p w14:paraId="71F18833" w14:textId="0E7F085F" w:rsidR="00C24F20" w:rsidRPr="00256FA4" w:rsidRDefault="001A74E2" w:rsidP="00F76018">
      <w:pPr>
        <w:spacing w:after="200"/>
        <w:ind w:left="567"/>
        <w:rPr>
          <w:rFonts w:eastAsia="Arial"/>
        </w:rPr>
      </w:pPr>
      <w:r w:rsidRPr="0099010D">
        <w:rPr>
          <w:rFonts w:eastAsia="Arial" w:cs="Arial"/>
        </w:rPr>
        <w:t xml:space="preserve">Regulation 8 requires the written record, together with any background papers, must </w:t>
      </w:r>
      <w:r w:rsidR="0099010D">
        <w:rPr>
          <w:rFonts w:eastAsia="Arial" w:cs="Arial"/>
        </w:rPr>
        <w:t xml:space="preserve">be made available, </w:t>
      </w:r>
      <w:r w:rsidRPr="0099010D">
        <w:rPr>
          <w:rFonts w:eastAsia="Arial" w:cs="Arial"/>
        </w:rPr>
        <w:t>as soon as reasonably practicable after the record is made, for inspection by members of the public</w:t>
      </w:r>
      <w:r w:rsidR="0099010D">
        <w:rPr>
          <w:rFonts w:eastAsia="Arial" w:cs="Arial"/>
        </w:rPr>
        <w:t>,</w:t>
      </w:r>
      <w:r w:rsidRPr="0099010D">
        <w:rPr>
          <w:rFonts w:eastAsia="Arial" w:cs="Arial"/>
        </w:rPr>
        <w:t xml:space="preserve"> including on the GLA’s website. </w:t>
      </w:r>
    </w:p>
    <w:p w14:paraId="27258277" w14:textId="77777777" w:rsidR="00FC4709" w:rsidRDefault="00FC4709" w:rsidP="00F76018">
      <w:pPr>
        <w:pStyle w:val="ListParagraph"/>
        <w:spacing w:after="200"/>
        <w:ind w:left="567"/>
        <w:contextualSpacing w:val="0"/>
        <w:rPr>
          <w:rFonts w:eastAsia="Arial" w:cs="Arial"/>
        </w:rPr>
      </w:pPr>
    </w:p>
    <w:p w14:paraId="1E24F019" w14:textId="77777777" w:rsidR="00603715" w:rsidRDefault="00014CF4" w:rsidP="00F76018">
      <w:pPr>
        <w:pStyle w:val="BodyTextIndent3"/>
        <w:numPr>
          <w:ilvl w:val="0"/>
          <w:numId w:val="24"/>
        </w:numPr>
        <w:spacing w:after="200" w:line="240" w:lineRule="auto"/>
        <w:ind w:left="567" w:hanging="567"/>
        <w:rPr>
          <w:rFonts w:cs="Arial"/>
          <w:b/>
          <w:bCs/>
        </w:rPr>
      </w:pPr>
      <w:r w:rsidRPr="00866CB4">
        <w:rPr>
          <w:rFonts w:cs="Arial"/>
          <w:b/>
          <w:bCs/>
        </w:rPr>
        <w:t>Planned delivery approach and next steps</w:t>
      </w:r>
    </w:p>
    <w:p w14:paraId="0A1BB571" w14:textId="5D753F45" w:rsidR="00014CF4" w:rsidRPr="0099010D" w:rsidRDefault="00FC4709" w:rsidP="00F76018">
      <w:pPr>
        <w:pStyle w:val="BodyTextIndent3"/>
        <w:numPr>
          <w:ilvl w:val="0"/>
          <w:numId w:val="54"/>
        </w:numPr>
        <w:spacing w:after="200"/>
        <w:ind w:left="567" w:hanging="567"/>
        <w:rPr>
          <w:rFonts w:cs="Arial"/>
          <w:iCs/>
        </w:rPr>
      </w:pPr>
      <w:r>
        <w:rPr>
          <w:rFonts w:cs="Arial"/>
          <w:iCs/>
        </w:rPr>
        <w:t>This work will be delivered according to the following timetable:</w:t>
      </w:r>
    </w:p>
    <w:tbl>
      <w:tblPr>
        <w:tblW w:w="10088" w:type="dxa"/>
        <w:tblInd w:w="108" w:type="dxa"/>
        <w:tblCellMar>
          <w:left w:w="0" w:type="dxa"/>
          <w:right w:w="0" w:type="dxa"/>
        </w:tblCellMar>
        <w:tblLook w:val="04A0" w:firstRow="1" w:lastRow="0" w:firstColumn="1" w:lastColumn="0" w:noHBand="0" w:noVBand="1"/>
      </w:tblPr>
      <w:tblGrid>
        <w:gridCol w:w="6403"/>
        <w:gridCol w:w="3685"/>
      </w:tblGrid>
      <w:tr w:rsidR="00F1451A" w:rsidRPr="00F1451A" w14:paraId="7707CA38" w14:textId="77777777" w:rsidTr="00F76018">
        <w:tc>
          <w:tcPr>
            <w:tcW w:w="6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A57E0E" w14:textId="77777777" w:rsidR="00F1451A" w:rsidRPr="00F1451A" w:rsidRDefault="00F1451A" w:rsidP="00F76018">
            <w:pPr>
              <w:pStyle w:val="BodyTextIndent3"/>
              <w:spacing w:before="60" w:after="60" w:line="240" w:lineRule="auto"/>
              <w:ind w:left="0" w:firstLine="0"/>
              <w:rPr>
                <w:rFonts w:cs="Arial"/>
                <w:b/>
                <w:bCs/>
              </w:rPr>
            </w:pPr>
            <w:r w:rsidRPr="00F1451A">
              <w:rPr>
                <w:rFonts w:cs="Arial"/>
                <w:b/>
                <w:bCs/>
              </w:rPr>
              <w:t>Activity</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1A872" w14:textId="77777777" w:rsidR="00F1451A" w:rsidRPr="00F1451A" w:rsidRDefault="00F1451A" w:rsidP="00F76018">
            <w:pPr>
              <w:pStyle w:val="BodyTextIndent3"/>
              <w:spacing w:before="60" w:after="60" w:line="240" w:lineRule="auto"/>
              <w:ind w:left="0" w:firstLine="0"/>
              <w:rPr>
                <w:rFonts w:cs="Arial"/>
                <w:b/>
                <w:bCs/>
              </w:rPr>
            </w:pPr>
            <w:r w:rsidRPr="00F1451A">
              <w:rPr>
                <w:rFonts w:cs="Arial"/>
                <w:b/>
                <w:bCs/>
              </w:rPr>
              <w:t>Timeline</w:t>
            </w:r>
          </w:p>
        </w:tc>
      </w:tr>
      <w:tr w:rsidR="002E5471" w:rsidRPr="00F1451A" w14:paraId="31B32F07" w14:textId="77777777" w:rsidTr="00F76018">
        <w:tc>
          <w:tcPr>
            <w:tcW w:w="64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1C025" w14:textId="025F086D" w:rsidR="002E5471" w:rsidRPr="00F1451A" w:rsidRDefault="002E5471" w:rsidP="002E5471">
            <w:pPr>
              <w:pStyle w:val="BodyTextIndent3"/>
              <w:spacing w:before="60" w:after="60" w:line="240" w:lineRule="auto"/>
              <w:ind w:left="0" w:firstLine="0"/>
              <w:rPr>
                <w:rFonts w:cs="Arial"/>
              </w:rPr>
            </w:pPr>
            <w:r w:rsidRPr="0018491B">
              <w:rPr>
                <w:rFonts w:cs="Arial"/>
              </w:rPr>
              <w:t xml:space="preserve">TfL </w:t>
            </w:r>
            <w:r>
              <w:rPr>
                <w:rFonts w:cs="Arial"/>
              </w:rPr>
              <w:t>s</w:t>
            </w:r>
            <w:r w:rsidRPr="0018491B">
              <w:rPr>
                <w:rFonts w:cs="Arial"/>
              </w:rPr>
              <w:t>upport</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14:paraId="20352402" w14:textId="12D2EEE7" w:rsidR="002E5471" w:rsidRDefault="002E5471" w:rsidP="002E5471">
            <w:pPr>
              <w:pStyle w:val="BodyTextIndent3"/>
              <w:spacing w:before="60" w:after="60" w:line="240" w:lineRule="auto"/>
              <w:ind w:left="0" w:firstLine="0"/>
              <w:rPr>
                <w:rFonts w:cs="Arial"/>
              </w:rPr>
            </w:pPr>
            <w:r w:rsidRPr="0018491B">
              <w:rPr>
                <w:rFonts w:cs="Arial"/>
              </w:rPr>
              <w:t>From 1</w:t>
            </w:r>
            <w:r>
              <w:rPr>
                <w:rFonts w:cs="Arial"/>
              </w:rPr>
              <w:t xml:space="preserve"> </w:t>
            </w:r>
            <w:r w:rsidRPr="0018491B">
              <w:rPr>
                <w:rFonts w:cs="Arial"/>
              </w:rPr>
              <w:t>April 2026</w:t>
            </w:r>
          </w:p>
        </w:tc>
      </w:tr>
      <w:tr w:rsidR="00F1451A" w:rsidRPr="00F1451A" w14:paraId="7AED6DE0" w14:textId="77777777" w:rsidTr="00F76018">
        <w:tc>
          <w:tcPr>
            <w:tcW w:w="64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5B804" w14:textId="59D9A893" w:rsidR="00F1451A" w:rsidRPr="00F1451A" w:rsidRDefault="00F1451A" w:rsidP="00F76018">
            <w:pPr>
              <w:pStyle w:val="BodyTextIndent3"/>
              <w:spacing w:before="60" w:after="60" w:line="240" w:lineRule="auto"/>
              <w:ind w:left="0" w:firstLine="0"/>
              <w:rPr>
                <w:rFonts w:cs="Arial"/>
              </w:rPr>
            </w:pPr>
            <w:r w:rsidRPr="00F1451A">
              <w:rPr>
                <w:rFonts w:cs="Arial"/>
              </w:rPr>
              <w:t xml:space="preserve">Procurement of contract </w:t>
            </w:r>
            <w:r w:rsidR="00DB706F">
              <w:rPr>
                <w:rFonts w:cs="Arial"/>
              </w:rPr>
              <w:t xml:space="preserve">for </w:t>
            </w:r>
            <w:r w:rsidR="002E5471">
              <w:rPr>
                <w:rFonts w:cs="Arial"/>
              </w:rPr>
              <w:t xml:space="preserve">cultural placemaking </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14:paraId="07D113B3" w14:textId="50947181" w:rsidR="00F1451A" w:rsidRPr="00F1451A" w:rsidRDefault="00DB706F" w:rsidP="00F76018">
            <w:pPr>
              <w:pStyle w:val="BodyTextIndent3"/>
              <w:spacing w:before="60" w:after="60" w:line="240" w:lineRule="auto"/>
              <w:ind w:left="0" w:firstLine="0"/>
              <w:rPr>
                <w:rFonts w:cs="Arial"/>
              </w:rPr>
            </w:pPr>
            <w:r>
              <w:rPr>
                <w:rFonts w:cs="Arial"/>
              </w:rPr>
              <w:t>Spring 2026</w:t>
            </w:r>
          </w:p>
        </w:tc>
      </w:tr>
      <w:tr w:rsidR="0018491B" w14:paraId="1EC8A45C" w14:textId="77777777" w:rsidTr="00F76018">
        <w:tc>
          <w:tcPr>
            <w:tcW w:w="64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C118A1" w14:textId="15E0133C" w:rsidR="0018491B" w:rsidRPr="0018491B" w:rsidRDefault="0018491B" w:rsidP="00F76018">
            <w:pPr>
              <w:pStyle w:val="BodyTextIndent3"/>
              <w:spacing w:before="60" w:after="60" w:line="240" w:lineRule="auto"/>
              <w:ind w:left="0" w:firstLine="0"/>
              <w:rPr>
                <w:rFonts w:cs="Arial"/>
              </w:rPr>
            </w:pPr>
            <w:r w:rsidRPr="0018491B">
              <w:rPr>
                <w:rFonts w:cs="Arial"/>
              </w:rPr>
              <w:t>Big Fridge opens</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14:paraId="56DAB117" w14:textId="77777777" w:rsidR="0018491B" w:rsidRPr="0018491B" w:rsidRDefault="0018491B" w:rsidP="00F76018">
            <w:pPr>
              <w:pStyle w:val="BodyTextIndent3"/>
              <w:spacing w:before="60" w:after="60" w:line="240" w:lineRule="auto"/>
              <w:ind w:left="0" w:firstLine="0"/>
              <w:rPr>
                <w:rFonts w:cs="Arial"/>
              </w:rPr>
            </w:pPr>
            <w:r w:rsidRPr="0018491B">
              <w:rPr>
                <w:rFonts w:cs="Arial"/>
              </w:rPr>
              <w:t>Spring 2026</w:t>
            </w:r>
          </w:p>
        </w:tc>
      </w:tr>
      <w:tr w:rsidR="0018491B" w14:paraId="2F67F7CA" w14:textId="77777777" w:rsidTr="00F76018">
        <w:tc>
          <w:tcPr>
            <w:tcW w:w="64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563192" w14:textId="0E24FBD4" w:rsidR="0018491B" w:rsidRPr="0018491B" w:rsidRDefault="0018491B" w:rsidP="00F76018">
            <w:pPr>
              <w:pStyle w:val="BodyTextIndent3"/>
              <w:spacing w:before="60" w:after="60" w:line="240" w:lineRule="auto"/>
              <w:ind w:left="0" w:firstLine="0"/>
              <w:rPr>
                <w:rFonts w:cs="Arial"/>
              </w:rPr>
            </w:pPr>
            <w:r w:rsidRPr="0018491B">
              <w:rPr>
                <w:rFonts w:cs="Arial"/>
              </w:rPr>
              <w:t>Royal Victoria</w:t>
            </w:r>
            <w:r w:rsidR="00147215">
              <w:rPr>
                <w:rFonts w:cstheme="minorHAnsi"/>
                <w:bCs/>
              </w:rPr>
              <w:t xml:space="preserve"> Dock</w:t>
            </w:r>
            <w:r w:rsidRPr="0018491B">
              <w:rPr>
                <w:rFonts w:cs="Arial"/>
              </w:rPr>
              <w:t xml:space="preserve"> </w:t>
            </w:r>
            <w:r w:rsidR="002E5471">
              <w:rPr>
                <w:rFonts w:cs="Arial"/>
              </w:rPr>
              <w:t>l</w:t>
            </w:r>
            <w:r w:rsidRPr="0018491B">
              <w:rPr>
                <w:rFonts w:cs="Arial"/>
              </w:rPr>
              <w:t xml:space="preserve">eadership approach agreed </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14:paraId="0FB860D8" w14:textId="77777777" w:rsidR="0018491B" w:rsidRPr="0018491B" w:rsidRDefault="0018491B" w:rsidP="00F76018">
            <w:pPr>
              <w:pStyle w:val="BodyTextIndent3"/>
              <w:spacing w:before="60" w:after="60" w:line="240" w:lineRule="auto"/>
              <w:ind w:left="0" w:firstLine="0"/>
              <w:rPr>
                <w:rFonts w:cs="Arial"/>
              </w:rPr>
            </w:pPr>
            <w:r w:rsidRPr="0018491B">
              <w:rPr>
                <w:rFonts w:cs="Arial"/>
              </w:rPr>
              <w:t>Spring 2026</w:t>
            </w:r>
          </w:p>
        </w:tc>
      </w:tr>
      <w:tr w:rsidR="0018491B" w:rsidRPr="004933E9" w14:paraId="3BF07525" w14:textId="77777777" w:rsidTr="00F76018">
        <w:tc>
          <w:tcPr>
            <w:tcW w:w="64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99D880" w14:textId="290013AD" w:rsidR="0018491B" w:rsidRPr="0018491B" w:rsidRDefault="0018491B" w:rsidP="00F76018">
            <w:pPr>
              <w:pStyle w:val="BodyTextIndent3"/>
              <w:spacing w:before="60" w:after="60" w:line="240" w:lineRule="auto"/>
              <w:ind w:left="0" w:firstLine="0"/>
              <w:rPr>
                <w:rFonts w:cs="Arial"/>
              </w:rPr>
            </w:pPr>
            <w:r w:rsidRPr="0018491B">
              <w:rPr>
                <w:rFonts w:cs="Arial"/>
              </w:rPr>
              <w:t>Public art installation at Thames Barrier Park and Royal Victoria</w:t>
            </w:r>
            <w:r w:rsidR="00147215">
              <w:rPr>
                <w:rFonts w:cstheme="minorHAnsi"/>
                <w:bCs/>
              </w:rPr>
              <w:t xml:space="preserve"> Dock</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14:paraId="2313715B" w14:textId="77777777" w:rsidR="0018491B" w:rsidRPr="0018491B" w:rsidRDefault="0018491B" w:rsidP="00F76018">
            <w:pPr>
              <w:pStyle w:val="BodyTextIndent3"/>
              <w:spacing w:before="60" w:after="60" w:line="240" w:lineRule="auto"/>
              <w:ind w:left="0" w:firstLine="0"/>
              <w:rPr>
                <w:rFonts w:cs="Arial"/>
              </w:rPr>
            </w:pPr>
            <w:r w:rsidRPr="0018491B">
              <w:rPr>
                <w:rFonts w:cs="Arial"/>
              </w:rPr>
              <w:t>Summer 2026</w:t>
            </w:r>
          </w:p>
        </w:tc>
      </w:tr>
      <w:tr w:rsidR="0018491B" w14:paraId="4C9AD4ED" w14:textId="77777777" w:rsidTr="00F76018">
        <w:tc>
          <w:tcPr>
            <w:tcW w:w="64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CAD20E" w14:textId="37066029" w:rsidR="0018491B" w:rsidRPr="0018491B" w:rsidRDefault="0018491B" w:rsidP="00F76018">
            <w:pPr>
              <w:pStyle w:val="BodyTextIndent3"/>
              <w:spacing w:before="60" w:after="60" w:line="240" w:lineRule="auto"/>
              <w:ind w:left="0" w:firstLine="0"/>
              <w:rPr>
                <w:rFonts w:cs="Arial"/>
              </w:rPr>
            </w:pPr>
            <w:r w:rsidRPr="0018491B">
              <w:rPr>
                <w:rFonts w:cs="Arial"/>
              </w:rPr>
              <w:t>First edition of North Face event in Royal Victoria</w:t>
            </w:r>
            <w:r w:rsidR="00147215">
              <w:rPr>
                <w:rFonts w:cstheme="minorHAnsi"/>
                <w:bCs/>
              </w:rPr>
              <w:t xml:space="preserve"> Dock</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14:paraId="09E90CC0" w14:textId="77777777" w:rsidR="0018491B" w:rsidRPr="0018491B" w:rsidRDefault="0018491B" w:rsidP="00F76018">
            <w:pPr>
              <w:pStyle w:val="BodyTextIndent3"/>
              <w:spacing w:before="60" w:after="60" w:line="240" w:lineRule="auto"/>
              <w:ind w:left="0" w:firstLine="0"/>
              <w:rPr>
                <w:rFonts w:cs="Arial"/>
              </w:rPr>
            </w:pPr>
            <w:r w:rsidRPr="0018491B">
              <w:rPr>
                <w:rFonts w:cs="Arial"/>
              </w:rPr>
              <w:t>Summer 2026</w:t>
            </w:r>
          </w:p>
        </w:tc>
      </w:tr>
      <w:tr w:rsidR="0018491B" w:rsidRPr="004933E9" w14:paraId="356574FF" w14:textId="77777777" w:rsidTr="00F76018">
        <w:tc>
          <w:tcPr>
            <w:tcW w:w="64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76442" w14:textId="20DB5EF6" w:rsidR="0018491B" w:rsidRPr="0018491B" w:rsidRDefault="0018491B" w:rsidP="00F76018">
            <w:pPr>
              <w:pStyle w:val="BodyTextIndent3"/>
              <w:spacing w:before="60" w:after="60" w:line="240" w:lineRule="auto"/>
              <w:ind w:left="0" w:firstLine="0"/>
              <w:rPr>
                <w:rFonts w:cs="Arial"/>
              </w:rPr>
            </w:pPr>
            <w:r w:rsidRPr="0018491B">
              <w:rPr>
                <w:rFonts w:cs="Arial"/>
              </w:rPr>
              <w:t>At the Docks summer programme</w:t>
            </w:r>
            <w:r w:rsidR="002E5471">
              <w:rPr>
                <w:rFonts w:cs="Arial"/>
              </w:rPr>
              <w:t>,</w:t>
            </w:r>
            <w:r w:rsidRPr="0018491B">
              <w:rPr>
                <w:rFonts w:cs="Arial"/>
              </w:rPr>
              <w:t xml:space="preserve"> including Royal Docks Summer Splash and Ensemble Festival </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14:paraId="49FE21DA" w14:textId="3BDDA11F" w:rsidR="0018491B" w:rsidRPr="0018491B" w:rsidRDefault="0018491B" w:rsidP="00F76018">
            <w:pPr>
              <w:pStyle w:val="BodyTextIndent3"/>
              <w:spacing w:before="60" w:after="60" w:line="240" w:lineRule="auto"/>
              <w:ind w:left="0" w:firstLine="0"/>
              <w:rPr>
                <w:rFonts w:cs="Arial"/>
              </w:rPr>
            </w:pPr>
            <w:r w:rsidRPr="0018491B">
              <w:rPr>
                <w:rFonts w:cs="Arial"/>
              </w:rPr>
              <w:t>Annually June</w:t>
            </w:r>
            <w:r w:rsidR="00FC4709">
              <w:rPr>
                <w:rFonts w:cs="Arial"/>
              </w:rPr>
              <w:t xml:space="preserve"> – </w:t>
            </w:r>
            <w:r w:rsidRPr="0018491B">
              <w:rPr>
                <w:rFonts w:cs="Arial"/>
              </w:rPr>
              <w:t>August</w:t>
            </w:r>
          </w:p>
        </w:tc>
      </w:tr>
      <w:tr w:rsidR="0018491B" w14:paraId="0A4C4A80" w14:textId="77777777" w:rsidTr="00F76018">
        <w:tc>
          <w:tcPr>
            <w:tcW w:w="64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463B73" w14:textId="4B25EC19" w:rsidR="0018491B" w:rsidRPr="0018491B" w:rsidRDefault="0018491B" w:rsidP="00F76018">
            <w:pPr>
              <w:pStyle w:val="BodyTextIndent3"/>
              <w:spacing w:before="60" w:after="60" w:line="240" w:lineRule="auto"/>
              <w:ind w:left="0" w:firstLine="0"/>
              <w:rPr>
                <w:rFonts w:cs="Arial"/>
              </w:rPr>
            </w:pPr>
            <w:r w:rsidRPr="0018491B">
              <w:rPr>
                <w:rFonts w:cs="Arial"/>
              </w:rPr>
              <w:t>UEL After Dark Festival</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14:paraId="716351F6" w14:textId="79D4118B" w:rsidR="0018491B" w:rsidRPr="0018491B" w:rsidRDefault="0018491B" w:rsidP="00F76018">
            <w:pPr>
              <w:pStyle w:val="BodyTextIndent3"/>
              <w:spacing w:before="60" w:after="60" w:line="240" w:lineRule="auto"/>
              <w:ind w:left="0" w:firstLine="0"/>
              <w:rPr>
                <w:rFonts w:cs="Arial"/>
              </w:rPr>
            </w:pPr>
            <w:r w:rsidRPr="0018491B">
              <w:rPr>
                <w:rFonts w:cs="Arial"/>
              </w:rPr>
              <w:t xml:space="preserve">Annually </w:t>
            </w:r>
            <w:r w:rsidR="002E5471">
              <w:rPr>
                <w:rFonts w:cs="Arial"/>
              </w:rPr>
              <w:t>in February</w:t>
            </w:r>
          </w:p>
        </w:tc>
      </w:tr>
      <w:tr w:rsidR="00250620" w14:paraId="409F651E" w14:textId="77777777" w:rsidTr="00F76018">
        <w:tc>
          <w:tcPr>
            <w:tcW w:w="6403"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EDC7CC8" w14:textId="7A063C32" w:rsidR="00250620" w:rsidRPr="0018491B" w:rsidRDefault="00250620" w:rsidP="00F76018">
            <w:pPr>
              <w:pStyle w:val="BodyTextIndent3"/>
              <w:spacing w:before="60" w:after="60" w:line="240" w:lineRule="auto"/>
              <w:ind w:left="0" w:firstLine="0"/>
              <w:rPr>
                <w:rFonts w:cs="Arial"/>
              </w:rPr>
            </w:pPr>
            <w:r w:rsidRPr="0018491B">
              <w:rPr>
                <w:rFonts w:cs="Arial"/>
              </w:rPr>
              <w:t>Creative Industries Festival</w:t>
            </w:r>
          </w:p>
        </w:tc>
        <w:tc>
          <w:tcPr>
            <w:tcW w:w="3685" w:type="dxa"/>
            <w:tcBorders>
              <w:top w:val="nil"/>
              <w:left w:val="nil"/>
              <w:bottom w:val="single" w:sz="4" w:space="0" w:color="auto"/>
              <w:right w:val="single" w:sz="8" w:space="0" w:color="auto"/>
            </w:tcBorders>
            <w:tcMar>
              <w:top w:w="0" w:type="dxa"/>
              <w:left w:w="108" w:type="dxa"/>
              <w:bottom w:w="0" w:type="dxa"/>
              <w:right w:w="108" w:type="dxa"/>
            </w:tcMar>
          </w:tcPr>
          <w:p w14:paraId="6BAC0096" w14:textId="68B4CFB1" w:rsidR="00250620" w:rsidRPr="0018491B" w:rsidRDefault="00250620" w:rsidP="00F76018">
            <w:pPr>
              <w:pStyle w:val="BodyTextIndent3"/>
              <w:spacing w:before="60" w:after="60" w:line="240" w:lineRule="auto"/>
              <w:ind w:left="0" w:firstLine="0"/>
              <w:rPr>
                <w:rFonts w:cs="Arial"/>
              </w:rPr>
            </w:pPr>
            <w:r>
              <w:rPr>
                <w:rFonts w:cs="Arial"/>
              </w:rPr>
              <w:t>Annually</w:t>
            </w:r>
            <w:r w:rsidR="002E5471">
              <w:rPr>
                <w:rFonts w:cs="Arial"/>
              </w:rPr>
              <w:t xml:space="preserve"> in September</w:t>
            </w:r>
          </w:p>
        </w:tc>
      </w:tr>
      <w:tr w:rsidR="0018491B" w:rsidRPr="004933E9" w14:paraId="4B834408" w14:textId="77777777" w:rsidTr="00F76018">
        <w:tc>
          <w:tcPr>
            <w:tcW w:w="6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D2B4FE" w14:textId="5C40559B" w:rsidR="0018491B" w:rsidRPr="0018491B" w:rsidRDefault="002E5471" w:rsidP="00F76018">
            <w:pPr>
              <w:pStyle w:val="BodyTextIndent3"/>
              <w:spacing w:before="60" w:after="60" w:line="240" w:lineRule="auto"/>
              <w:ind w:left="0" w:firstLine="0"/>
              <w:rPr>
                <w:rFonts w:cs="Arial"/>
              </w:rPr>
            </w:pPr>
            <w:r>
              <w:rPr>
                <w:rFonts w:cs="Arial"/>
              </w:rPr>
              <w:t>RDO</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6395B" w14:textId="6216A1A5" w:rsidR="0018491B" w:rsidRPr="0018491B" w:rsidRDefault="0018491B" w:rsidP="00F76018">
            <w:pPr>
              <w:pStyle w:val="BodyTextIndent3"/>
              <w:spacing w:before="60" w:after="60" w:line="240" w:lineRule="auto"/>
              <w:ind w:left="0" w:firstLine="0"/>
              <w:rPr>
                <w:rFonts w:cs="Arial"/>
              </w:rPr>
            </w:pPr>
            <w:r w:rsidRPr="0018491B">
              <w:rPr>
                <w:rFonts w:cs="Arial"/>
              </w:rPr>
              <w:t>Autumn 2027</w:t>
            </w:r>
            <w:r w:rsidR="002E5471">
              <w:rPr>
                <w:rFonts w:cs="Arial"/>
              </w:rPr>
              <w:t>, held every other year</w:t>
            </w:r>
          </w:p>
        </w:tc>
      </w:tr>
      <w:tr w:rsidR="0018491B" w:rsidRPr="004933E9" w14:paraId="556EB629" w14:textId="77777777" w:rsidTr="00F76018">
        <w:tc>
          <w:tcPr>
            <w:tcW w:w="6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D5B6EF" w14:textId="2A9D4226" w:rsidR="0018491B" w:rsidRPr="0018491B" w:rsidRDefault="0018491B" w:rsidP="00F76018">
            <w:pPr>
              <w:pStyle w:val="BodyTextIndent3"/>
              <w:spacing w:before="60" w:after="60" w:line="240" w:lineRule="auto"/>
              <w:ind w:left="0" w:firstLine="0"/>
              <w:rPr>
                <w:rFonts w:cs="Arial"/>
              </w:rPr>
            </w:pPr>
            <w:r w:rsidRPr="0018491B">
              <w:rPr>
                <w:rFonts w:cs="Arial"/>
              </w:rPr>
              <w:t xml:space="preserve">Royal Docks Waterways </w:t>
            </w:r>
            <w:r w:rsidR="002E5471">
              <w:rPr>
                <w:rFonts w:cs="Arial"/>
              </w:rPr>
              <w:t>F</w:t>
            </w:r>
            <w:r w:rsidRPr="0018491B">
              <w:rPr>
                <w:rFonts w:cs="Arial"/>
              </w:rPr>
              <w:t xml:space="preserve">loating Wellness </w:t>
            </w:r>
            <w:r w:rsidR="002E5471">
              <w:rPr>
                <w:rFonts w:cs="Arial"/>
              </w:rPr>
              <w:t>begins</w:t>
            </w:r>
            <w:r w:rsidR="002E5471" w:rsidRPr="0018491B">
              <w:rPr>
                <w:rFonts w:cs="Arial"/>
              </w:rPr>
              <w:t xml:space="preserve"> </w:t>
            </w:r>
            <w:r w:rsidRPr="0018491B">
              <w:rPr>
                <w:rFonts w:cs="Arial"/>
              </w:rPr>
              <w:t>build</w:t>
            </w:r>
            <w:r w:rsidR="002E5471">
              <w:rPr>
                <w:rFonts w:cs="Arial"/>
              </w:rPr>
              <w:t>ing</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A1FF" w14:textId="77777777" w:rsidR="0018491B" w:rsidRPr="0018491B" w:rsidRDefault="0018491B" w:rsidP="00F76018">
            <w:pPr>
              <w:pStyle w:val="BodyTextIndent3"/>
              <w:spacing w:before="60" w:after="60" w:line="240" w:lineRule="auto"/>
              <w:ind w:left="0" w:firstLine="0"/>
              <w:rPr>
                <w:rFonts w:cs="Arial"/>
              </w:rPr>
            </w:pPr>
            <w:r w:rsidRPr="0018491B">
              <w:rPr>
                <w:rFonts w:cs="Arial"/>
              </w:rPr>
              <w:t>Autumn 2027</w:t>
            </w:r>
          </w:p>
        </w:tc>
      </w:tr>
      <w:tr w:rsidR="0018491B" w:rsidRPr="004933E9" w14:paraId="0ED640DF" w14:textId="77777777" w:rsidTr="00F76018">
        <w:trPr>
          <w:trHeight w:val="73"/>
        </w:trPr>
        <w:tc>
          <w:tcPr>
            <w:tcW w:w="6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F2CEC" w14:textId="77777777" w:rsidR="0018491B" w:rsidRPr="0018491B" w:rsidRDefault="0018491B" w:rsidP="00F76018">
            <w:pPr>
              <w:pStyle w:val="BodyTextIndent3"/>
              <w:spacing w:before="60" w:after="60" w:line="240" w:lineRule="auto"/>
              <w:ind w:left="0" w:firstLine="0"/>
              <w:rPr>
                <w:rFonts w:cs="Arial"/>
              </w:rPr>
            </w:pPr>
            <w:r w:rsidRPr="0018491B">
              <w:rPr>
                <w:rFonts w:cs="Arial"/>
              </w:rPr>
              <w:t>Public Realm Framework Refresh</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B0E08" w14:textId="77777777" w:rsidR="0018491B" w:rsidRPr="0018491B" w:rsidRDefault="0018491B" w:rsidP="00F76018">
            <w:pPr>
              <w:pStyle w:val="BodyTextIndent3"/>
              <w:spacing w:before="60" w:after="60" w:line="240" w:lineRule="auto"/>
              <w:ind w:left="0" w:firstLine="0"/>
              <w:rPr>
                <w:rFonts w:cs="Arial"/>
              </w:rPr>
            </w:pPr>
            <w:r w:rsidRPr="0018491B">
              <w:rPr>
                <w:rFonts w:cs="Arial"/>
              </w:rPr>
              <w:t>Early 2027</w:t>
            </w:r>
          </w:p>
        </w:tc>
      </w:tr>
      <w:tr w:rsidR="0018491B" w:rsidRPr="004933E9" w14:paraId="30C412D8" w14:textId="77777777" w:rsidTr="00F76018">
        <w:tc>
          <w:tcPr>
            <w:tcW w:w="6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35712" w14:textId="77777777" w:rsidR="0018491B" w:rsidRPr="0018491B" w:rsidRDefault="0018491B" w:rsidP="00F76018">
            <w:pPr>
              <w:pStyle w:val="BodyTextIndent3"/>
              <w:spacing w:before="60" w:after="60" w:line="240" w:lineRule="auto"/>
              <w:ind w:left="0" w:firstLine="0"/>
              <w:rPr>
                <w:rFonts w:cs="Arial"/>
              </w:rPr>
            </w:pPr>
            <w:r w:rsidRPr="0018491B">
              <w:rPr>
                <w:rFonts w:cs="Arial"/>
              </w:rPr>
              <w:t>Transport Strategy</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01FE2" w14:textId="77777777" w:rsidR="0018491B" w:rsidRPr="0018491B" w:rsidRDefault="0018491B" w:rsidP="00F76018">
            <w:pPr>
              <w:pStyle w:val="BodyTextIndent3"/>
              <w:spacing w:before="60" w:after="60" w:line="240" w:lineRule="auto"/>
              <w:ind w:left="0" w:firstLine="0"/>
              <w:rPr>
                <w:rFonts w:cs="Arial"/>
              </w:rPr>
            </w:pPr>
            <w:r w:rsidRPr="0018491B">
              <w:rPr>
                <w:rFonts w:cs="Arial"/>
              </w:rPr>
              <w:t>Late 2027</w:t>
            </w:r>
          </w:p>
        </w:tc>
      </w:tr>
    </w:tbl>
    <w:p w14:paraId="650AD8CF" w14:textId="77777777" w:rsidR="00FC4709" w:rsidRDefault="00FC4709">
      <w:pPr>
        <w:pStyle w:val="BodyTextIndent3"/>
        <w:spacing w:line="240" w:lineRule="auto"/>
        <w:ind w:left="0" w:firstLine="0"/>
        <w:rPr>
          <w:rFonts w:cs="Arial"/>
          <w:szCs w:val="24"/>
        </w:rPr>
      </w:pPr>
    </w:p>
    <w:p w14:paraId="7FB09625" w14:textId="4BA055FE" w:rsidR="000479A9" w:rsidRDefault="000479A9" w:rsidP="000479A9">
      <w:pPr>
        <w:pStyle w:val="Header"/>
        <w:tabs>
          <w:tab w:val="clear" w:pos="4320"/>
          <w:tab w:val="clear" w:pos="8640"/>
        </w:tabs>
        <w:ind w:left="0" w:firstLine="0"/>
        <w:rPr>
          <w:rFonts w:ascii="Foundry Form Sans" w:hAnsi="Foundry Form Sans" w:cs="Arial"/>
          <w:b/>
          <w:szCs w:val="24"/>
        </w:rPr>
      </w:pPr>
      <w:r w:rsidRPr="00866CB4">
        <w:rPr>
          <w:rFonts w:ascii="Foundry Form Sans" w:hAnsi="Foundry Form Sans" w:cs="Arial"/>
          <w:b/>
          <w:szCs w:val="24"/>
        </w:rPr>
        <w:t>Appendices and supporting papers:</w:t>
      </w:r>
    </w:p>
    <w:p w14:paraId="341A9620" w14:textId="26F22DE2" w:rsidR="00D53549" w:rsidRPr="000A40CC" w:rsidRDefault="000A40CC" w:rsidP="000A40CC">
      <w:pPr>
        <w:pStyle w:val="Header"/>
        <w:tabs>
          <w:tab w:val="clear" w:pos="4320"/>
          <w:tab w:val="clear" w:pos="8640"/>
        </w:tabs>
        <w:spacing w:before="60" w:after="60"/>
        <w:ind w:left="0" w:firstLine="0"/>
        <w:rPr>
          <w:rFonts w:ascii="Foundry Form Sans" w:hAnsi="Foundry Form Sans" w:cs="Arial"/>
          <w:bCs/>
          <w:szCs w:val="24"/>
        </w:rPr>
        <w:sectPr w:rsidR="00D53549" w:rsidRPr="000A40CC" w:rsidSect="003945EF">
          <w:pgSz w:w="11906" w:h="16838"/>
          <w:pgMar w:top="964" w:right="851" w:bottom="964" w:left="851" w:header="709" w:footer="709" w:gutter="0"/>
          <w:cols w:space="708"/>
          <w:docGrid w:linePitch="360"/>
        </w:sectPr>
      </w:pPr>
      <w:r w:rsidRPr="00E909EA">
        <w:rPr>
          <w:rFonts w:ascii="Foundry Form Sans" w:hAnsi="Foundry Form Sans" w:cs="Arial"/>
          <w:bCs/>
          <w:szCs w:val="24"/>
        </w:rPr>
        <w:t>None</w:t>
      </w:r>
      <w:r>
        <w:rPr>
          <w:rFonts w:ascii="Foundry Form Sans" w:hAnsi="Foundry Form Sans" w:cs="Arial"/>
          <w:bCs/>
          <w:szCs w:val="24"/>
        </w:rPr>
        <w:t>.</w:t>
      </w:r>
    </w:p>
    <w:tbl>
      <w:tblPr>
        <w:tblW w:w="10348" w:type="dxa"/>
        <w:tblInd w:w="108" w:type="dxa"/>
        <w:tblBorders>
          <w:top w:val="single" w:sz="4" w:space="0" w:color="auto"/>
          <w:left w:val="single" w:sz="4" w:space="0" w:color="auto"/>
          <w:bottom w:val="single" w:sz="4" w:space="0" w:color="auto"/>
          <w:right w:val="single" w:sz="4" w:space="0" w:color="auto"/>
        </w:tblBorders>
        <w:shd w:val="clear" w:color="auto" w:fill="F2F2F2"/>
        <w:tblLook w:val="01E0" w:firstRow="1" w:lastRow="1" w:firstColumn="1" w:lastColumn="1" w:noHBand="0" w:noVBand="0"/>
      </w:tblPr>
      <w:tblGrid>
        <w:gridCol w:w="10348"/>
      </w:tblGrid>
      <w:tr w:rsidR="005C7B8C" w:rsidRPr="00866CB4" w14:paraId="5932C0BF" w14:textId="77777777" w:rsidTr="0095176F">
        <w:tc>
          <w:tcPr>
            <w:tcW w:w="10348" w:type="dxa"/>
            <w:tcBorders>
              <w:top w:val="single" w:sz="4" w:space="0" w:color="auto"/>
              <w:left w:val="single" w:sz="4" w:space="0" w:color="auto"/>
              <w:bottom w:val="nil"/>
              <w:right w:val="single" w:sz="4" w:space="0" w:color="auto"/>
            </w:tcBorders>
            <w:shd w:val="clear" w:color="auto" w:fill="F2F2F2"/>
            <w:hideMark/>
          </w:tcPr>
          <w:p w14:paraId="3A6F418E" w14:textId="77777777" w:rsidR="005C7B8C" w:rsidRPr="00866CB4" w:rsidRDefault="005C7B8C" w:rsidP="004360DB">
            <w:pPr>
              <w:spacing w:before="120" w:after="120"/>
              <w:rPr>
                <w:rFonts w:cs="Arial"/>
                <w:b/>
              </w:rPr>
            </w:pPr>
            <w:r w:rsidRPr="00866CB4">
              <w:rPr>
                <w:rFonts w:cs="Arial"/>
                <w:b/>
              </w:rPr>
              <w:lastRenderedPageBreak/>
              <w:t>Public access to information</w:t>
            </w:r>
          </w:p>
        </w:tc>
      </w:tr>
      <w:tr w:rsidR="005C7B8C" w:rsidRPr="00866CB4" w14:paraId="2F04D204" w14:textId="77777777" w:rsidTr="0095176F">
        <w:tc>
          <w:tcPr>
            <w:tcW w:w="10348" w:type="dxa"/>
            <w:tcBorders>
              <w:top w:val="nil"/>
              <w:left w:val="single" w:sz="4" w:space="0" w:color="auto"/>
              <w:bottom w:val="single" w:sz="4" w:space="0" w:color="auto"/>
              <w:right w:val="single" w:sz="4" w:space="0" w:color="auto"/>
            </w:tcBorders>
            <w:shd w:val="clear" w:color="auto" w:fill="F2F2F2"/>
          </w:tcPr>
          <w:p w14:paraId="0B194944" w14:textId="3A561105" w:rsidR="005C7B8C" w:rsidRPr="00866CB4" w:rsidRDefault="005C7B8C" w:rsidP="004360DB">
            <w:pPr>
              <w:spacing w:after="120"/>
              <w:rPr>
                <w:rFonts w:cs="Arial"/>
              </w:rPr>
            </w:pPr>
            <w:r w:rsidRPr="00866CB4">
              <w:rPr>
                <w:rFonts w:cs="Arial"/>
              </w:rPr>
              <w:t>Information in this form (Part 1) is subject to the Freedom of Information Act 2000 (</w:t>
            </w:r>
            <w:proofErr w:type="spellStart"/>
            <w:r w:rsidR="004360DB" w:rsidRPr="00866CB4">
              <w:rPr>
                <w:rFonts w:cs="Arial"/>
              </w:rPr>
              <w:t>F</w:t>
            </w:r>
            <w:r w:rsidR="004360DB">
              <w:rPr>
                <w:rFonts w:cs="Arial"/>
              </w:rPr>
              <w:t>o</w:t>
            </w:r>
            <w:r w:rsidR="004360DB" w:rsidRPr="00866CB4">
              <w:rPr>
                <w:rFonts w:cs="Arial"/>
              </w:rPr>
              <w:t>I</w:t>
            </w:r>
            <w:r w:rsidR="004360DB">
              <w:rPr>
                <w:rFonts w:cs="Arial"/>
              </w:rPr>
              <w:t>A</w:t>
            </w:r>
            <w:proofErr w:type="spellEnd"/>
            <w:r w:rsidRPr="00866CB4">
              <w:rPr>
                <w:rFonts w:cs="Arial"/>
              </w:rPr>
              <w:t>) and will be made available on the GLA website within one working day of approval.</w:t>
            </w:r>
            <w:r w:rsidR="00EA1F8B">
              <w:rPr>
                <w:rFonts w:cs="Arial"/>
              </w:rPr>
              <w:t xml:space="preserve"> </w:t>
            </w:r>
          </w:p>
          <w:p w14:paraId="641C5C11" w14:textId="288E4F7D" w:rsidR="005C7B8C" w:rsidRPr="00866CB4" w:rsidRDefault="005C7B8C" w:rsidP="004360DB">
            <w:pPr>
              <w:spacing w:before="120" w:after="120"/>
              <w:rPr>
                <w:rFonts w:cs="Arial"/>
              </w:rPr>
            </w:pPr>
            <w:r w:rsidRPr="00866CB4">
              <w:rPr>
                <w:rFonts w:cs="Arial"/>
              </w:rPr>
              <w:t>If immediate publication risks compromising the implementation of the decision (for example, to complete a procurement process), it can be deferred until a specific date.</w:t>
            </w:r>
            <w:r w:rsidR="00EA1F8B">
              <w:rPr>
                <w:rFonts w:cs="Arial"/>
              </w:rPr>
              <w:t xml:space="preserve"> </w:t>
            </w:r>
            <w:r w:rsidRPr="00866CB4">
              <w:rPr>
                <w:rFonts w:cs="Arial"/>
              </w:rPr>
              <w:t>Deferral periods should be kept to the shortest length strictly necessary.</w:t>
            </w:r>
            <w:r w:rsidR="00EA1F8B">
              <w:rPr>
                <w:rFonts w:cs="Arial"/>
              </w:rPr>
              <w:t xml:space="preserve"> </w:t>
            </w:r>
            <w:r w:rsidRPr="00866CB4">
              <w:rPr>
                <w:rFonts w:cs="Arial"/>
                <w:b/>
              </w:rPr>
              <w:t>Not</w:t>
            </w:r>
            <w:r w:rsidRPr="006A19B5">
              <w:rPr>
                <w:rFonts w:cs="Arial"/>
                <w:b/>
              </w:rPr>
              <w:t>e</w:t>
            </w:r>
            <w:r w:rsidRPr="001A74E2">
              <w:rPr>
                <w:rFonts w:cs="Arial"/>
                <w:b/>
              </w:rPr>
              <w:t>:</w:t>
            </w:r>
            <w:r w:rsidRPr="00866CB4">
              <w:rPr>
                <w:rFonts w:cs="Arial"/>
              </w:rPr>
              <w:t xml:space="preserve"> This form (Part 1) </w:t>
            </w:r>
            <w:r w:rsidR="00EA1F8B">
              <w:rPr>
                <w:rFonts w:cs="Arial"/>
              </w:rPr>
              <w:t>will be published either within</w:t>
            </w:r>
            <w:r w:rsidRPr="00866CB4">
              <w:rPr>
                <w:rFonts w:cs="Arial"/>
              </w:rPr>
              <w:t xml:space="preserve"> one working day after </w:t>
            </w:r>
            <w:r w:rsidR="004360DB">
              <w:rPr>
                <w:rFonts w:cs="Arial"/>
              </w:rPr>
              <w:t xml:space="preserve">it has been </w:t>
            </w:r>
            <w:r w:rsidR="00C01B51">
              <w:rPr>
                <w:rFonts w:cs="Arial"/>
              </w:rPr>
              <w:t>approved</w:t>
            </w:r>
            <w:r w:rsidRPr="00866CB4">
              <w:rPr>
                <w:rFonts w:cs="Arial"/>
              </w:rPr>
              <w:t xml:space="preserve"> </w:t>
            </w:r>
            <w:r w:rsidRPr="00866CB4">
              <w:rPr>
                <w:rFonts w:cs="Arial"/>
                <w:u w:val="single"/>
              </w:rPr>
              <w:t>or</w:t>
            </w:r>
            <w:r w:rsidRPr="00866CB4">
              <w:rPr>
                <w:rFonts w:cs="Arial"/>
              </w:rPr>
              <w:t xml:space="preserve"> on the defer date.</w:t>
            </w:r>
          </w:p>
        </w:tc>
      </w:tr>
      <w:tr w:rsidR="0092353F" w:rsidRPr="00866CB4" w14:paraId="77B09405" w14:textId="77777777" w:rsidTr="0095176F">
        <w:tc>
          <w:tcPr>
            <w:tcW w:w="10348" w:type="dxa"/>
            <w:tcBorders>
              <w:top w:val="nil"/>
              <w:left w:val="single" w:sz="4" w:space="0" w:color="auto"/>
              <w:bottom w:val="single" w:sz="4" w:space="0" w:color="auto"/>
              <w:right w:val="single" w:sz="4" w:space="0" w:color="auto"/>
            </w:tcBorders>
            <w:shd w:val="clear" w:color="auto" w:fill="F2F2F2"/>
          </w:tcPr>
          <w:p w14:paraId="3832E7C0" w14:textId="77777777" w:rsidR="0092353F" w:rsidRPr="009E6F35" w:rsidRDefault="0092353F" w:rsidP="0092353F">
            <w:pPr>
              <w:spacing w:before="60" w:after="60"/>
              <w:rPr>
                <w:rFonts w:cs="Arial"/>
                <w:b/>
                <w:bCs/>
              </w:rPr>
            </w:pPr>
            <w:r w:rsidRPr="009E6F35">
              <w:rPr>
                <w:rFonts w:cs="Arial"/>
                <w:b/>
                <w:bCs/>
              </w:rPr>
              <w:t>Strategic Programmes</w:t>
            </w:r>
          </w:p>
          <w:p w14:paraId="13F1936F" w14:textId="01D72F51" w:rsidR="0092353F" w:rsidRPr="009E6F35" w:rsidRDefault="0092353F" w:rsidP="0092353F">
            <w:pPr>
              <w:spacing w:before="60" w:after="60"/>
              <w:rPr>
                <w:rFonts w:cs="Arial"/>
                <w:b/>
                <w:bCs/>
              </w:rPr>
            </w:pPr>
            <w:r w:rsidRPr="009E6F35">
              <w:rPr>
                <w:rFonts w:cs="Arial"/>
                <w:b/>
                <w:bCs/>
              </w:rPr>
              <w:t>Does this decision seek approval for activity falling within the remit of a programme delivery plan? Y</w:t>
            </w:r>
            <w:r w:rsidR="0080145D">
              <w:rPr>
                <w:rFonts w:cs="Arial"/>
                <w:b/>
                <w:bCs/>
              </w:rPr>
              <w:t>es</w:t>
            </w:r>
          </w:p>
          <w:p w14:paraId="20304AC1" w14:textId="6DFF87BD" w:rsidR="0092353F" w:rsidRPr="00866CB4" w:rsidRDefault="0092353F" w:rsidP="0092353F">
            <w:pPr>
              <w:spacing w:after="120"/>
              <w:rPr>
                <w:rFonts w:cs="Arial"/>
              </w:rPr>
            </w:pPr>
            <w:r w:rsidRPr="009E6F35">
              <w:rPr>
                <w:rFonts w:cs="Arial"/>
              </w:rPr>
              <w:t>If YES, which programmes does this fall within:</w:t>
            </w:r>
            <w:r w:rsidR="00756740">
              <w:rPr>
                <w:rFonts w:cs="Arial"/>
              </w:rPr>
              <w:t xml:space="preserve"> </w:t>
            </w:r>
            <w:r w:rsidR="00FC1D10">
              <w:rPr>
                <w:rFonts w:cs="Arial"/>
              </w:rPr>
              <w:t>Building More Homes/</w:t>
            </w:r>
            <w:r w:rsidR="00756740">
              <w:rPr>
                <w:rFonts w:cs="Arial"/>
              </w:rPr>
              <w:t>Royal Docks Programme</w:t>
            </w:r>
          </w:p>
        </w:tc>
      </w:tr>
      <w:tr w:rsidR="005C7B8C" w:rsidRPr="00866CB4" w14:paraId="4EA475AD" w14:textId="77777777" w:rsidTr="0095176F">
        <w:tc>
          <w:tcPr>
            <w:tcW w:w="10348" w:type="dxa"/>
            <w:tcBorders>
              <w:top w:val="single" w:sz="4" w:space="0" w:color="auto"/>
              <w:left w:val="single" w:sz="4" w:space="0" w:color="auto"/>
              <w:bottom w:val="nil"/>
              <w:right w:val="single" w:sz="4" w:space="0" w:color="auto"/>
            </w:tcBorders>
            <w:shd w:val="clear" w:color="auto" w:fill="F2F2F2"/>
          </w:tcPr>
          <w:p w14:paraId="66F9B51F" w14:textId="7EF04E97" w:rsidR="005C7B8C" w:rsidRDefault="005C7B8C" w:rsidP="004360DB">
            <w:pPr>
              <w:spacing w:before="120" w:after="120"/>
              <w:rPr>
                <w:rFonts w:cs="Arial"/>
              </w:rPr>
            </w:pPr>
            <w:r w:rsidRPr="00866CB4">
              <w:rPr>
                <w:rFonts w:cs="Arial"/>
                <w:b/>
              </w:rPr>
              <w:t>Part 1</w:t>
            </w:r>
            <w:r w:rsidR="00EA1F8B">
              <w:rPr>
                <w:rFonts w:cs="Arial"/>
                <w:b/>
              </w:rPr>
              <w:t xml:space="preserve"> – </w:t>
            </w:r>
            <w:r w:rsidRPr="00866CB4">
              <w:rPr>
                <w:rFonts w:cs="Arial"/>
                <w:b/>
              </w:rPr>
              <w:t>Deferral</w:t>
            </w:r>
          </w:p>
          <w:p w14:paraId="14A66604" w14:textId="42C0F623" w:rsidR="004360DB" w:rsidRPr="00866CB4" w:rsidRDefault="004360DB" w:rsidP="004360DB">
            <w:pPr>
              <w:spacing w:before="120" w:after="120"/>
              <w:rPr>
                <w:rFonts w:cs="Arial"/>
              </w:rPr>
            </w:pPr>
            <w:r w:rsidRPr="00866CB4">
              <w:rPr>
                <w:rFonts w:cs="Arial"/>
                <w:b/>
              </w:rPr>
              <w:t>Is the publication of Part 1 of this approval to be deferred? N</w:t>
            </w:r>
            <w:r w:rsidR="0080145D">
              <w:rPr>
                <w:rFonts w:cs="Arial"/>
                <w:b/>
              </w:rPr>
              <w:t>o</w:t>
            </w:r>
          </w:p>
        </w:tc>
      </w:tr>
      <w:tr w:rsidR="005C7B8C" w:rsidRPr="00866CB4" w14:paraId="449D107B" w14:textId="77777777" w:rsidTr="0095176F">
        <w:trPr>
          <w:trHeight w:val="1130"/>
        </w:trPr>
        <w:tc>
          <w:tcPr>
            <w:tcW w:w="10348" w:type="dxa"/>
            <w:tcBorders>
              <w:top w:val="single" w:sz="4" w:space="0" w:color="auto"/>
              <w:left w:val="single" w:sz="4" w:space="0" w:color="auto"/>
              <w:bottom w:val="single" w:sz="4" w:space="0" w:color="auto"/>
              <w:right w:val="single" w:sz="4" w:space="0" w:color="auto"/>
            </w:tcBorders>
            <w:shd w:val="clear" w:color="auto" w:fill="F2F2F2"/>
          </w:tcPr>
          <w:p w14:paraId="6D5740A0" w14:textId="77777777" w:rsidR="00FF25B1" w:rsidRDefault="005C7B8C" w:rsidP="004360DB">
            <w:pPr>
              <w:spacing w:before="120" w:after="120"/>
              <w:rPr>
                <w:lang w:eastAsia="en-GB"/>
              </w:rPr>
            </w:pPr>
            <w:r w:rsidRPr="00866CB4">
              <w:rPr>
                <w:rFonts w:cs="Arial"/>
                <w:b/>
              </w:rPr>
              <w:t xml:space="preserve">Part 2 </w:t>
            </w:r>
            <w:r w:rsidR="00FF25B1">
              <w:rPr>
                <w:rFonts w:cs="Arial"/>
                <w:b/>
              </w:rPr>
              <w:t>– Sensitive information</w:t>
            </w:r>
            <w:r w:rsidRPr="00866CB4">
              <w:rPr>
                <w:lang w:eastAsia="en-GB"/>
              </w:rPr>
              <w:t xml:space="preserve"> </w:t>
            </w:r>
          </w:p>
          <w:p w14:paraId="47573A7A" w14:textId="077A4894" w:rsidR="005C7B8C" w:rsidRPr="00866CB4" w:rsidRDefault="005C7B8C" w:rsidP="004360DB">
            <w:pPr>
              <w:spacing w:before="120" w:after="120"/>
              <w:rPr>
                <w:rFonts w:cs="Arial"/>
              </w:rPr>
            </w:pPr>
            <w:r w:rsidRPr="00866CB4">
              <w:rPr>
                <w:rFonts w:cs="Arial"/>
              </w:rPr>
              <w:t xml:space="preserve">Only the facts or advice </w:t>
            </w:r>
            <w:r w:rsidR="00FF25B1">
              <w:rPr>
                <w:rFonts w:cs="Arial"/>
              </w:rPr>
              <w:t xml:space="preserve">that would be </w:t>
            </w:r>
            <w:r w:rsidRPr="00866CB4">
              <w:rPr>
                <w:rFonts w:cs="Arial"/>
              </w:rPr>
              <w:t xml:space="preserve">exempt from disclosure </w:t>
            </w:r>
            <w:r w:rsidR="00EA1F8B">
              <w:rPr>
                <w:rFonts w:cs="Arial"/>
              </w:rPr>
              <w:t xml:space="preserve">under the </w:t>
            </w:r>
            <w:proofErr w:type="spellStart"/>
            <w:r w:rsidR="00EA1F8B">
              <w:rPr>
                <w:rFonts w:cs="Arial"/>
              </w:rPr>
              <w:t>FoIA</w:t>
            </w:r>
            <w:proofErr w:type="spellEnd"/>
            <w:r w:rsidRPr="00866CB4">
              <w:rPr>
                <w:rFonts w:cs="Arial"/>
              </w:rPr>
              <w:t xml:space="preserve"> should be </w:t>
            </w:r>
            <w:r w:rsidR="00FF25B1">
              <w:rPr>
                <w:rFonts w:cs="Arial"/>
              </w:rPr>
              <w:t xml:space="preserve">included </w:t>
            </w:r>
            <w:r w:rsidRPr="00866CB4">
              <w:rPr>
                <w:rFonts w:cs="Arial"/>
              </w:rPr>
              <w:t>in the separate Part 2 form, together with the legal rationale for non-publication.</w:t>
            </w:r>
          </w:p>
          <w:p w14:paraId="786B3A00" w14:textId="00245EC2" w:rsidR="005C7B8C" w:rsidRPr="00866CB4" w:rsidRDefault="00EA1F8B" w:rsidP="004360DB">
            <w:pPr>
              <w:spacing w:before="120" w:after="120"/>
              <w:rPr>
                <w:rFonts w:cs="Arial"/>
                <w:b/>
                <w:u w:val="single"/>
              </w:rPr>
            </w:pPr>
            <w:r>
              <w:rPr>
                <w:rFonts w:cs="Arial"/>
                <w:b/>
              </w:rPr>
              <w:t>Is there a part 2 form?</w:t>
            </w:r>
            <w:r w:rsidR="005C7B8C" w:rsidRPr="00866CB4">
              <w:rPr>
                <w:rFonts w:cs="Arial"/>
                <w:b/>
              </w:rPr>
              <w:t xml:space="preserve"> </w:t>
            </w:r>
            <w:r w:rsidR="0080145D">
              <w:rPr>
                <w:rFonts w:cs="Arial"/>
                <w:b/>
              </w:rPr>
              <w:t>Yes</w:t>
            </w:r>
            <w:r w:rsidR="005C7B8C" w:rsidRPr="00866CB4">
              <w:rPr>
                <w:rFonts w:cs="Arial"/>
                <w:b/>
              </w:rPr>
              <w:t xml:space="preserve"> </w:t>
            </w:r>
          </w:p>
        </w:tc>
      </w:tr>
    </w:tbl>
    <w:p w14:paraId="588E0989" w14:textId="77777777" w:rsidR="005C7B8C" w:rsidRPr="00866CB4" w:rsidRDefault="005C7B8C" w:rsidP="003945EF">
      <w:pPr>
        <w:outlineLvl w:val="0"/>
        <w:rPr>
          <w:rFonts w:cs="Arial"/>
          <w:b/>
          <w:bCs/>
        </w:rPr>
      </w:pPr>
    </w:p>
    <w:tbl>
      <w:tblPr>
        <w:tblW w:w="1032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22"/>
        <w:gridCol w:w="2098"/>
      </w:tblGrid>
      <w:tr w:rsidR="006A4026" w:rsidRPr="00866CB4" w14:paraId="7EEFBDA9" w14:textId="77777777" w:rsidTr="003945EF">
        <w:trPr>
          <w:trHeight w:val="409"/>
        </w:trPr>
        <w:tc>
          <w:tcPr>
            <w:tcW w:w="8222" w:type="dxa"/>
          </w:tcPr>
          <w:p w14:paraId="5C10B837" w14:textId="77777777" w:rsidR="006A4026" w:rsidRPr="00866CB4" w:rsidRDefault="003945EF" w:rsidP="003945EF">
            <w:pPr>
              <w:pStyle w:val="Header"/>
              <w:tabs>
                <w:tab w:val="clear" w:pos="4320"/>
                <w:tab w:val="clear" w:pos="8640"/>
              </w:tabs>
              <w:ind w:left="0" w:firstLine="0"/>
              <w:rPr>
                <w:rFonts w:ascii="Foundry Form Sans" w:hAnsi="Foundry Form Sans" w:cs="Arial"/>
                <w:b/>
                <w:szCs w:val="24"/>
              </w:rPr>
            </w:pPr>
            <w:r w:rsidRPr="00866CB4">
              <w:rPr>
                <w:rFonts w:ascii="Foundry Form Sans" w:hAnsi="Foundry Form Sans" w:cs="Arial"/>
                <w:b/>
                <w:bCs/>
              </w:rPr>
              <w:t>ORIGINATING OFFICER DECLARATION:</w:t>
            </w:r>
          </w:p>
        </w:tc>
        <w:tc>
          <w:tcPr>
            <w:tcW w:w="2098" w:type="dxa"/>
          </w:tcPr>
          <w:p w14:paraId="087801F5" w14:textId="77777777" w:rsidR="006A4026" w:rsidRPr="00866CB4" w:rsidRDefault="00AE7616" w:rsidP="003945EF">
            <w:pPr>
              <w:pStyle w:val="Header"/>
              <w:tabs>
                <w:tab w:val="clear" w:pos="4320"/>
                <w:tab w:val="clear" w:pos="8640"/>
              </w:tabs>
              <w:ind w:left="0" w:firstLine="0"/>
              <w:jc w:val="center"/>
              <w:rPr>
                <w:rFonts w:ascii="Foundry Form Sans" w:hAnsi="Foundry Form Sans" w:cs="Arial"/>
                <w:szCs w:val="24"/>
              </w:rPr>
            </w:pPr>
            <w:r w:rsidRPr="00866CB4">
              <w:rPr>
                <w:rFonts w:ascii="Foundry Form Sans" w:hAnsi="Foundry Form Sans" w:cs="Arial"/>
                <w:szCs w:val="24"/>
              </w:rPr>
              <w:t>Drafting officer to confirm the following</w:t>
            </w:r>
            <w:r w:rsidR="006A4026" w:rsidRPr="00866CB4">
              <w:rPr>
                <w:rFonts w:ascii="Foundry Form Sans" w:hAnsi="Foundry Form Sans" w:cs="Arial"/>
                <w:szCs w:val="24"/>
              </w:rPr>
              <w:t xml:space="preserve"> (</w:t>
            </w:r>
            <w:r w:rsidR="006A4026" w:rsidRPr="00866CB4">
              <w:rPr>
                <w:rFonts w:ascii="Foundry Form Sans" w:hAnsi="Foundry Form Sans" w:cs="Arial"/>
                <w:szCs w:val="24"/>
              </w:rPr>
              <w:sym w:font="Wingdings" w:char="F0FC"/>
            </w:r>
            <w:r w:rsidR="006A4026" w:rsidRPr="00866CB4">
              <w:rPr>
                <w:rFonts w:ascii="Foundry Form Sans" w:hAnsi="Foundry Form Sans" w:cs="Arial"/>
                <w:szCs w:val="24"/>
              </w:rPr>
              <w:t>)</w:t>
            </w:r>
          </w:p>
        </w:tc>
      </w:tr>
      <w:tr w:rsidR="00360F25" w:rsidRPr="00866CB4" w14:paraId="3F680956" w14:textId="77777777" w:rsidTr="005C7B8C">
        <w:trPr>
          <w:trHeight w:val="867"/>
        </w:trPr>
        <w:tc>
          <w:tcPr>
            <w:tcW w:w="8222" w:type="dxa"/>
          </w:tcPr>
          <w:p w14:paraId="4E4BFC4C" w14:textId="77777777" w:rsidR="00360F25" w:rsidRPr="00866CB4" w:rsidRDefault="00360F25" w:rsidP="00FF25B1">
            <w:pPr>
              <w:pStyle w:val="Header"/>
              <w:tabs>
                <w:tab w:val="clear" w:pos="4320"/>
                <w:tab w:val="clear" w:pos="8640"/>
              </w:tabs>
              <w:spacing w:before="60" w:after="60"/>
              <w:ind w:left="0" w:firstLine="0"/>
              <w:rPr>
                <w:rFonts w:ascii="Foundry Form Sans" w:hAnsi="Foundry Form Sans" w:cs="Arial"/>
                <w:b/>
                <w:szCs w:val="24"/>
              </w:rPr>
            </w:pPr>
            <w:r w:rsidRPr="00866CB4">
              <w:rPr>
                <w:rFonts w:ascii="Foundry Form Sans" w:hAnsi="Foundry Form Sans" w:cs="Arial"/>
                <w:b/>
                <w:szCs w:val="24"/>
              </w:rPr>
              <w:t>Drafting officer:</w:t>
            </w:r>
          </w:p>
          <w:p w14:paraId="541ACBD8" w14:textId="0FAD192C" w:rsidR="0021671D" w:rsidRPr="00866CB4" w:rsidRDefault="0080145D" w:rsidP="00FF25B1">
            <w:pPr>
              <w:pStyle w:val="Header"/>
              <w:tabs>
                <w:tab w:val="clear" w:pos="4320"/>
                <w:tab w:val="clear" w:pos="8640"/>
              </w:tabs>
              <w:spacing w:before="60" w:after="60"/>
              <w:ind w:left="0" w:firstLine="0"/>
              <w:rPr>
                <w:rFonts w:ascii="Foundry Form Sans" w:hAnsi="Foundry Form Sans" w:cs="Arial"/>
                <w:szCs w:val="24"/>
              </w:rPr>
            </w:pPr>
            <w:r w:rsidRPr="0080145D">
              <w:rPr>
                <w:rFonts w:ascii="Foundry Form Sans" w:hAnsi="Foundry Form Sans" w:cs="Arial"/>
                <w:szCs w:val="24"/>
              </w:rPr>
              <w:t xml:space="preserve">Paul Creed </w:t>
            </w:r>
            <w:r w:rsidR="00360F25" w:rsidRPr="00866CB4">
              <w:rPr>
                <w:rFonts w:ascii="Foundry Form Sans" w:hAnsi="Foundry Form Sans" w:cs="Arial"/>
                <w:szCs w:val="24"/>
              </w:rPr>
              <w:t>has drafted this report in accordance with GLA procedures and confirms the following</w:t>
            </w:r>
            <w:r w:rsidR="0072108F">
              <w:rPr>
                <w:rFonts w:ascii="Foundry Form Sans" w:hAnsi="Foundry Form Sans" w:cs="Arial"/>
                <w:szCs w:val="24"/>
              </w:rPr>
              <w:t>:</w:t>
            </w:r>
          </w:p>
        </w:tc>
        <w:tc>
          <w:tcPr>
            <w:tcW w:w="2098" w:type="dxa"/>
          </w:tcPr>
          <w:p w14:paraId="230B0E50" w14:textId="77777777" w:rsidR="00360F25" w:rsidRPr="00866CB4" w:rsidRDefault="00360F25" w:rsidP="003945EF">
            <w:pPr>
              <w:pStyle w:val="Header"/>
              <w:tabs>
                <w:tab w:val="clear" w:pos="4320"/>
                <w:tab w:val="clear" w:pos="8640"/>
              </w:tabs>
              <w:ind w:left="0" w:firstLine="0"/>
              <w:jc w:val="center"/>
              <w:rPr>
                <w:rFonts w:ascii="Foundry Form Sans" w:hAnsi="Foundry Form Sans" w:cs="Arial"/>
                <w:b/>
                <w:iCs/>
                <w:szCs w:val="24"/>
              </w:rPr>
            </w:pPr>
          </w:p>
          <w:p w14:paraId="7A30DBAA" w14:textId="48067362" w:rsidR="00360F25" w:rsidRPr="00866CB4" w:rsidRDefault="00DD78CD" w:rsidP="003945EF">
            <w:pPr>
              <w:pStyle w:val="Header"/>
              <w:tabs>
                <w:tab w:val="clear" w:pos="4320"/>
                <w:tab w:val="clear" w:pos="8640"/>
              </w:tabs>
              <w:ind w:left="0" w:firstLine="0"/>
              <w:jc w:val="center"/>
              <w:rPr>
                <w:rFonts w:ascii="Foundry Form Sans" w:hAnsi="Foundry Form Sans" w:cs="Arial"/>
                <w:b/>
                <w:iCs/>
                <w:szCs w:val="24"/>
              </w:rPr>
            </w:pPr>
            <w:r w:rsidRPr="00740E22">
              <w:rPr>
                <w:rFonts w:ascii="Foundry Form Sans" w:hAnsi="Foundry Form Sans" w:cs="Arial"/>
                <w:szCs w:val="24"/>
              </w:rPr>
              <w:sym w:font="Wingdings" w:char="F0FC"/>
            </w:r>
          </w:p>
        </w:tc>
      </w:tr>
      <w:tr w:rsidR="006A4026" w:rsidRPr="00866CB4" w14:paraId="6E743747" w14:textId="77777777" w:rsidTr="005C7B8C">
        <w:trPr>
          <w:trHeight w:val="707"/>
        </w:trPr>
        <w:tc>
          <w:tcPr>
            <w:tcW w:w="8222" w:type="dxa"/>
          </w:tcPr>
          <w:p w14:paraId="153AF665" w14:textId="77777777" w:rsidR="00444775" w:rsidRPr="00444775" w:rsidRDefault="00444775" w:rsidP="00444775">
            <w:pPr>
              <w:pStyle w:val="Header"/>
              <w:spacing w:before="60" w:after="60"/>
              <w:rPr>
                <w:rFonts w:ascii="Foundry Form Sans" w:hAnsi="Foundry Form Sans" w:cs="Arial"/>
                <w:b/>
                <w:szCs w:val="24"/>
              </w:rPr>
            </w:pPr>
            <w:r w:rsidRPr="00444775">
              <w:rPr>
                <w:rFonts w:ascii="Foundry Form Sans" w:hAnsi="Foundry Form Sans" w:cs="Arial"/>
                <w:b/>
                <w:szCs w:val="24"/>
              </w:rPr>
              <w:t>Assistant Director/Head of Service:</w:t>
            </w:r>
          </w:p>
          <w:p w14:paraId="120B457B" w14:textId="3F11CAEB" w:rsidR="0021671D" w:rsidRPr="00444775" w:rsidRDefault="0080145D" w:rsidP="00444775">
            <w:pPr>
              <w:pStyle w:val="Header"/>
              <w:tabs>
                <w:tab w:val="clear" w:pos="4320"/>
                <w:tab w:val="clear" w:pos="8640"/>
              </w:tabs>
              <w:spacing w:before="60" w:after="60"/>
              <w:ind w:left="0" w:firstLine="0"/>
              <w:rPr>
                <w:rFonts w:ascii="Foundry Form Sans" w:hAnsi="Foundry Form Sans" w:cs="Arial"/>
                <w:szCs w:val="24"/>
              </w:rPr>
            </w:pPr>
            <w:r w:rsidRPr="0080145D">
              <w:rPr>
                <w:rFonts w:ascii="Foundry Form Sans" w:hAnsi="Foundry Form Sans" w:cs="Arial"/>
                <w:szCs w:val="24"/>
              </w:rPr>
              <w:t xml:space="preserve">Simon Powell </w:t>
            </w:r>
            <w:r w:rsidR="00444775" w:rsidRPr="0080145D">
              <w:rPr>
                <w:rFonts w:ascii="Foundry Form Sans" w:hAnsi="Foundry Form Sans" w:cs="Arial"/>
                <w:szCs w:val="24"/>
              </w:rPr>
              <w:t>h</w:t>
            </w:r>
            <w:r w:rsidR="00444775" w:rsidRPr="00444775">
              <w:rPr>
                <w:rFonts w:ascii="Foundry Form Sans" w:hAnsi="Foundry Form Sans" w:cs="Arial"/>
                <w:szCs w:val="24"/>
              </w:rPr>
              <w:t>as reviewed the documentation and is satisfied for it to be referred to the Sponsoring Director for approval.</w:t>
            </w:r>
          </w:p>
        </w:tc>
        <w:tc>
          <w:tcPr>
            <w:tcW w:w="2098" w:type="dxa"/>
          </w:tcPr>
          <w:p w14:paraId="5575296B" w14:textId="77777777" w:rsidR="006A4026" w:rsidRPr="00866CB4" w:rsidRDefault="006A4026" w:rsidP="003945EF">
            <w:pPr>
              <w:pStyle w:val="Header"/>
              <w:tabs>
                <w:tab w:val="clear" w:pos="4320"/>
                <w:tab w:val="clear" w:pos="8640"/>
              </w:tabs>
              <w:ind w:left="0" w:firstLine="0"/>
              <w:jc w:val="center"/>
              <w:rPr>
                <w:rFonts w:ascii="Foundry Form Sans" w:hAnsi="Foundry Form Sans" w:cs="Arial"/>
                <w:b/>
                <w:iCs/>
                <w:szCs w:val="24"/>
              </w:rPr>
            </w:pPr>
          </w:p>
          <w:p w14:paraId="0AC2CE62" w14:textId="285EB0EC" w:rsidR="006A4026" w:rsidRPr="00866CB4" w:rsidRDefault="00DD78CD" w:rsidP="003945EF">
            <w:pPr>
              <w:pStyle w:val="Header"/>
              <w:tabs>
                <w:tab w:val="clear" w:pos="4320"/>
                <w:tab w:val="clear" w:pos="8640"/>
              </w:tabs>
              <w:ind w:left="0" w:firstLine="0"/>
              <w:jc w:val="center"/>
              <w:rPr>
                <w:rFonts w:ascii="Foundry Form Sans" w:hAnsi="Foundry Form Sans" w:cs="Arial"/>
                <w:b/>
                <w:iCs/>
                <w:szCs w:val="24"/>
              </w:rPr>
            </w:pPr>
            <w:r w:rsidRPr="00740E22">
              <w:rPr>
                <w:rFonts w:ascii="Foundry Form Sans" w:hAnsi="Foundry Form Sans" w:cs="Arial"/>
                <w:szCs w:val="24"/>
              </w:rPr>
              <w:sym w:font="Wingdings" w:char="F0FC"/>
            </w:r>
          </w:p>
        </w:tc>
      </w:tr>
      <w:tr w:rsidR="006A4026" w:rsidRPr="00866CB4" w14:paraId="03C04C9B" w14:textId="77777777" w:rsidTr="005C7B8C">
        <w:trPr>
          <w:trHeight w:val="761"/>
        </w:trPr>
        <w:tc>
          <w:tcPr>
            <w:tcW w:w="8222" w:type="dxa"/>
          </w:tcPr>
          <w:p w14:paraId="7B79890A" w14:textId="77777777" w:rsidR="00444775" w:rsidRPr="00444775" w:rsidRDefault="00444775" w:rsidP="00444775">
            <w:pPr>
              <w:pStyle w:val="Header"/>
              <w:spacing w:before="60" w:after="60"/>
              <w:rPr>
                <w:rFonts w:ascii="Foundry Form Sans" w:hAnsi="Foundry Form Sans" w:cs="Arial"/>
                <w:b/>
                <w:szCs w:val="24"/>
              </w:rPr>
            </w:pPr>
            <w:r w:rsidRPr="00444775">
              <w:rPr>
                <w:rFonts w:ascii="Foundry Form Sans" w:hAnsi="Foundry Form Sans" w:cs="Arial"/>
                <w:b/>
                <w:szCs w:val="24"/>
              </w:rPr>
              <w:t xml:space="preserve">Financial and Legal advice: </w:t>
            </w:r>
          </w:p>
          <w:p w14:paraId="008B345B" w14:textId="77777777" w:rsidR="0021671D" w:rsidRPr="00444775" w:rsidRDefault="00444775" w:rsidP="00444775">
            <w:pPr>
              <w:pStyle w:val="Header"/>
              <w:tabs>
                <w:tab w:val="clear" w:pos="4320"/>
                <w:tab w:val="clear" w:pos="8640"/>
              </w:tabs>
              <w:spacing w:before="60" w:after="60"/>
              <w:ind w:left="0" w:firstLine="0"/>
              <w:rPr>
                <w:rFonts w:ascii="Foundry Form Sans" w:hAnsi="Foundry Form Sans" w:cs="Arial"/>
                <w:szCs w:val="24"/>
              </w:rPr>
            </w:pPr>
            <w:r w:rsidRPr="00444775">
              <w:rPr>
                <w:rFonts w:ascii="Foundry Form Sans" w:hAnsi="Foundry Form Sans" w:cs="Arial"/>
                <w:szCs w:val="24"/>
              </w:rPr>
              <w:t>The Finance and Legal teams have commented on this proposal, and this decision reflects their comments.</w:t>
            </w:r>
          </w:p>
        </w:tc>
        <w:tc>
          <w:tcPr>
            <w:tcW w:w="2098" w:type="dxa"/>
          </w:tcPr>
          <w:p w14:paraId="776433F0" w14:textId="77777777" w:rsidR="006A4026" w:rsidRPr="00866CB4" w:rsidRDefault="006A4026" w:rsidP="003945EF">
            <w:pPr>
              <w:pStyle w:val="Header"/>
              <w:tabs>
                <w:tab w:val="clear" w:pos="4320"/>
                <w:tab w:val="clear" w:pos="8640"/>
              </w:tabs>
              <w:ind w:left="0" w:firstLine="0"/>
              <w:jc w:val="center"/>
              <w:rPr>
                <w:rFonts w:ascii="Foundry Form Sans" w:hAnsi="Foundry Form Sans" w:cs="Arial"/>
                <w:b/>
                <w:iCs/>
                <w:szCs w:val="24"/>
              </w:rPr>
            </w:pPr>
          </w:p>
          <w:p w14:paraId="5A2976D2" w14:textId="45443FB1" w:rsidR="006A4026" w:rsidRPr="00866CB4" w:rsidRDefault="00DD78CD" w:rsidP="003945EF">
            <w:pPr>
              <w:pStyle w:val="Header"/>
              <w:tabs>
                <w:tab w:val="clear" w:pos="4320"/>
                <w:tab w:val="clear" w:pos="8640"/>
              </w:tabs>
              <w:ind w:left="0" w:firstLine="0"/>
              <w:jc w:val="center"/>
              <w:rPr>
                <w:rFonts w:ascii="Foundry Form Sans" w:hAnsi="Foundry Form Sans" w:cs="Arial"/>
                <w:b/>
                <w:iCs/>
                <w:szCs w:val="24"/>
              </w:rPr>
            </w:pPr>
            <w:r w:rsidRPr="00740E22">
              <w:rPr>
                <w:rFonts w:ascii="Foundry Form Sans" w:hAnsi="Foundry Form Sans" w:cs="Arial"/>
                <w:szCs w:val="24"/>
              </w:rPr>
              <w:sym w:font="Wingdings" w:char="F0FC"/>
            </w:r>
          </w:p>
        </w:tc>
      </w:tr>
      <w:tr w:rsidR="0072108F" w:rsidRPr="00866CB4" w14:paraId="0C4C884E" w14:textId="77777777" w:rsidTr="003945EF">
        <w:trPr>
          <w:trHeight w:val="694"/>
        </w:trPr>
        <w:tc>
          <w:tcPr>
            <w:tcW w:w="8222" w:type="dxa"/>
          </w:tcPr>
          <w:p w14:paraId="03478285" w14:textId="1499363D" w:rsidR="0072108F" w:rsidRDefault="00222733" w:rsidP="00FF25B1">
            <w:pPr>
              <w:pStyle w:val="Header"/>
              <w:tabs>
                <w:tab w:val="clear" w:pos="4320"/>
                <w:tab w:val="clear" w:pos="8640"/>
              </w:tabs>
              <w:spacing w:before="60" w:after="60"/>
              <w:ind w:left="0" w:firstLine="0"/>
              <w:rPr>
                <w:rFonts w:ascii="Foundry Form Sans" w:hAnsi="Foundry Form Sans" w:cs="Arial"/>
                <w:b/>
                <w:szCs w:val="24"/>
              </w:rPr>
            </w:pPr>
            <w:r>
              <w:rPr>
                <w:rFonts w:ascii="Foundry Form Sans" w:hAnsi="Foundry Form Sans" w:cs="Arial"/>
                <w:b/>
                <w:szCs w:val="24"/>
              </w:rPr>
              <w:t>Mayoral Delivery</w:t>
            </w:r>
            <w:r w:rsidR="0072108F">
              <w:rPr>
                <w:rFonts w:ascii="Foundry Form Sans" w:hAnsi="Foundry Form Sans" w:cs="Arial"/>
                <w:b/>
                <w:szCs w:val="24"/>
              </w:rPr>
              <w:t xml:space="preserve"> Board</w:t>
            </w:r>
          </w:p>
          <w:p w14:paraId="6966E23C" w14:textId="608C4E6B" w:rsidR="0072108F" w:rsidRPr="0072108F" w:rsidRDefault="00585557" w:rsidP="00FF25B1">
            <w:pPr>
              <w:pStyle w:val="Header"/>
              <w:tabs>
                <w:tab w:val="clear" w:pos="4320"/>
                <w:tab w:val="clear" w:pos="8640"/>
              </w:tabs>
              <w:spacing w:before="60" w:after="60"/>
              <w:ind w:left="0" w:firstLine="0"/>
              <w:rPr>
                <w:rFonts w:ascii="Foundry Form Sans" w:hAnsi="Foundry Form Sans" w:cs="Arial"/>
                <w:szCs w:val="24"/>
              </w:rPr>
            </w:pPr>
            <w:r>
              <w:rPr>
                <w:rFonts w:ascii="Foundry Form Sans" w:hAnsi="Foundry Form Sans" w:cs="Arial"/>
                <w:szCs w:val="24"/>
              </w:rPr>
              <w:t>A summary of t</w:t>
            </w:r>
            <w:r w:rsidR="0072108F" w:rsidRPr="0072108F">
              <w:rPr>
                <w:rFonts w:ascii="Foundry Form Sans" w:hAnsi="Foundry Form Sans" w:cs="Arial"/>
                <w:szCs w:val="24"/>
              </w:rPr>
              <w:t>his decisi</w:t>
            </w:r>
            <w:r w:rsidR="0072108F">
              <w:rPr>
                <w:rFonts w:ascii="Foundry Form Sans" w:hAnsi="Foundry Form Sans" w:cs="Arial"/>
                <w:szCs w:val="24"/>
              </w:rPr>
              <w:t xml:space="preserve">on was </w:t>
            </w:r>
            <w:r>
              <w:rPr>
                <w:rFonts w:ascii="Foundry Form Sans" w:hAnsi="Foundry Form Sans" w:cs="Arial"/>
                <w:szCs w:val="24"/>
              </w:rPr>
              <w:t xml:space="preserve">reviewed </w:t>
            </w:r>
            <w:r w:rsidR="0072108F">
              <w:rPr>
                <w:rFonts w:ascii="Foundry Form Sans" w:hAnsi="Foundry Form Sans" w:cs="Arial"/>
                <w:szCs w:val="24"/>
              </w:rPr>
              <w:t xml:space="preserve">by the </w:t>
            </w:r>
            <w:r w:rsidR="00222733">
              <w:rPr>
                <w:rFonts w:ascii="Foundry Form Sans" w:hAnsi="Foundry Form Sans" w:cs="Arial"/>
                <w:szCs w:val="24"/>
              </w:rPr>
              <w:t>Mayoral Delivery</w:t>
            </w:r>
            <w:r w:rsidR="0072108F" w:rsidRPr="0072108F">
              <w:rPr>
                <w:rFonts w:ascii="Foundry Form Sans" w:hAnsi="Foundry Form Sans" w:cs="Arial"/>
                <w:szCs w:val="24"/>
              </w:rPr>
              <w:t xml:space="preserve"> Board on </w:t>
            </w:r>
            <w:r w:rsidR="00DD78CD">
              <w:rPr>
                <w:rFonts w:ascii="Foundry Form Sans" w:hAnsi="Foundry Form Sans" w:cs="Arial"/>
                <w:szCs w:val="24"/>
              </w:rPr>
              <w:t>7 April 2026</w:t>
            </w:r>
            <w:r w:rsidR="00914FCA">
              <w:rPr>
                <w:rFonts w:ascii="Foundry Form Sans" w:hAnsi="Foundry Form Sans" w:cs="Arial"/>
                <w:szCs w:val="24"/>
              </w:rPr>
              <w:t>.</w:t>
            </w:r>
          </w:p>
        </w:tc>
        <w:tc>
          <w:tcPr>
            <w:tcW w:w="2098" w:type="dxa"/>
          </w:tcPr>
          <w:p w14:paraId="2B02014D" w14:textId="77777777" w:rsidR="0072108F" w:rsidRDefault="0072108F" w:rsidP="003945EF">
            <w:pPr>
              <w:pStyle w:val="Header"/>
              <w:ind w:left="0" w:firstLine="0"/>
              <w:jc w:val="center"/>
              <w:rPr>
                <w:rFonts w:ascii="Foundry Form Sans" w:hAnsi="Foundry Form Sans" w:cs="Arial"/>
                <w:b/>
                <w:szCs w:val="24"/>
              </w:rPr>
            </w:pPr>
          </w:p>
          <w:p w14:paraId="06F8A7DD" w14:textId="77777777" w:rsidR="0072108F" w:rsidRPr="00866CB4" w:rsidRDefault="0072108F" w:rsidP="003945EF">
            <w:pPr>
              <w:pStyle w:val="Header"/>
              <w:ind w:left="0" w:firstLine="0"/>
              <w:jc w:val="center"/>
              <w:rPr>
                <w:rFonts w:ascii="Foundry Form Sans" w:hAnsi="Foundry Form Sans" w:cs="Arial"/>
                <w:b/>
                <w:szCs w:val="24"/>
              </w:rPr>
            </w:pPr>
          </w:p>
        </w:tc>
      </w:tr>
    </w:tbl>
    <w:p w14:paraId="6F15C298" w14:textId="77777777" w:rsidR="00C03B0B" w:rsidRPr="00866CB4" w:rsidRDefault="00C03B0B" w:rsidP="003945EF">
      <w:pPr>
        <w:rPr>
          <w:rFonts w:cs="Arial"/>
        </w:rPr>
      </w:pPr>
    </w:p>
    <w:tbl>
      <w:tblPr>
        <w:tblW w:w="10320" w:type="dxa"/>
        <w:tblInd w:w="108" w:type="dxa"/>
        <w:tblLook w:val="0000" w:firstRow="0" w:lastRow="0" w:firstColumn="0" w:lastColumn="0" w:noHBand="0" w:noVBand="0"/>
      </w:tblPr>
      <w:tblGrid>
        <w:gridCol w:w="6480"/>
        <w:gridCol w:w="3840"/>
      </w:tblGrid>
      <w:tr w:rsidR="00C03B0B" w:rsidRPr="00866CB4" w14:paraId="2F9D0D98" w14:textId="77777777" w:rsidTr="00BB49C3">
        <w:tc>
          <w:tcPr>
            <w:tcW w:w="10320" w:type="dxa"/>
            <w:gridSpan w:val="2"/>
            <w:tcBorders>
              <w:top w:val="single" w:sz="4" w:space="0" w:color="auto"/>
              <w:left w:val="single" w:sz="4" w:space="0" w:color="auto"/>
              <w:right w:val="single" w:sz="4" w:space="0" w:color="auto"/>
            </w:tcBorders>
          </w:tcPr>
          <w:p w14:paraId="30D72C25" w14:textId="3CDF14A4" w:rsidR="00C03B0B" w:rsidRPr="00866CB4" w:rsidRDefault="00DF37E1" w:rsidP="00FF25B1">
            <w:pPr>
              <w:spacing w:before="60" w:after="60"/>
              <w:rPr>
                <w:rFonts w:cs="Arial"/>
                <w:b/>
                <w:bCs/>
              </w:rPr>
            </w:pPr>
            <w:r>
              <w:rPr>
                <w:rFonts w:cs="Arial"/>
                <w:b/>
                <w:bCs/>
              </w:rPr>
              <w:t>CHIEF FINANCE OFFICER</w:t>
            </w:r>
            <w:r w:rsidR="003945EF" w:rsidRPr="00866CB4">
              <w:rPr>
                <w:rFonts w:cs="Arial"/>
                <w:b/>
                <w:bCs/>
              </w:rPr>
              <w:t>:</w:t>
            </w:r>
          </w:p>
          <w:p w14:paraId="49C542B6" w14:textId="77777777" w:rsidR="00CA7041" w:rsidRPr="00866CB4" w:rsidRDefault="00CA7041" w:rsidP="00FF25B1">
            <w:pPr>
              <w:pStyle w:val="Header"/>
              <w:tabs>
                <w:tab w:val="clear" w:pos="4320"/>
                <w:tab w:val="clear" w:pos="8640"/>
              </w:tabs>
              <w:spacing w:before="60" w:after="60"/>
              <w:ind w:left="0" w:firstLine="0"/>
              <w:rPr>
                <w:rFonts w:ascii="Foundry Form Sans" w:hAnsi="Foundry Form Sans" w:cs="Arial"/>
                <w:szCs w:val="24"/>
              </w:rPr>
            </w:pPr>
            <w:r w:rsidRPr="00866CB4">
              <w:rPr>
                <w:rFonts w:ascii="Foundry Form Sans" w:hAnsi="Foundry Form Sans" w:cs="Arial"/>
                <w:szCs w:val="24"/>
              </w:rPr>
              <w:t xml:space="preserve">I confirm that financial and legal implications have been appropriately considered in the preparation of this report. </w:t>
            </w:r>
          </w:p>
        </w:tc>
      </w:tr>
      <w:tr w:rsidR="00C03B0B" w:rsidRPr="00866CB4" w14:paraId="0079C943" w14:textId="77777777" w:rsidTr="00BB49C3">
        <w:trPr>
          <w:trHeight w:val="710"/>
        </w:trPr>
        <w:tc>
          <w:tcPr>
            <w:tcW w:w="6480" w:type="dxa"/>
            <w:tcBorders>
              <w:left w:val="single" w:sz="4" w:space="0" w:color="auto"/>
              <w:bottom w:val="single" w:sz="4" w:space="0" w:color="auto"/>
            </w:tcBorders>
          </w:tcPr>
          <w:p w14:paraId="414573EE" w14:textId="45DC78C7" w:rsidR="00C03B0B" w:rsidRPr="00866CB4" w:rsidRDefault="00C03B0B" w:rsidP="00FF25B1">
            <w:pPr>
              <w:spacing w:before="60" w:after="60"/>
              <w:rPr>
                <w:rFonts w:cs="Arial"/>
                <w:b/>
                <w:bCs/>
              </w:rPr>
            </w:pPr>
            <w:r w:rsidRPr="00866CB4">
              <w:rPr>
                <w:rFonts w:cs="Arial"/>
                <w:b/>
                <w:bCs/>
              </w:rPr>
              <w:t>Signature</w:t>
            </w:r>
            <w:r w:rsidR="00C52471">
              <w:rPr>
                <w:rFonts w:cs="Arial"/>
                <w:b/>
                <w:bCs/>
              </w:rPr>
              <w:t xml:space="preserve"> </w:t>
            </w:r>
            <w:r w:rsidR="00C52471">
              <w:rPr>
                <w:noProof/>
              </w:rPr>
              <w:drawing>
                <wp:inline distT="0" distB="0" distL="0" distR="0" wp14:anchorId="0431D8FB" wp14:editId="5CE9794D">
                  <wp:extent cx="1371600" cy="552450"/>
                  <wp:effectExtent l="0" t="0" r="0" b="0"/>
                  <wp:docPr id="15576757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552450"/>
                          </a:xfrm>
                          <a:prstGeom prst="rect">
                            <a:avLst/>
                          </a:prstGeom>
                          <a:noFill/>
                          <a:ln>
                            <a:noFill/>
                          </a:ln>
                        </pic:spPr>
                      </pic:pic>
                    </a:graphicData>
                  </a:graphic>
                </wp:inline>
              </w:drawing>
            </w:r>
          </w:p>
        </w:tc>
        <w:tc>
          <w:tcPr>
            <w:tcW w:w="3840" w:type="dxa"/>
            <w:tcBorders>
              <w:bottom w:val="single" w:sz="4" w:space="0" w:color="auto"/>
              <w:right w:val="single" w:sz="4" w:space="0" w:color="auto"/>
            </w:tcBorders>
          </w:tcPr>
          <w:p w14:paraId="7B89C422" w14:textId="77777777" w:rsidR="00C52471" w:rsidRDefault="00C52471" w:rsidP="00FF25B1">
            <w:pPr>
              <w:spacing w:before="60" w:after="60"/>
              <w:rPr>
                <w:rFonts w:cs="Arial"/>
                <w:b/>
                <w:bCs/>
              </w:rPr>
            </w:pPr>
          </w:p>
          <w:p w14:paraId="0EC250C1" w14:textId="77777777" w:rsidR="00C52471" w:rsidRDefault="00C52471" w:rsidP="00FF25B1">
            <w:pPr>
              <w:spacing w:before="60" w:after="60"/>
              <w:rPr>
                <w:rFonts w:cs="Arial"/>
                <w:b/>
                <w:bCs/>
              </w:rPr>
            </w:pPr>
          </w:p>
          <w:p w14:paraId="207D42D6" w14:textId="6F363CAB" w:rsidR="00C03B0B" w:rsidRPr="00866CB4" w:rsidRDefault="00C03B0B" w:rsidP="00FF25B1">
            <w:pPr>
              <w:spacing w:before="60" w:after="60"/>
              <w:rPr>
                <w:rFonts w:cs="Arial"/>
                <w:b/>
                <w:bCs/>
              </w:rPr>
            </w:pPr>
            <w:r w:rsidRPr="00866CB4">
              <w:rPr>
                <w:rFonts w:cs="Arial"/>
                <w:b/>
                <w:bCs/>
              </w:rPr>
              <w:t>Date</w:t>
            </w:r>
            <w:r w:rsidR="00C52471">
              <w:rPr>
                <w:rFonts w:cs="Arial"/>
                <w:b/>
                <w:bCs/>
              </w:rPr>
              <w:t xml:space="preserve"> </w:t>
            </w:r>
            <w:r w:rsidR="00C52471" w:rsidRPr="00C52471">
              <w:rPr>
                <w:rFonts w:cs="Arial"/>
              </w:rPr>
              <w:t>7 April 2026</w:t>
            </w:r>
          </w:p>
        </w:tc>
      </w:tr>
    </w:tbl>
    <w:p w14:paraId="5B2AC7AF" w14:textId="77777777" w:rsidR="00985ABB" w:rsidRPr="00866CB4" w:rsidRDefault="00985ABB" w:rsidP="00444775">
      <w:pPr>
        <w:rPr>
          <w:rFonts w:cs="Arial"/>
        </w:rPr>
      </w:pPr>
    </w:p>
    <w:sectPr w:rsidR="00985ABB" w:rsidRPr="00866CB4" w:rsidSect="003945EF">
      <w:pgSz w:w="11906" w:h="16838"/>
      <w:pgMar w:top="964" w:right="851" w:bottom="96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867D3" w14:textId="77777777" w:rsidR="000C4295" w:rsidRDefault="000C4295">
      <w:r>
        <w:separator/>
      </w:r>
    </w:p>
  </w:endnote>
  <w:endnote w:type="continuationSeparator" w:id="0">
    <w:p w14:paraId="0A6835C6" w14:textId="77777777" w:rsidR="000C4295" w:rsidRDefault="000C4295">
      <w:r>
        <w:continuationSeparator/>
      </w:r>
    </w:p>
  </w:endnote>
  <w:endnote w:type="continuationNotice" w:id="1">
    <w:p w14:paraId="69682922" w14:textId="77777777" w:rsidR="000C4295" w:rsidRDefault="000C42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undry Form Sans">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B060402020202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72ED5" w14:textId="23D9223A" w:rsidR="009458A0" w:rsidRDefault="009458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3493">
      <w:rPr>
        <w:rStyle w:val="PageNumber"/>
        <w:noProof/>
      </w:rPr>
      <w:t>1</w:t>
    </w:r>
    <w:r>
      <w:rPr>
        <w:rStyle w:val="PageNumber"/>
      </w:rPr>
      <w:fldChar w:fldCharType="end"/>
    </w:r>
  </w:p>
  <w:p w14:paraId="7B7C8FE5" w14:textId="77777777" w:rsidR="009458A0" w:rsidRDefault="00945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EAD9D" w14:textId="45017524" w:rsidR="009458A0" w:rsidRDefault="009458A0">
    <w:pPr>
      <w:pStyle w:val="Footer"/>
      <w:framePr w:wrap="around" w:vAnchor="text" w:hAnchor="margin" w:xAlign="center" w:y="1"/>
      <w:rPr>
        <w:rStyle w:val="PageNumber"/>
      </w:rPr>
    </w:pPr>
  </w:p>
  <w:p w14:paraId="2B97257F" w14:textId="429764C3" w:rsidR="009458A0" w:rsidRDefault="009458A0">
    <w:pPr>
      <w:pStyle w:val="Footer"/>
      <w:rPr>
        <w:sz w:val="16"/>
        <w:szCs w:val="16"/>
      </w:rPr>
    </w:pPr>
  </w:p>
  <w:p w14:paraId="48AFBB6F" w14:textId="77777777" w:rsidR="000A40CC" w:rsidRPr="00132CD3" w:rsidRDefault="000A40C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1666F" w14:textId="77777777" w:rsidR="000C4295" w:rsidRDefault="000C4295">
      <w:r>
        <w:separator/>
      </w:r>
    </w:p>
  </w:footnote>
  <w:footnote w:type="continuationSeparator" w:id="0">
    <w:p w14:paraId="4D6FF656" w14:textId="77777777" w:rsidR="000C4295" w:rsidRDefault="000C4295">
      <w:r>
        <w:continuationSeparator/>
      </w:r>
    </w:p>
  </w:footnote>
  <w:footnote w:type="continuationNotice" w:id="1">
    <w:p w14:paraId="477909B8" w14:textId="77777777" w:rsidR="000C4295" w:rsidRDefault="000C42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F39"/>
    <w:multiLevelType w:val="hybridMultilevel"/>
    <w:tmpl w:val="6B227FA4"/>
    <w:lvl w:ilvl="0" w:tplc="31D06076">
      <w:start w:val="4"/>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44CB1"/>
    <w:multiLevelType w:val="hybridMultilevel"/>
    <w:tmpl w:val="EA5C8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B1B3E"/>
    <w:multiLevelType w:val="hybridMultilevel"/>
    <w:tmpl w:val="5D96A824"/>
    <w:lvl w:ilvl="0" w:tplc="41CEF562">
      <w:start w:val="2"/>
      <w:numFmt w:val="decimal"/>
      <w:lvlText w:val="%1."/>
      <w:lvlJc w:val="left"/>
      <w:pPr>
        <w:tabs>
          <w:tab w:val="num" w:pos="720"/>
        </w:tabs>
        <w:ind w:left="720" w:hanging="720"/>
      </w:pPr>
      <w:rPr>
        <w:rFonts w:hint="default"/>
      </w:rPr>
    </w:lvl>
    <w:lvl w:ilvl="1" w:tplc="0CB26F68">
      <w:start w:val="1"/>
      <w:numFmt w:val="lowerLetter"/>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795D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165A84"/>
    <w:multiLevelType w:val="hybridMultilevel"/>
    <w:tmpl w:val="694CEA1E"/>
    <w:lvl w:ilvl="0" w:tplc="31D06076">
      <w:start w:val="4"/>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0D67AA"/>
    <w:multiLevelType w:val="multilevel"/>
    <w:tmpl w:val="A1582E46"/>
    <w:lvl w:ilvl="0">
      <w:start w:val="1"/>
      <w:numFmt w:val="decimal"/>
      <w:pStyle w:val="paraheading"/>
      <w:lvlText w:val="%1."/>
      <w:lvlJc w:val="left"/>
      <w:pPr>
        <w:tabs>
          <w:tab w:val="num" w:pos="737"/>
        </w:tabs>
        <w:ind w:left="737" w:hanging="737"/>
      </w:pPr>
      <w:rPr>
        <w:rFonts w:ascii="Arial" w:hAnsi="Arial" w:hint="default"/>
        <w:b/>
        <w:i w:val="0"/>
        <w:strike w:val="0"/>
        <w:dstrike w:val="0"/>
        <w:vanish w:val="0"/>
        <w:color w:val="000000"/>
        <w:sz w:val="24"/>
        <w:vertAlign w:val="baseline"/>
      </w:rPr>
    </w:lvl>
    <w:lvl w:ilvl="1">
      <w:start w:val="1"/>
      <w:numFmt w:val="decimal"/>
      <w:lvlText w:val="%1.%2"/>
      <w:lvlJc w:val="left"/>
      <w:pPr>
        <w:tabs>
          <w:tab w:val="num" w:pos="737"/>
        </w:tabs>
        <w:ind w:left="737" w:hanging="737"/>
      </w:pPr>
      <w:rPr>
        <w:rFonts w:ascii="Arial" w:hAnsi="Arial" w:hint="default"/>
        <w:b w:val="0"/>
        <w:i w:val="0"/>
        <w:caps w:val="0"/>
        <w:strike w:val="0"/>
        <w:dstrike w:val="0"/>
        <w:vanish w:val="0"/>
        <w:color w:val="auto"/>
        <w:sz w:val="24"/>
        <w:vertAlign w:val="baseline"/>
      </w:rPr>
    </w:lvl>
    <w:lvl w:ilvl="2">
      <w:start w:val="1"/>
      <w:numFmt w:val="lowerLetter"/>
      <w:lvlText w:val="(%3)"/>
      <w:lvlJc w:val="left"/>
      <w:pPr>
        <w:tabs>
          <w:tab w:val="num" w:pos="1304"/>
        </w:tabs>
        <w:ind w:left="1304" w:hanging="567"/>
      </w:pPr>
      <w:rPr>
        <w:rFonts w:ascii="Arial" w:hAnsi="Arial" w:hint="default"/>
        <w:b w:val="0"/>
        <w:i w:val="0"/>
        <w:caps w:val="0"/>
        <w:strike w:val="0"/>
        <w:dstrike w:val="0"/>
        <w:vanish w:val="0"/>
        <w:color w:val="000000"/>
        <w:sz w:val="24"/>
        <w:vertAlign w:val="baseline"/>
      </w:rPr>
    </w:lvl>
    <w:lvl w:ilvl="3">
      <w:start w:val="1"/>
      <w:numFmt w:val="lowerRoman"/>
      <w:lvlText w:val="%4)"/>
      <w:lvlJc w:val="left"/>
      <w:pPr>
        <w:tabs>
          <w:tab w:val="num" w:pos="2024"/>
        </w:tabs>
        <w:ind w:left="1871" w:hanging="567"/>
      </w:pPr>
      <w:rPr>
        <w:rFonts w:ascii="Arial" w:hAnsi="Arial" w:hint="default"/>
        <w:b w:val="0"/>
        <w:i w:val="0"/>
        <w:caps w:val="0"/>
        <w:strike w:val="0"/>
        <w:dstrike w:val="0"/>
        <w:vanish w:val="0"/>
        <w:sz w:val="24"/>
        <w:vertAlign w:val="base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E9F21A4"/>
    <w:multiLevelType w:val="hybridMultilevel"/>
    <w:tmpl w:val="F93072A6"/>
    <w:lvl w:ilvl="0" w:tplc="F3F47570">
      <w:start w:val="1"/>
      <w:numFmt w:val="decimal"/>
      <w:lvlText w:val="%1."/>
      <w:lvlJc w:val="left"/>
      <w:pPr>
        <w:ind w:left="360" w:hanging="360"/>
      </w:pPr>
      <w:rPr>
        <w:rFonts w:hint="default"/>
        <w:color w:val="00000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EF340B1"/>
    <w:multiLevelType w:val="hybridMultilevel"/>
    <w:tmpl w:val="CA9C4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657675"/>
    <w:multiLevelType w:val="hybridMultilevel"/>
    <w:tmpl w:val="7F00B4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784199"/>
    <w:multiLevelType w:val="hybridMultilevel"/>
    <w:tmpl w:val="B02E4E72"/>
    <w:lvl w:ilvl="0" w:tplc="6546B65A">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8C5259"/>
    <w:multiLevelType w:val="hybridMultilevel"/>
    <w:tmpl w:val="CD8C1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D941EE"/>
    <w:multiLevelType w:val="multilevel"/>
    <w:tmpl w:val="837461AC"/>
    <w:lvl w:ilvl="0">
      <w:start w:val="6"/>
      <w:numFmt w:val="decimal"/>
      <w:lvlText w:val="%1"/>
      <w:lvlJc w:val="left"/>
      <w:pPr>
        <w:ind w:left="360" w:hanging="360"/>
      </w:pPr>
      <w:rPr>
        <w:rFonts w:hint="default"/>
      </w:rPr>
    </w:lvl>
    <w:lvl w:ilvl="1">
      <w:start w:val="1"/>
      <w:numFmt w:val="decimal"/>
      <w:lvlText w:val="6.%2."/>
      <w:lvlJc w:val="left"/>
      <w:pPr>
        <w:ind w:left="928"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B2455F"/>
    <w:multiLevelType w:val="hybridMultilevel"/>
    <w:tmpl w:val="127A4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630312"/>
    <w:multiLevelType w:val="hybridMultilevel"/>
    <w:tmpl w:val="D7F42F72"/>
    <w:lvl w:ilvl="0" w:tplc="34621C74">
      <w:start w:val="1"/>
      <w:numFmt w:val="bullet"/>
      <w:lvlRestart w:val="0"/>
      <w:lvlText w:val=""/>
      <w:lvlJc w:val="left"/>
      <w:pPr>
        <w:ind w:left="1287" w:hanging="363"/>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1C3FFE35"/>
    <w:multiLevelType w:val="hybridMultilevel"/>
    <w:tmpl w:val="10DAE73A"/>
    <w:lvl w:ilvl="0" w:tplc="52E0E1C8">
      <w:start w:val="1"/>
      <w:numFmt w:val="bullet"/>
      <w:lvlText w:val=""/>
      <w:lvlJc w:val="left"/>
      <w:pPr>
        <w:ind w:left="720" w:hanging="360"/>
      </w:pPr>
      <w:rPr>
        <w:rFonts w:ascii="Symbol" w:hAnsi="Symbol" w:hint="default"/>
      </w:rPr>
    </w:lvl>
    <w:lvl w:ilvl="1" w:tplc="72C2DE4E">
      <w:start w:val="1"/>
      <w:numFmt w:val="bullet"/>
      <w:lvlText w:val="o"/>
      <w:lvlJc w:val="left"/>
      <w:pPr>
        <w:ind w:left="1440" w:hanging="360"/>
      </w:pPr>
      <w:rPr>
        <w:rFonts w:ascii="Courier New" w:hAnsi="Courier New" w:hint="default"/>
      </w:rPr>
    </w:lvl>
    <w:lvl w:ilvl="2" w:tplc="03C86E98">
      <w:start w:val="1"/>
      <w:numFmt w:val="bullet"/>
      <w:lvlText w:val=""/>
      <w:lvlJc w:val="left"/>
      <w:pPr>
        <w:ind w:left="2160" w:hanging="360"/>
      </w:pPr>
      <w:rPr>
        <w:rFonts w:ascii="Wingdings" w:hAnsi="Wingdings" w:hint="default"/>
      </w:rPr>
    </w:lvl>
    <w:lvl w:ilvl="3" w:tplc="41361774">
      <w:start w:val="1"/>
      <w:numFmt w:val="bullet"/>
      <w:lvlText w:val=""/>
      <w:lvlJc w:val="left"/>
      <w:pPr>
        <w:ind w:left="2880" w:hanging="360"/>
      </w:pPr>
      <w:rPr>
        <w:rFonts w:ascii="Symbol" w:hAnsi="Symbol" w:hint="default"/>
      </w:rPr>
    </w:lvl>
    <w:lvl w:ilvl="4" w:tplc="24F64008">
      <w:start w:val="1"/>
      <w:numFmt w:val="bullet"/>
      <w:lvlText w:val="o"/>
      <w:lvlJc w:val="left"/>
      <w:pPr>
        <w:ind w:left="3600" w:hanging="360"/>
      </w:pPr>
      <w:rPr>
        <w:rFonts w:ascii="Courier New" w:hAnsi="Courier New" w:hint="default"/>
      </w:rPr>
    </w:lvl>
    <w:lvl w:ilvl="5" w:tplc="E8604368">
      <w:start w:val="1"/>
      <w:numFmt w:val="bullet"/>
      <w:lvlText w:val=""/>
      <w:lvlJc w:val="left"/>
      <w:pPr>
        <w:ind w:left="4320" w:hanging="360"/>
      </w:pPr>
      <w:rPr>
        <w:rFonts w:ascii="Wingdings" w:hAnsi="Wingdings" w:hint="default"/>
      </w:rPr>
    </w:lvl>
    <w:lvl w:ilvl="6" w:tplc="50F42DEC">
      <w:start w:val="1"/>
      <w:numFmt w:val="bullet"/>
      <w:lvlText w:val=""/>
      <w:lvlJc w:val="left"/>
      <w:pPr>
        <w:ind w:left="5040" w:hanging="360"/>
      </w:pPr>
      <w:rPr>
        <w:rFonts w:ascii="Symbol" w:hAnsi="Symbol" w:hint="default"/>
      </w:rPr>
    </w:lvl>
    <w:lvl w:ilvl="7" w:tplc="3646878A">
      <w:start w:val="1"/>
      <w:numFmt w:val="bullet"/>
      <w:lvlText w:val="o"/>
      <w:lvlJc w:val="left"/>
      <w:pPr>
        <w:ind w:left="5760" w:hanging="360"/>
      </w:pPr>
      <w:rPr>
        <w:rFonts w:ascii="Courier New" w:hAnsi="Courier New" w:hint="default"/>
      </w:rPr>
    </w:lvl>
    <w:lvl w:ilvl="8" w:tplc="525852CC">
      <w:start w:val="1"/>
      <w:numFmt w:val="bullet"/>
      <w:lvlText w:val=""/>
      <w:lvlJc w:val="left"/>
      <w:pPr>
        <w:ind w:left="6480" w:hanging="360"/>
      </w:pPr>
      <w:rPr>
        <w:rFonts w:ascii="Wingdings" w:hAnsi="Wingdings" w:hint="default"/>
      </w:rPr>
    </w:lvl>
  </w:abstractNum>
  <w:abstractNum w:abstractNumId="15" w15:restartNumberingAfterBreak="0">
    <w:nsid w:val="1D767D81"/>
    <w:multiLevelType w:val="multilevel"/>
    <w:tmpl w:val="8A7E71F0"/>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3E71C1C"/>
    <w:multiLevelType w:val="multilevel"/>
    <w:tmpl w:val="8A7E71F0"/>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50F56E9"/>
    <w:multiLevelType w:val="hybridMultilevel"/>
    <w:tmpl w:val="C91CF3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C33B4F"/>
    <w:multiLevelType w:val="hybridMultilevel"/>
    <w:tmpl w:val="140C68BC"/>
    <w:lvl w:ilvl="0" w:tplc="FE221E9C">
      <w:start w:val="1"/>
      <w:numFmt w:val="bullet"/>
      <w:lvlRestart w:val="0"/>
      <w:lvlText w:val=""/>
      <w:lvlJc w:val="left"/>
      <w:pPr>
        <w:ind w:left="1287" w:hanging="363"/>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CB730D9"/>
    <w:multiLevelType w:val="multilevel"/>
    <w:tmpl w:val="48E62F1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DB5E05"/>
    <w:multiLevelType w:val="hybridMultilevel"/>
    <w:tmpl w:val="AB3CB7EA"/>
    <w:lvl w:ilvl="0" w:tplc="7E1C8F36">
      <w:start w:val="8"/>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307F2C37"/>
    <w:multiLevelType w:val="multilevel"/>
    <w:tmpl w:val="EAF081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C31077"/>
    <w:multiLevelType w:val="hybridMultilevel"/>
    <w:tmpl w:val="B1FA6B1C"/>
    <w:lvl w:ilvl="0" w:tplc="CC8E0F32">
      <w:start w:val="1"/>
      <w:numFmt w:val="bullet"/>
      <w:lvlRestart w:val="0"/>
      <w:lvlText w:val=""/>
      <w:lvlJc w:val="left"/>
      <w:pPr>
        <w:ind w:left="1287" w:hanging="363"/>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34AC5781"/>
    <w:multiLevelType w:val="hybridMultilevel"/>
    <w:tmpl w:val="5440B1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36661EF9"/>
    <w:multiLevelType w:val="hybridMultilevel"/>
    <w:tmpl w:val="2416CB56"/>
    <w:lvl w:ilvl="0" w:tplc="7472B458">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7EC1DCE"/>
    <w:multiLevelType w:val="hybridMultilevel"/>
    <w:tmpl w:val="AC4436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BA37BB"/>
    <w:multiLevelType w:val="hybridMultilevel"/>
    <w:tmpl w:val="845E74CA"/>
    <w:lvl w:ilvl="0" w:tplc="4524D2E4">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456C30"/>
    <w:multiLevelType w:val="hybridMultilevel"/>
    <w:tmpl w:val="5CAED3B2"/>
    <w:lvl w:ilvl="0" w:tplc="34621C74">
      <w:start w:val="1"/>
      <w:numFmt w:val="bullet"/>
      <w:lvlRestart w:val="0"/>
      <w:lvlText w:val=""/>
      <w:lvlJc w:val="left"/>
      <w:pPr>
        <w:ind w:left="1287" w:hanging="363"/>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3E14540B"/>
    <w:multiLevelType w:val="hybridMultilevel"/>
    <w:tmpl w:val="0458F582"/>
    <w:lvl w:ilvl="0" w:tplc="34621C74">
      <w:start w:val="1"/>
      <w:numFmt w:val="bullet"/>
      <w:lvlRestart w:val="0"/>
      <w:lvlText w:val=""/>
      <w:lvlJc w:val="left"/>
      <w:pPr>
        <w:ind w:left="1287" w:hanging="363"/>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3FBE2252"/>
    <w:multiLevelType w:val="hybridMultilevel"/>
    <w:tmpl w:val="88186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0332E7B"/>
    <w:multiLevelType w:val="hybridMultilevel"/>
    <w:tmpl w:val="9BE64558"/>
    <w:lvl w:ilvl="0" w:tplc="34621C74">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DC6721"/>
    <w:multiLevelType w:val="multilevel"/>
    <w:tmpl w:val="EF02AC06"/>
    <w:lvl w:ilvl="0">
      <w:start w:val="1"/>
      <w:numFmt w:val="decimal"/>
      <w:lvlText w:val="%1."/>
      <w:lvlJc w:val="left"/>
      <w:pPr>
        <w:ind w:left="360" w:hanging="360"/>
      </w:pPr>
      <w:rPr>
        <w:b/>
        <w:i w:val="0"/>
      </w:rPr>
    </w:lvl>
    <w:lvl w:ilvl="1">
      <w:start w:val="1"/>
      <w:numFmt w:val="bullet"/>
      <w:lvlRestart w:val="0"/>
      <w:lvlText w:val=""/>
      <w:lvlJc w:val="left"/>
      <w:pPr>
        <w:ind w:left="6742" w:hanging="363"/>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1156552"/>
    <w:multiLevelType w:val="hybridMultilevel"/>
    <w:tmpl w:val="FC6EC696"/>
    <w:lvl w:ilvl="0" w:tplc="262CEC40">
      <w:start w:val="1"/>
      <w:numFmt w:val="bullet"/>
      <w:lvlText w:val=""/>
      <w:lvlJc w:val="left"/>
      <w:pPr>
        <w:ind w:left="360" w:hanging="360"/>
      </w:pPr>
      <w:rPr>
        <w:rFonts w:ascii="Symbol" w:hAnsi="Symbol" w:hint="default"/>
      </w:rPr>
    </w:lvl>
    <w:lvl w:ilvl="1" w:tplc="06EAACBE">
      <w:start w:val="1"/>
      <w:numFmt w:val="bullet"/>
      <w:lvlText w:val="o"/>
      <w:lvlJc w:val="left"/>
      <w:pPr>
        <w:ind w:left="1080" w:hanging="360"/>
      </w:pPr>
      <w:rPr>
        <w:rFonts w:ascii="Courier New" w:hAnsi="Courier New" w:hint="default"/>
      </w:rPr>
    </w:lvl>
    <w:lvl w:ilvl="2" w:tplc="AAD89DB0">
      <w:start w:val="1"/>
      <w:numFmt w:val="bullet"/>
      <w:lvlText w:val=""/>
      <w:lvlJc w:val="left"/>
      <w:pPr>
        <w:ind w:left="1800" w:hanging="360"/>
      </w:pPr>
      <w:rPr>
        <w:rFonts w:ascii="Wingdings" w:hAnsi="Wingdings" w:hint="default"/>
      </w:rPr>
    </w:lvl>
    <w:lvl w:ilvl="3" w:tplc="F0DA9A62">
      <w:start w:val="1"/>
      <w:numFmt w:val="bullet"/>
      <w:lvlText w:val=""/>
      <w:lvlJc w:val="left"/>
      <w:pPr>
        <w:ind w:left="2520" w:hanging="360"/>
      </w:pPr>
      <w:rPr>
        <w:rFonts w:ascii="Symbol" w:hAnsi="Symbol" w:hint="default"/>
      </w:rPr>
    </w:lvl>
    <w:lvl w:ilvl="4" w:tplc="39FAA418">
      <w:start w:val="1"/>
      <w:numFmt w:val="bullet"/>
      <w:lvlText w:val="o"/>
      <w:lvlJc w:val="left"/>
      <w:pPr>
        <w:ind w:left="3240" w:hanging="360"/>
      </w:pPr>
      <w:rPr>
        <w:rFonts w:ascii="Courier New" w:hAnsi="Courier New" w:hint="default"/>
      </w:rPr>
    </w:lvl>
    <w:lvl w:ilvl="5" w:tplc="A26CBC20">
      <w:start w:val="1"/>
      <w:numFmt w:val="bullet"/>
      <w:lvlText w:val=""/>
      <w:lvlJc w:val="left"/>
      <w:pPr>
        <w:ind w:left="3960" w:hanging="360"/>
      </w:pPr>
      <w:rPr>
        <w:rFonts w:ascii="Wingdings" w:hAnsi="Wingdings" w:hint="default"/>
      </w:rPr>
    </w:lvl>
    <w:lvl w:ilvl="6" w:tplc="ABE88FFC">
      <w:start w:val="1"/>
      <w:numFmt w:val="bullet"/>
      <w:lvlText w:val=""/>
      <w:lvlJc w:val="left"/>
      <w:pPr>
        <w:ind w:left="4680" w:hanging="360"/>
      </w:pPr>
      <w:rPr>
        <w:rFonts w:ascii="Symbol" w:hAnsi="Symbol" w:hint="default"/>
      </w:rPr>
    </w:lvl>
    <w:lvl w:ilvl="7" w:tplc="187A5668">
      <w:start w:val="1"/>
      <w:numFmt w:val="bullet"/>
      <w:lvlText w:val="o"/>
      <w:lvlJc w:val="left"/>
      <w:pPr>
        <w:ind w:left="5400" w:hanging="360"/>
      </w:pPr>
      <w:rPr>
        <w:rFonts w:ascii="Courier New" w:hAnsi="Courier New" w:hint="default"/>
      </w:rPr>
    </w:lvl>
    <w:lvl w:ilvl="8" w:tplc="6E58A904">
      <w:start w:val="1"/>
      <w:numFmt w:val="bullet"/>
      <w:lvlText w:val=""/>
      <w:lvlJc w:val="left"/>
      <w:pPr>
        <w:ind w:left="6120" w:hanging="360"/>
      </w:pPr>
      <w:rPr>
        <w:rFonts w:ascii="Wingdings" w:hAnsi="Wingdings" w:hint="default"/>
      </w:rPr>
    </w:lvl>
  </w:abstractNum>
  <w:abstractNum w:abstractNumId="33" w15:restartNumberingAfterBreak="0">
    <w:nsid w:val="41F05AB5"/>
    <w:multiLevelType w:val="hybridMultilevel"/>
    <w:tmpl w:val="560442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31E1854"/>
    <w:multiLevelType w:val="multilevel"/>
    <w:tmpl w:val="2824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5B45CF"/>
    <w:multiLevelType w:val="hybridMultilevel"/>
    <w:tmpl w:val="AC4436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46068F8"/>
    <w:multiLevelType w:val="hybridMultilevel"/>
    <w:tmpl w:val="984AE70C"/>
    <w:lvl w:ilvl="0" w:tplc="FE221E9C">
      <w:start w:val="1"/>
      <w:numFmt w:val="bullet"/>
      <w:lvlRestart w:val="0"/>
      <w:lvlText w:val=""/>
      <w:lvlJc w:val="left"/>
      <w:pPr>
        <w:ind w:left="1287" w:hanging="363"/>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45A33FA7"/>
    <w:multiLevelType w:val="hybridMultilevel"/>
    <w:tmpl w:val="7700A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ACF1F84"/>
    <w:multiLevelType w:val="hybridMultilevel"/>
    <w:tmpl w:val="AADE8352"/>
    <w:lvl w:ilvl="0" w:tplc="06683426">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BAC4223"/>
    <w:multiLevelType w:val="hybridMultilevel"/>
    <w:tmpl w:val="15F8096E"/>
    <w:lvl w:ilvl="0" w:tplc="2AA428B8">
      <w:start w:val="1"/>
      <w:numFmt w:val="decimal"/>
      <w:lvlText w:val="%1."/>
      <w:lvlJc w:val="left"/>
      <w:pPr>
        <w:tabs>
          <w:tab w:val="num" w:pos="360"/>
        </w:tabs>
        <w:ind w:left="360" w:hanging="360"/>
      </w:pPr>
      <w:rPr>
        <w:rFonts w:cs="Arial" w:hint="default"/>
      </w:rPr>
    </w:lvl>
    <w:lvl w:ilvl="1" w:tplc="5F687FD2">
      <w:numFmt w:val="none"/>
      <w:lvlText w:val=""/>
      <w:lvlJc w:val="left"/>
      <w:pPr>
        <w:tabs>
          <w:tab w:val="num" w:pos="360"/>
        </w:tabs>
      </w:pPr>
    </w:lvl>
    <w:lvl w:ilvl="2" w:tplc="06AE9656">
      <w:numFmt w:val="none"/>
      <w:lvlText w:val=""/>
      <w:lvlJc w:val="left"/>
      <w:pPr>
        <w:tabs>
          <w:tab w:val="num" w:pos="360"/>
        </w:tabs>
      </w:pPr>
    </w:lvl>
    <w:lvl w:ilvl="3" w:tplc="C946006E">
      <w:numFmt w:val="none"/>
      <w:lvlText w:val=""/>
      <w:lvlJc w:val="left"/>
      <w:pPr>
        <w:tabs>
          <w:tab w:val="num" w:pos="360"/>
        </w:tabs>
      </w:pPr>
    </w:lvl>
    <w:lvl w:ilvl="4" w:tplc="E4A4FEBA">
      <w:numFmt w:val="none"/>
      <w:lvlText w:val=""/>
      <w:lvlJc w:val="left"/>
      <w:pPr>
        <w:tabs>
          <w:tab w:val="num" w:pos="360"/>
        </w:tabs>
      </w:pPr>
    </w:lvl>
    <w:lvl w:ilvl="5" w:tplc="D556ECE6">
      <w:numFmt w:val="none"/>
      <w:lvlText w:val=""/>
      <w:lvlJc w:val="left"/>
      <w:pPr>
        <w:tabs>
          <w:tab w:val="num" w:pos="360"/>
        </w:tabs>
      </w:pPr>
    </w:lvl>
    <w:lvl w:ilvl="6" w:tplc="BEE4ADF8">
      <w:numFmt w:val="none"/>
      <w:lvlText w:val=""/>
      <w:lvlJc w:val="left"/>
      <w:pPr>
        <w:tabs>
          <w:tab w:val="num" w:pos="360"/>
        </w:tabs>
      </w:pPr>
    </w:lvl>
    <w:lvl w:ilvl="7" w:tplc="AEACA540">
      <w:numFmt w:val="none"/>
      <w:lvlText w:val=""/>
      <w:lvlJc w:val="left"/>
      <w:pPr>
        <w:tabs>
          <w:tab w:val="num" w:pos="360"/>
        </w:tabs>
      </w:pPr>
    </w:lvl>
    <w:lvl w:ilvl="8" w:tplc="00DA0290">
      <w:numFmt w:val="none"/>
      <w:lvlText w:val=""/>
      <w:lvlJc w:val="left"/>
      <w:pPr>
        <w:tabs>
          <w:tab w:val="num" w:pos="360"/>
        </w:tabs>
      </w:pPr>
    </w:lvl>
  </w:abstractNum>
  <w:abstractNum w:abstractNumId="40" w15:restartNumberingAfterBreak="0">
    <w:nsid w:val="5082590A"/>
    <w:multiLevelType w:val="hybridMultilevel"/>
    <w:tmpl w:val="378EA4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1F9711F"/>
    <w:multiLevelType w:val="multilevel"/>
    <w:tmpl w:val="8DA8D154"/>
    <w:lvl w:ilvl="0">
      <w:start w:val="1"/>
      <w:numFmt w:val="decimal"/>
      <w:lvlText w:val="%1."/>
      <w:lvlJc w:val="left"/>
      <w:pPr>
        <w:ind w:left="360" w:hanging="360"/>
      </w:pPr>
      <w:rPr>
        <w:b/>
        <w:i w:val="0"/>
      </w:rPr>
    </w:lvl>
    <w:lvl w:ilvl="1">
      <w:start w:val="1"/>
      <w:numFmt w:val="decimal"/>
      <w:lvlText w:val="%1.%2."/>
      <w:lvlJc w:val="left"/>
      <w:pPr>
        <w:ind w:left="6811"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3B45CCE"/>
    <w:multiLevelType w:val="hybridMultilevel"/>
    <w:tmpl w:val="E69A48B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554C1B8B"/>
    <w:multiLevelType w:val="hybridMultilevel"/>
    <w:tmpl w:val="BB182DD0"/>
    <w:lvl w:ilvl="0" w:tplc="EEDE5892">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62167E1"/>
    <w:multiLevelType w:val="hybridMultilevel"/>
    <w:tmpl w:val="3556A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6BF382D"/>
    <w:multiLevelType w:val="hybridMultilevel"/>
    <w:tmpl w:val="AA10AFEC"/>
    <w:lvl w:ilvl="0" w:tplc="1804CC8E">
      <w:start w:val="1"/>
      <w:numFmt w:val="bullet"/>
      <w:lvlRestart w:val="0"/>
      <w:lvlText w:val=""/>
      <w:lvlJc w:val="left"/>
      <w:pPr>
        <w:ind w:left="1287" w:hanging="363"/>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6" w15:restartNumberingAfterBreak="0">
    <w:nsid w:val="59CE09E7"/>
    <w:multiLevelType w:val="multilevel"/>
    <w:tmpl w:val="7444DD9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59ED1807"/>
    <w:multiLevelType w:val="hybridMultilevel"/>
    <w:tmpl w:val="EE24A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D974C4"/>
    <w:multiLevelType w:val="hybridMultilevel"/>
    <w:tmpl w:val="CD8C14F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67D240E"/>
    <w:multiLevelType w:val="hybridMultilevel"/>
    <w:tmpl w:val="38A0DD36"/>
    <w:lvl w:ilvl="0" w:tplc="08090003">
      <w:start w:val="1"/>
      <w:numFmt w:val="bullet"/>
      <w:lvlText w:val="o"/>
      <w:lvlJc w:val="left"/>
      <w:pPr>
        <w:ind w:left="1287" w:hanging="363"/>
      </w:pPr>
      <w:rPr>
        <w:rFonts w:ascii="Courier New" w:hAnsi="Courier New" w:cs="Courier New"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0" w15:restartNumberingAfterBreak="0">
    <w:nsid w:val="692C08D7"/>
    <w:multiLevelType w:val="multilevel"/>
    <w:tmpl w:val="B10CBF28"/>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1" w15:restartNumberingAfterBreak="0">
    <w:nsid w:val="6A481D03"/>
    <w:multiLevelType w:val="multilevel"/>
    <w:tmpl w:val="215648C6"/>
    <w:lvl w:ilvl="0">
      <w:start w:val="1"/>
      <w:numFmt w:val="bullet"/>
      <w:lvlText w:val=""/>
      <w:lvlJc w:val="left"/>
      <w:pPr>
        <w:ind w:left="360" w:hanging="360"/>
      </w:pPr>
      <w:rPr>
        <w:rFonts w:ascii="Symbol" w:hAnsi="Symbol" w:hint="default"/>
        <w:b/>
        <w:i w:val="0"/>
      </w:rPr>
    </w:lvl>
    <w:lvl w:ilvl="1">
      <w:start w:val="1"/>
      <w:numFmt w:val="decimal"/>
      <w:lvlText w:val="%1.%2."/>
      <w:lvlJc w:val="left"/>
      <w:pPr>
        <w:ind w:left="6811"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BAF552A"/>
    <w:multiLevelType w:val="hybridMultilevel"/>
    <w:tmpl w:val="D958B0EC"/>
    <w:lvl w:ilvl="0" w:tplc="34621C74">
      <w:start w:val="1"/>
      <w:numFmt w:val="bullet"/>
      <w:lvlRestart w:val="0"/>
      <w:lvlText w:val=""/>
      <w:lvlJc w:val="left"/>
      <w:pPr>
        <w:ind w:left="1287" w:hanging="363"/>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6BD47883"/>
    <w:multiLevelType w:val="hybridMultilevel"/>
    <w:tmpl w:val="2CF65592"/>
    <w:lvl w:ilvl="0" w:tplc="FE221E9C">
      <w:start w:val="1"/>
      <w:numFmt w:val="bullet"/>
      <w:lvlRestart w:val="0"/>
      <w:lvlText w:val=""/>
      <w:lvlJc w:val="left"/>
      <w:pPr>
        <w:ind w:left="1287" w:hanging="363"/>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4" w15:restartNumberingAfterBreak="0">
    <w:nsid w:val="6CD91261"/>
    <w:multiLevelType w:val="multilevel"/>
    <w:tmpl w:val="1FCC1BD0"/>
    <w:lvl w:ilvl="0">
      <w:start w:val="3"/>
      <w:numFmt w:val="decimal"/>
      <w:lvlText w:val="%1"/>
      <w:lvlJc w:val="left"/>
      <w:pPr>
        <w:ind w:left="360" w:hanging="360"/>
      </w:pPr>
    </w:lvl>
    <w:lvl w:ilvl="1">
      <w:start w:val="1"/>
      <w:numFmt w:val="decimal"/>
      <w:lvlText w:val="3.%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6EBA31B6"/>
    <w:multiLevelType w:val="multilevel"/>
    <w:tmpl w:val="FD1811C4"/>
    <w:lvl w:ilvl="0">
      <w:start w:val="4"/>
      <w:numFmt w:val="decimal"/>
      <w:lvlText w:val="%1."/>
      <w:lvlJc w:val="left"/>
      <w:pPr>
        <w:ind w:left="360" w:hanging="360"/>
      </w:pPr>
      <w:rPr>
        <w:rFonts w:hint="default"/>
        <w:b/>
        <w:i w:val="0"/>
      </w:rPr>
    </w:lvl>
    <w:lvl w:ilvl="1">
      <w:start w:val="1"/>
      <w:numFmt w:val="decimal"/>
      <w:lvlText w:val="4.%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18268BE"/>
    <w:multiLevelType w:val="multilevel"/>
    <w:tmpl w:val="D78230C6"/>
    <w:lvl w:ilvl="0">
      <w:start w:val="3"/>
      <w:numFmt w:val="decimal"/>
      <w:lvlText w:val="%1."/>
      <w:lvlJc w:val="left"/>
      <w:pPr>
        <w:ind w:left="360" w:hanging="360"/>
      </w:pPr>
      <w:rPr>
        <w:rFonts w:hint="default"/>
        <w:b/>
        <w:i w:val="0"/>
      </w:rPr>
    </w:lvl>
    <w:lvl w:ilvl="1">
      <w:start w:val="2"/>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88A19CB"/>
    <w:multiLevelType w:val="hybridMultilevel"/>
    <w:tmpl w:val="5B30DB4E"/>
    <w:lvl w:ilvl="0" w:tplc="FE221E9C">
      <w:start w:val="1"/>
      <w:numFmt w:val="bullet"/>
      <w:lvlRestart w:val="0"/>
      <w:lvlText w:val=""/>
      <w:lvlJc w:val="left"/>
      <w:pPr>
        <w:ind w:left="1287" w:hanging="363"/>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8" w15:restartNumberingAfterBreak="0">
    <w:nsid w:val="7D893962"/>
    <w:multiLevelType w:val="hybridMultilevel"/>
    <w:tmpl w:val="C91CF3AE"/>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E5B4CB2"/>
    <w:multiLevelType w:val="hybridMultilevel"/>
    <w:tmpl w:val="06C27FA6"/>
    <w:lvl w:ilvl="0" w:tplc="FE221E9C">
      <w:start w:val="1"/>
      <w:numFmt w:val="bullet"/>
      <w:lvlRestart w:val="0"/>
      <w:lvlText w:val=""/>
      <w:lvlJc w:val="left"/>
      <w:pPr>
        <w:ind w:left="1287" w:hanging="363"/>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0" w15:restartNumberingAfterBreak="0">
    <w:nsid w:val="7E640E3F"/>
    <w:multiLevelType w:val="hybridMultilevel"/>
    <w:tmpl w:val="FF9A7F3E"/>
    <w:lvl w:ilvl="0" w:tplc="C884EB40">
      <w:start w:val="1"/>
      <w:numFmt w:val="bullet"/>
      <w:lvlRestart w:val="0"/>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16cid:durableId="593442120">
    <w:abstractNumId w:val="24"/>
  </w:num>
  <w:num w:numId="2" w16cid:durableId="1175147516">
    <w:abstractNumId w:val="46"/>
  </w:num>
  <w:num w:numId="3" w16cid:durableId="108208514">
    <w:abstractNumId w:val="5"/>
  </w:num>
  <w:num w:numId="4" w16cid:durableId="1224220614">
    <w:abstractNumId w:val="19"/>
  </w:num>
  <w:num w:numId="5" w16cid:durableId="1759980705">
    <w:abstractNumId w:val="16"/>
  </w:num>
  <w:num w:numId="6" w16cid:durableId="539317621">
    <w:abstractNumId w:val="15"/>
  </w:num>
  <w:num w:numId="7" w16cid:durableId="1852913969">
    <w:abstractNumId w:val="20"/>
  </w:num>
  <w:num w:numId="8" w16cid:durableId="1897621897">
    <w:abstractNumId w:val="2"/>
  </w:num>
  <w:num w:numId="9" w16cid:durableId="520094152">
    <w:abstractNumId w:val="35"/>
  </w:num>
  <w:num w:numId="10" w16cid:durableId="1740859914">
    <w:abstractNumId w:val="25"/>
  </w:num>
  <w:num w:numId="11" w16cid:durableId="1958025909">
    <w:abstractNumId w:val="10"/>
  </w:num>
  <w:num w:numId="12" w16cid:durableId="980692171">
    <w:abstractNumId w:val="48"/>
  </w:num>
  <w:num w:numId="13" w16cid:durableId="1024209351">
    <w:abstractNumId w:val="39"/>
  </w:num>
  <w:num w:numId="14" w16cid:durableId="1108546933">
    <w:abstractNumId w:val="40"/>
  </w:num>
  <w:num w:numId="15" w16cid:durableId="1500972165">
    <w:abstractNumId w:val="33"/>
  </w:num>
  <w:num w:numId="16" w16cid:durableId="1610316274">
    <w:abstractNumId w:val="17"/>
  </w:num>
  <w:num w:numId="17" w16cid:durableId="2027098848">
    <w:abstractNumId w:val="58"/>
  </w:num>
  <w:num w:numId="18" w16cid:durableId="1000236339">
    <w:abstractNumId w:val="8"/>
  </w:num>
  <w:num w:numId="19" w16cid:durableId="283121423">
    <w:abstractNumId w:val="6"/>
  </w:num>
  <w:num w:numId="20" w16cid:durableId="5069906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533144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1417631">
    <w:abstractNumId w:val="1"/>
  </w:num>
  <w:num w:numId="23" w16cid:durableId="1967930191">
    <w:abstractNumId w:val="3"/>
  </w:num>
  <w:num w:numId="24" w16cid:durableId="984237755">
    <w:abstractNumId w:val="41"/>
  </w:num>
  <w:num w:numId="25" w16cid:durableId="1809542435">
    <w:abstractNumId w:val="56"/>
  </w:num>
  <w:num w:numId="26" w16cid:durableId="713964129">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2876346">
    <w:abstractNumId w:val="54"/>
  </w:num>
  <w:num w:numId="28" w16cid:durableId="1830249656">
    <w:abstractNumId w:val="55"/>
  </w:num>
  <w:num w:numId="29" w16cid:durableId="485173837">
    <w:abstractNumId w:val="42"/>
  </w:num>
  <w:num w:numId="30" w16cid:durableId="1115829428">
    <w:abstractNumId w:val="21"/>
  </w:num>
  <w:num w:numId="31" w16cid:durableId="682903086">
    <w:abstractNumId w:val="51"/>
  </w:num>
  <w:num w:numId="32" w16cid:durableId="545917406">
    <w:abstractNumId w:val="30"/>
  </w:num>
  <w:num w:numId="33" w16cid:durableId="799150612">
    <w:abstractNumId w:val="27"/>
  </w:num>
  <w:num w:numId="34" w16cid:durableId="1826125721">
    <w:abstractNumId w:val="52"/>
  </w:num>
  <w:num w:numId="35" w16cid:durableId="1891067014">
    <w:abstractNumId w:val="28"/>
  </w:num>
  <w:num w:numId="36" w16cid:durableId="984548459">
    <w:abstractNumId w:val="13"/>
  </w:num>
  <w:num w:numId="37" w16cid:durableId="1512528934">
    <w:abstractNumId w:val="45"/>
  </w:num>
  <w:num w:numId="38" w16cid:durableId="901447981">
    <w:abstractNumId w:val="11"/>
  </w:num>
  <w:num w:numId="39" w16cid:durableId="3932375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6951110">
    <w:abstractNumId w:val="34"/>
  </w:num>
  <w:num w:numId="41" w16cid:durableId="605891713">
    <w:abstractNumId w:val="14"/>
  </w:num>
  <w:num w:numId="42" w16cid:durableId="904730055">
    <w:abstractNumId w:val="32"/>
  </w:num>
  <w:num w:numId="43" w16cid:durableId="808321118">
    <w:abstractNumId w:val="29"/>
  </w:num>
  <w:num w:numId="44" w16cid:durableId="1448502313">
    <w:abstractNumId w:val="44"/>
  </w:num>
  <w:num w:numId="45" w16cid:durableId="1575891674">
    <w:abstractNumId w:val="12"/>
  </w:num>
  <w:num w:numId="46" w16cid:durableId="1073118664">
    <w:abstractNumId w:val="37"/>
  </w:num>
  <w:num w:numId="47" w16cid:durableId="1375957306">
    <w:abstractNumId w:val="7"/>
  </w:num>
  <w:num w:numId="48" w16cid:durableId="956176538">
    <w:abstractNumId w:val="31"/>
  </w:num>
  <w:num w:numId="49" w16cid:durableId="1546864791">
    <w:abstractNumId w:val="49"/>
  </w:num>
  <w:num w:numId="50" w16cid:durableId="1629774609">
    <w:abstractNumId w:val="47"/>
  </w:num>
  <w:num w:numId="51" w16cid:durableId="88888088">
    <w:abstractNumId w:val="4"/>
  </w:num>
  <w:num w:numId="52" w16cid:durableId="1075785090">
    <w:abstractNumId w:val="0"/>
  </w:num>
  <w:num w:numId="53" w16cid:durableId="458650260">
    <w:abstractNumId w:val="43"/>
  </w:num>
  <w:num w:numId="54" w16cid:durableId="1139228015">
    <w:abstractNumId w:val="9"/>
  </w:num>
  <w:num w:numId="55" w16cid:durableId="165706422">
    <w:abstractNumId w:val="53"/>
  </w:num>
  <w:num w:numId="56" w16cid:durableId="1100486111">
    <w:abstractNumId w:val="36"/>
  </w:num>
  <w:num w:numId="57" w16cid:durableId="1508787755">
    <w:abstractNumId w:val="18"/>
  </w:num>
  <w:num w:numId="58" w16cid:durableId="467667324">
    <w:abstractNumId w:val="57"/>
  </w:num>
  <w:num w:numId="59" w16cid:durableId="1783300976">
    <w:abstractNumId w:val="59"/>
  </w:num>
  <w:num w:numId="60" w16cid:durableId="112746366">
    <w:abstractNumId w:val="23"/>
  </w:num>
  <w:num w:numId="61" w16cid:durableId="1002664660">
    <w:abstractNumId w:val="60"/>
  </w:num>
  <w:num w:numId="62" w16cid:durableId="758675892">
    <w:abstractNumId w:val="22"/>
  </w:num>
  <w:num w:numId="63" w16cid:durableId="422843197">
    <w:abstractNumId w:val="2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012"/>
    <w:rsid w:val="00000684"/>
    <w:rsid w:val="00014CF4"/>
    <w:rsid w:val="000222F5"/>
    <w:rsid w:val="0002384A"/>
    <w:rsid w:val="00027A04"/>
    <w:rsid w:val="00030D82"/>
    <w:rsid w:val="00037AE1"/>
    <w:rsid w:val="00042F9D"/>
    <w:rsid w:val="0004322F"/>
    <w:rsid w:val="00046895"/>
    <w:rsid w:val="000479A9"/>
    <w:rsid w:val="00051587"/>
    <w:rsid w:val="00054952"/>
    <w:rsid w:val="00061496"/>
    <w:rsid w:val="000649E9"/>
    <w:rsid w:val="0006657B"/>
    <w:rsid w:val="000768CA"/>
    <w:rsid w:val="00077BEE"/>
    <w:rsid w:val="000921EF"/>
    <w:rsid w:val="000A40CC"/>
    <w:rsid w:val="000A6833"/>
    <w:rsid w:val="000B5C34"/>
    <w:rsid w:val="000C29E3"/>
    <w:rsid w:val="000C4295"/>
    <w:rsid w:val="000E0DB9"/>
    <w:rsid w:val="000E0EE4"/>
    <w:rsid w:val="000E5307"/>
    <w:rsid w:val="000F6C03"/>
    <w:rsid w:val="0010100A"/>
    <w:rsid w:val="0010434A"/>
    <w:rsid w:val="00117A2F"/>
    <w:rsid w:val="00120486"/>
    <w:rsid w:val="00122012"/>
    <w:rsid w:val="00122390"/>
    <w:rsid w:val="00132CD3"/>
    <w:rsid w:val="00147215"/>
    <w:rsid w:val="0015084F"/>
    <w:rsid w:val="001645C7"/>
    <w:rsid w:val="00164C9D"/>
    <w:rsid w:val="0018491B"/>
    <w:rsid w:val="001A0623"/>
    <w:rsid w:val="001A2F7E"/>
    <w:rsid w:val="001A74E2"/>
    <w:rsid w:val="001B1702"/>
    <w:rsid w:val="001B330A"/>
    <w:rsid w:val="001B78A7"/>
    <w:rsid w:val="001B7B27"/>
    <w:rsid w:val="001C5BC1"/>
    <w:rsid w:val="001D5A14"/>
    <w:rsid w:val="001D6054"/>
    <w:rsid w:val="001D6C1B"/>
    <w:rsid w:val="001F268B"/>
    <w:rsid w:val="001F4C41"/>
    <w:rsid w:val="00201EAA"/>
    <w:rsid w:val="00203588"/>
    <w:rsid w:val="00205820"/>
    <w:rsid w:val="00205C46"/>
    <w:rsid w:val="00216141"/>
    <w:rsid w:val="0021671D"/>
    <w:rsid w:val="0022034A"/>
    <w:rsid w:val="00222733"/>
    <w:rsid w:val="00223AE6"/>
    <w:rsid w:val="00226075"/>
    <w:rsid w:val="002306C7"/>
    <w:rsid w:val="00236304"/>
    <w:rsid w:val="00241F4F"/>
    <w:rsid w:val="00244295"/>
    <w:rsid w:val="00250620"/>
    <w:rsid w:val="00264079"/>
    <w:rsid w:val="00270AA1"/>
    <w:rsid w:val="00272067"/>
    <w:rsid w:val="00297AAE"/>
    <w:rsid w:val="002B5FB9"/>
    <w:rsid w:val="002C2FBE"/>
    <w:rsid w:val="002C5BE7"/>
    <w:rsid w:val="002D4C6E"/>
    <w:rsid w:val="002D52DD"/>
    <w:rsid w:val="002E120D"/>
    <w:rsid w:val="002E5471"/>
    <w:rsid w:val="002E5DDE"/>
    <w:rsid w:val="002F090B"/>
    <w:rsid w:val="002F3B88"/>
    <w:rsid w:val="0031091B"/>
    <w:rsid w:val="00314F55"/>
    <w:rsid w:val="00316089"/>
    <w:rsid w:val="00316D9A"/>
    <w:rsid w:val="00316F31"/>
    <w:rsid w:val="00317645"/>
    <w:rsid w:val="003306B1"/>
    <w:rsid w:val="0033283C"/>
    <w:rsid w:val="003330A4"/>
    <w:rsid w:val="00346925"/>
    <w:rsid w:val="00347FA2"/>
    <w:rsid w:val="00351193"/>
    <w:rsid w:val="00352A33"/>
    <w:rsid w:val="00354335"/>
    <w:rsid w:val="00355381"/>
    <w:rsid w:val="003574C1"/>
    <w:rsid w:val="0036019D"/>
    <w:rsid w:val="003606E8"/>
    <w:rsid w:val="00360F25"/>
    <w:rsid w:val="003633A2"/>
    <w:rsid w:val="00363AF0"/>
    <w:rsid w:val="0036679E"/>
    <w:rsid w:val="00385C43"/>
    <w:rsid w:val="00392BB0"/>
    <w:rsid w:val="003945EF"/>
    <w:rsid w:val="00396567"/>
    <w:rsid w:val="003A191F"/>
    <w:rsid w:val="003B20F8"/>
    <w:rsid w:val="003B2A94"/>
    <w:rsid w:val="003C615E"/>
    <w:rsid w:val="003D6030"/>
    <w:rsid w:val="003E74E9"/>
    <w:rsid w:val="003F1846"/>
    <w:rsid w:val="00404C1E"/>
    <w:rsid w:val="00410963"/>
    <w:rsid w:val="00423BD6"/>
    <w:rsid w:val="0043217A"/>
    <w:rsid w:val="00434E1B"/>
    <w:rsid w:val="004360DB"/>
    <w:rsid w:val="00437C49"/>
    <w:rsid w:val="00444775"/>
    <w:rsid w:val="00450288"/>
    <w:rsid w:val="00452BD8"/>
    <w:rsid w:val="004538A3"/>
    <w:rsid w:val="004603BB"/>
    <w:rsid w:val="00466D85"/>
    <w:rsid w:val="004750E0"/>
    <w:rsid w:val="00497CAD"/>
    <w:rsid w:val="004A1119"/>
    <w:rsid w:val="004A19FC"/>
    <w:rsid w:val="004A4623"/>
    <w:rsid w:val="004A509A"/>
    <w:rsid w:val="004A6F92"/>
    <w:rsid w:val="004B2EDE"/>
    <w:rsid w:val="004B3FD1"/>
    <w:rsid w:val="004B6E33"/>
    <w:rsid w:val="004C2786"/>
    <w:rsid w:val="004C365F"/>
    <w:rsid w:val="004C43CE"/>
    <w:rsid w:val="004E62BD"/>
    <w:rsid w:val="004F23C8"/>
    <w:rsid w:val="00500473"/>
    <w:rsid w:val="005061CC"/>
    <w:rsid w:val="00506481"/>
    <w:rsid w:val="00512198"/>
    <w:rsid w:val="005217FC"/>
    <w:rsid w:val="005410FF"/>
    <w:rsid w:val="00546E74"/>
    <w:rsid w:val="00553495"/>
    <w:rsid w:val="00560D65"/>
    <w:rsid w:val="00560E2B"/>
    <w:rsid w:val="00561072"/>
    <w:rsid w:val="00571BA1"/>
    <w:rsid w:val="00581332"/>
    <w:rsid w:val="005827EB"/>
    <w:rsid w:val="00585557"/>
    <w:rsid w:val="00590A00"/>
    <w:rsid w:val="005A35B5"/>
    <w:rsid w:val="005B0403"/>
    <w:rsid w:val="005B049E"/>
    <w:rsid w:val="005B5173"/>
    <w:rsid w:val="005C28F2"/>
    <w:rsid w:val="005C6B46"/>
    <w:rsid w:val="005C7B8C"/>
    <w:rsid w:val="005D1450"/>
    <w:rsid w:val="005E2221"/>
    <w:rsid w:val="005E7E39"/>
    <w:rsid w:val="005F010B"/>
    <w:rsid w:val="005F23B6"/>
    <w:rsid w:val="005F55FB"/>
    <w:rsid w:val="00602404"/>
    <w:rsid w:val="00603715"/>
    <w:rsid w:val="006047B9"/>
    <w:rsid w:val="00617ABC"/>
    <w:rsid w:val="0062186A"/>
    <w:rsid w:val="00625CEA"/>
    <w:rsid w:val="00626534"/>
    <w:rsid w:val="00630F5D"/>
    <w:rsid w:val="00636E91"/>
    <w:rsid w:val="00641132"/>
    <w:rsid w:val="00643124"/>
    <w:rsid w:val="00643FB2"/>
    <w:rsid w:val="006451A7"/>
    <w:rsid w:val="00645AC5"/>
    <w:rsid w:val="0066537A"/>
    <w:rsid w:val="0067558E"/>
    <w:rsid w:val="006779F9"/>
    <w:rsid w:val="0068200A"/>
    <w:rsid w:val="00691382"/>
    <w:rsid w:val="006A19B5"/>
    <w:rsid w:val="006A4026"/>
    <w:rsid w:val="006A7129"/>
    <w:rsid w:val="006B089B"/>
    <w:rsid w:val="006B1176"/>
    <w:rsid w:val="006B460D"/>
    <w:rsid w:val="006B461B"/>
    <w:rsid w:val="006B5396"/>
    <w:rsid w:val="006B5594"/>
    <w:rsid w:val="006B5FF7"/>
    <w:rsid w:val="006B64C5"/>
    <w:rsid w:val="006C001B"/>
    <w:rsid w:val="006C1706"/>
    <w:rsid w:val="006C204E"/>
    <w:rsid w:val="006C28F9"/>
    <w:rsid w:val="006D0CCA"/>
    <w:rsid w:val="006D2EA0"/>
    <w:rsid w:val="006E612D"/>
    <w:rsid w:val="006E7BE8"/>
    <w:rsid w:val="006F60FF"/>
    <w:rsid w:val="006F7481"/>
    <w:rsid w:val="00706A9A"/>
    <w:rsid w:val="00711501"/>
    <w:rsid w:val="00712E8A"/>
    <w:rsid w:val="007154CC"/>
    <w:rsid w:val="00715E05"/>
    <w:rsid w:val="0071674C"/>
    <w:rsid w:val="00717C8A"/>
    <w:rsid w:val="0072108F"/>
    <w:rsid w:val="00732B42"/>
    <w:rsid w:val="007356D4"/>
    <w:rsid w:val="007403FC"/>
    <w:rsid w:val="00740F95"/>
    <w:rsid w:val="00743D1A"/>
    <w:rsid w:val="00744BBD"/>
    <w:rsid w:val="007454FB"/>
    <w:rsid w:val="0074611C"/>
    <w:rsid w:val="00746E85"/>
    <w:rsid w:val="0075113B"/>
    <w:rsid w:val="00756740"/>
    <w:rsid w:val="0077313D"/>
    <w:rsid w:val="00775EF1"/>
    <w:rsid w:val="0078311A"/>
    <w:rsid w:val="007871B9"/>
    <w:rsid w:val="007954A0"/>
    <w:rsid w:val="00796A8E"/>
    <w:rsid w:val="007A041A"/>
    <w:rsid w:val="007A13E1"/>
    <w:rsid w:val="007A2D21"/>
    <w:rsid w:val="007A5604"/>
    <w:rsid w:val="007B5857"/>
    <w:rsid w:val="007C7F8C"/>
    <w:rsid w:val="007D3365"/>
    <w:rsid w:val="007F75B3"/>
    <w:rsid w:val="0080145D"/>
    <w:rsid w:val="00807735"/>
    <w:rsid w:val="00811F6D"/>
    <w:rsid w:val="0082075F"/>
    <w:rsid w:val="008224E0"/>
    <w:rsid w:val="008446E0"/>
    <w:rsid w:val="00844DE7"/>
    <w:rsid w:val="00846BA4"/>
    <w:rsid w:val="008501E1"/>
    <w:rsid w:val="00851D64"/>
    <w:rsid w:val="00851DA6"/>
    <w:rsid w:val="00866683"/>
    <w:rsid w:val="00866CB4"/>
    <w:rsid w:val="00873A8E"/>
    <w:rsid w:val="00877C3C"/>
    <w:rsid w:val="0088311C"/>
    <w:rsid w:val="00892363"/>
    <w:rsid w:val="00895F4F"/>
    <w:rsid w:val="008A2D6E"/>
    <w:rsid w:val="008B0F2B"/>
    <w:rsid w:val="008B5102"/>
    <w:rsid w:val="008C0E69"/>
    <w:rsid w:val="008D1975"/>
    <w:rsid w:val="008D76B0"/>
    <w:rsid w:val="008E2F7B"/>
    <w:rsid w:val="008F3A86"/>
    <w:rsid w:val="008F4B6E"/>
    <w:rsid w:val="00911CED"/>
    <w:rsid w:val="00914FCA"/>
    <w:rsid w:val="00916BC4"/>
    <w:rsid w:val="00920001"/>
    <w:rsid w:val="0092353F"/>
    <w:rsid w:val="009259FD"/>
    <w:rsid w:val="00944F38"/>
    <w:rsid w:val="009458A0"/>
    <w:rsid w:val="0095145C"/>
    <w:rsid w:val="0095176F"/>
    <w:rsid w:val="009545FE"/>
    <w:rsid w:val="009779F6"/>
    <w:rsid w:val="00983237"/>
    <w:rsid w:val="00984E05"/>
    <w:rsid w:val="00985ABB"/>
    <w:rsid w:val="0099010D"/>
    <w:rsid w:val="009A10E9"/>
    <w:rsid w:val="009A28F9"/>
    <w:rsid w:val="009B3476"/>
    <w:rsid w:val="009B59AB"/>
    <w:rsid w:val="009D20E3"/>
    <w:rsid w:val="009D4046"/>
    <w:rsid w:val="009D780A"/>
    <w:rsid w:val="009F6279"/>
    <w:rsid w:val="00A03177"/>
    <w:rsid w:val="00A13CAB"/>
    <w:rsid w:val="00A14A16"/>
    <w:rsid w:val="00A22D93"/>
    <w:rsid w:val="00A27476"/>
    <w:rsid w:val="00A27FCF"/>
    <w:rsid w:val="00A31C7E"/>
    <w:rsid w:val="00A33278"/>
    <w:rsid w:val="00A41BEB"/>
    <w:rsid w:val="00A44AC7"/>
    <w:rsid w:val="00A47E4A"/>
    <w:rsid w:val="00A500E4"/>
    <w:rsid w:val="00A50382"/>
    <w:rsid w:val="00A54386"/>
    <w:rsid w:val="00A640E6"/>
    <w:rsid w:val="00A64E67"/>
    <w:rsid w:val="00A76FCD"/>
    <w:rsid w:val="00A97B6F"/>
    <w:rsid w:val="00AA30FD"/>
    <w:rsid w:val="00AA4086"/>
    <w:rsid w:val="00AA42A5"/>
    <w:rsid w:val="00AA5B09"/>
    <w:rsid w:val="00AB0782"/>
    <w:rsid w:val="00AB2CEE"/>
    <w:rsid w:val="00AB57E7"/>
    <w:rsid w:val="00AB7DFA"/>
    <w:rsid w:val="00AD528E"/>
    <w:rsid w:val="00AD5CD9"/>
    <w:rsid w:val="00AE29CC"/>
    <w:rsid w:val="00AE6F92"/>
    <w:rsid w:val="00AE7616"/>
    <w:rsid w:val="00AF0992"/>
    <w:rsid w:val="00AF3493"/>
    <w:rsid w:val="00B007EA"/>
    <w:rsid w:val="00B13DF3"/>
    <w:rsid w:val="00B20A6E"/>
    <w:rsid w:val="00B23942"/>
    <w:rsid w:val="00B318ED"/>
    <w:rsid w:val="00B56A9B"/>
    <w:rsid w:val="00B613C8"/>
    <w:rsid w:val="00B65949"/>
    <w:rsid w:val="00B8225C"/>
    <w:rsid w:val="00B92505"/>
    <w:rsid w:val="00B93661"/>
    <w:rsid w:val="00B94C9D"/>
    <w:rsid w:val="00BB2926"/>
    <w:rsid w:val="00BB42EC"/>
    <w:rsid w:val="00BB49C3"/>
    <w:rsid w:val="00BB7ECE"/>
    <w:rsid w:val="00BC27BB"/>
    <w:rsid w:val="00BC36AC"/>
    <w:rsid w:val="00BD7B3B"/>
    <w:rsid w:val="00BE6A6F"/>
    <w:rsid w:val="00BE72BB"/>
    <w:rsid w:val="00C01B51"/>
    <w:rsid w:val="00C03B0B"/>
    <w:rsid w:val="00C043C9"/>
    <w:rsid w:val="00C04D46"/>
    <w:rsid w:val="00C10818"/>
    <w:rsid w:val="00C24F20"/>
    <w:rsid w:val="00C33BDD"/>
    <w:rsid w:val="00C3538F"/>
    <w:rsid w:val="00C44DD8"/>
    <w:rsid w:val="00C52471"/>
    <w:rsid w:val="00C57E90"/>
    <w:rsid w:val="00C7105E"/>
    <w:rsid w:val="00C72E46"/>
    <w:rsid w:val="00C776B4"/>
    <w:rsid w:val="00C81015"/>
    <w:rsid w:val="00C83C09"/>
    <w:rsid w:val="00C9417E"/>
    <w:rsid w:val="00CA7041"/>
    <w:rsid w:val="00CC315D"/>
    <w:rsid w:val="00CD2C3A"/>
    <w:rsid w:val="00CF2919"/>
    <w:rsid w:val="00CF3962"/>
    <w:rsid w:val="00D007B6"/>
    <w:rsid w:val="00D0665C"/>
    <w:rsid w:val="00D10835"/>
    <w:rsid w:val="00D12F28"/>
    <w:rsid w:val="00D1690B"/>
    <w:rsid w:val="00D178EE"/>
    <w:rsid w:val="00D42A85"/>
    <w:rsid w:val="00D53549"/>
    <w:rsid w:val="00D55CE5"/>
    <w:rsid w:val="00D56732"/>
    <w:rsid w:val="00D60659"/>
    <w:rsid w:val="00D610E4"/>
    <w:rsid w:val="00D6407C"/>
    <w:rsid w:val="00D64162"/>
    <w:rsid w:val="00D7692A"/>
    <w:rsid w:val="00D87A68"/>
    <w:rsid w:val="00D90466"/>
    <w:rsid w:val="00D954DC"/>
    <w:rsid w:val="00D9576A"/>
    <w:rsid w:val="00DA7780"/>
    <w:rsid w:val="00DB1AB1"/>
    <w:rsid w:val="00DB706F"/>
    <w:rsid w:val="00DC0290"/>
    <w:rsid w:val="00DC23C9"/>
    <w:rsid w:val="00DC2D13"/>
    <w:rsid w:val="00DD11DD"/>
    <w:rsid w:val="00DD2423"/>
    <w:rsid w:val="00DD78CD"/>
    <w:rsid w:val="00DE40CC"/>
    <w:rsid w:val="00DE439E"/>
    <w:rsid w:val="00DF2576"/>
    <w:rsid w:val="00DF37E1"/>
    <w:rsid w:val="00DF6B0F"/>
    <w:rsid w:val="00E10E71"/>
    <w:rsid w:val="00E13829"/>
    <w:rsid w:val="00E13C81"/>
    <w:rsid w:val="00E159C7"/>
    <w:rsid w:val="00E172C2"/>
    <w:rsid w:val="00E462A0"/>
    <w:rsid w:val="00E5166C"/>
    <w:rsid w:val="00E534F3"/>
    <w:rsid w:val="00E6445F"/>
    <w:rsid w:val="00E848C2"/>
    <w:rsid w:val="00E90795"/>
    <w:rsid w:val="00E97CDE"/>
    <w:rsid w:val="00EA1F8B"/>
    <w:rsid w:val="00EA338D"/>
    <w:rsid w:val="00EB356C"/>
    <w:rsid w:val="00EB4398"/>
    <w:rsid w:val="00EE4554"/>
    <w:rsid w:val="00EF2AEF"/>
    <w:rsid w:val="00EF7BCD"/>
    <w:rsid w:val="00F00436"/>
    <w:rsid w:val="00F0218C"/>
    <w:rsid w:val="00F0224D"/>
    <w:rsid w:val="00F067CC"/>
    <w:rsid w:val="00F1451A"/>
    <w:rsid w:val="00F27079"/>
    <w:rsid w:val="00F4087A"/>
    <w:rsid w:val="00F4542D"/>
    <w:rsid w:val="00F51DB9"/>
    <w:rsid w:val="00F52A55"/>
    <w:rsid w:val="00F533A1"/>
    <w:rsid w:val="00F538B4"/>
    <w:rsid w:val="00F53F9E"/>
    <w:rsid w:val="00F61B09"/>
    <w:rsid w:val="00F702E0"/>
    <w:rsid w:val="00F70CDE"/>
    <w:rsid w:val="00F76018"/>
    <w:rsid w:val="00F86916"/>
    <w:rsid w:val="00F8733E"/>
    <w:rsid w:val="00F906C2"/>
    <w:rsid w:val="00F96375"/>
    <w:rsid w:val="00F968E0"/>
    <w:rsid w:val="00FB4665"/>
    <w:rsid w:val="00FC074C"/>
    <w:rsid w:val="00FC1D10"/>
    <w:rsid w:val="00FC2989"/>
    <w:rsid w:val="00FC4709"/>
    <w:rsid w:val="00FD1A1E"/>
    <w:rsid w:val="00FD24B0"/>
    <w:rsid w:val="00FD6B27"/>
    <w:rsid w:val="00FE2F33"/>
    <w:rsid w:val="00FE4825"/>
    <w:rsid w:val="00FF25B1"/>
    <w:rsid w:val="00FF46E0"/>
    <w:rsid w:val="00FF5F54"/>
    <w:rsid w:val="00FF76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EDA35"/>
  <w15:docId w15:val="{DED68DC8-A716-482B-939E-C29B07A4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pPr>
      <w:keepNext/>
      <w:outlineLvl w:val="0"/>
    </w:pPr>
    <w:rPr>
      <w:rFonts w:cs="Arial"/>
      <w:b/>
      <w:bCs/>
      <w:kern w:val="32"/>
      <w:sz w:val="28"/>
      <w:szCs w:val="32"/>
    </w:rPr>
  </w:style>
  <w:style w:type="paragraph" w:styleId="Heading2">
    <w:name w:val="heading 2"/>
    <w:basedOn w:val="Normal"/>
    <w:next w:val="Normal"/>
    <w:link w:val="Heading2Char"/>
    <w:qFormat/>
    <w:pPr>
      <w:keepNext/>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Header Char1 Char Char,Header Char Char Char Char,CBC Header Char1 Char Char Char,Header Char1 Char Char Char Char,Header Char Char Char Char Char Char,Header Char1 Char1 Char Char Char Char Char"/>
    <w:basedOn w:val="Normal"/>
    <w:link w:val="HeaderChar"/>
    <w:pPr>
      <w:tabs>
        <w:tab w:val="center" w:pos="4320"/>
        <w:tab w:val="right" w:pos="8640"/>
      </w:tabs>
      <w:ind w:left="720" w:hanging="720"/>
    </w:pPr>
    <w:rPr>
      <w:rFonts w:ascii="Arial" w:hAnsi="Arial"/>
      <w:szCs w:val="20"/>
    </w:rPr>
  </w:style>
  <w:style w:type="paragraph" w:styleId="Footer">
    <w:name w:val="footer"/>
    <w:basedOn w:val="Normal"/>
    <w:link w:val="FooterChar"/>
    <w:pPr>
      <w:tabs>
        <w:tab w:val="center" w:pos="4320"/>
        <w:tab w:val="right" w:pos="8640"/>
      </w:tabs>
    </w:pPr>
  </w:style>
  <w:style w:type="paragraph" w:styleId="BodyTextIndent3">
    <w:name w:val="Body Text Indent 3"/>
    <w:basedOn w:val="Normal"/>
    <w:link w:val="BodyTextIndent3Char"/>
    <w:pPr>
      <w:spacing w:line="280" w:lineRule="exact"/>
      <w:ind w:left="720" w:hanging="720"/>
    </w:pPr>
    <w:rPr>
      <w:szCs w:val="20"/>
    </w:rPr>
  </w:style>
  <w:style w:type="character" w:styleId="PageNumber">
    <w:name w:val="page number"/>
    <w:basedOn w:val="DefaultParagraphFont"/>
  </w:style>
  <w:style w:type="paragraph" w:styleId="BodyText">
    <w:name w:val="Body Text"/>
    <w:aliases w:val="Body Text bold underlined"/>
    <w:basedOn w:val="Normal"/>
    <w:rPr>
      <w:b/>
      <w:bCs/>
      <w:szCs w:val="20"/>
    </w:rPr>
  </w:style>
  <w:style w:type="paragraph" w:customStyle="1" w:styleId="paraheading">
    <w:name w:val="para heading"/>
    <w:basedOn w:val="Normal"/>
    <w:pPr>
      <w:numPr>
        <w:numId w:val="3"/>
      </w:numPr>
      <w:spacing w:after="120"/>
    </w:pPr>
    <w:rPr>
      <w:rFonts w:ascii="Arial" w:hAnsi="Arial" w:cs="Arial"/>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rPr>
      <w:color w:val="0000FF"/>
      <w:u w:val="single"/>
    </w:rPr>
  </w:style>
  <w:style w:type="character" w:customStyle="1" w:styleId="HeaderChar">
    <w:name w:val="Header Char"/>
    <w:aliases w:val="Header Char Char Char,Header Char1 Char Char Char,Header Char Char Char Char Char,CBC Header Char1 Char Char Char Char,Header Char1 Char Char Char Char Char,Header Char Char Char Char Char Char Char"/>
    <w:link w:val="Header"/>
    <w:rsid w:val="000479A9"/>
    <w:rPr>
      <w:rFonts w:ascii="Arial" w:hAnsi="Arial"/>
      <w:sz w:val="24"/>
      <w:lang w:eastAsia="en-US"/>
    </w:rPr>
  </w:style>
  <w:style w:type="character" w:customStyle="1" w:styleId="FooterChar">
    <w:name w:val="Footer Char"/>
    <w:link w:val="Footer"/>
    <w:rsid w:val="000479A9"/>
    <w:rPr>
      <w:rFonts w:ascii="Foundry Form Sans" w:hAnsi="Foundry Form Sans"/>
      <w:sz w:val="24"/>
      <w:szCs w:val="24"/>
      <w:lang w:eastAsia="en-US"/>
    </w:rPr>
  </w:style>
  <w:style w:type="character" w:customStyle="1" w:styleId="BodyTextIndent3Char">
    <w:name w:val="Body Text Indent 3 Char"/>
    <w:link w:val="BodyTextIndent3"/>
    <w:rsid w:val="000479A9"/>
    <w:rPr>
      <w:rFonts w:ascii="Foundry Form Sans" w:hAnsi="Foundry Form Sans"/>
      <w:sz w:val="24"/>
      <w:lang w:eastAsia="en-US"/>
    </w:rPr>
  </w:style>
  <w:style w:type="character" w:customStyle="1" w:styleId="Heading2Char">
    <w:name w:val="Heading 2 Char"/>
    <w:link w:val="Heading2"/>
    <w:rsid w:val="006B089B"/>
    <w:rPr>
      <w:rFonts w:ascii="Foundry Form Sans" w:hAnsi="Foundry Form Sans" w:cs="Arial"/>
      <w:b/>
      <w:bCs/>
      <w:iCs/>
      <w:sz w:val="24"/>
      <w:szCs w:val="28"/>
      <w:lang w:eastAsia="en-U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9A28F9"/>
    <w:pPr>
      <w:ind w:left="720"/>
      <w:contextualSpacing/>
    </w:pPr>
  </w:style>
  <w:style w:type="character" w:styleId="FollowedHyperlink">
    <w:name w:val="FollowedHyperlink"/>
    <w:basedOn w:val="DefaultParagraphFont"/>
    <w:uiPriority w:val="99"/>
    <w:semiHidden/>
    <w:unhideWhenUsed/>
    <w:rsid w:val="00223AE6"/>
    <w:rPr>
      <w:color w:val="800080" w:themeColor="followed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FD6B27"/>
    <w:rPr>
      <w:rFonts w:ascii="Foundry Form Sans" w:hAnsi="Foundry Form Sans"/>
      <w:sz w:val="24"/>
      <w:szCs w:val="24"/>
      <w:lang w:eastAsia="en-US"/>
    </w:rPr>
  </w:style>
  <w:style w:type="character" w:styleId="CommentReference">
    <w:name w:val="annotation reference"/>
    <w:basedOn w:val="DefaultParagraphFont"/>
    <w:uiPriority w:val="99"/>
    <w:semiHidden/>
    <w:unhideWhenUsed/>
    <w:rsid w:val="000A40CC"/>
    <w:rPr>
      <w:sz w:val="16"/>
      <w:szCs w:val="16"/>
    </w:rPr>
  </w:style>
  <w:style w:type="paragraph" w:styleId="CommentText">
    <w:name w:val="annotation text"/>
    <w:basedOn w:val="Normal"/>
    <w:link w:val="CommentTextChar"/>
    <w:uiPriority w:val="99"/>
    <w:unhideWhenUsed/>
    <w:rsid w:val="000A40CC"/>
    <w:rPr>
      <w:sz w:val="20"/>
      <w:szCs w:val="20"/>
    </w:rPr>
  </w:style>
  <w:style w:type="character" w:customStyle="1" w:styleId="CommentTextChar">
    <w:name w:val="Comment Text Char"/>
    <w:basedOn w:val="DefaultParagraphFont"/>
    <w:link w:val="CommentText"/>
    <w:uiPriority w:val="99"/>
    <w:rsid w:val="000A40CC"/>
    <w:rPr>
      <w:rFonts w:ascii="Foundry Form Sans" w:hAnsi="Foundry Form Sans"/>
      <w:lang w:eastAsia="en-US"/>
    </w:rPr>
  </w:style>
  <w:style w:type="table" w:styleId="TableGrid">
    <w:name w:val="Table Grid"/>
    <w:basedOn w:val="TableNormal"/>
    <w:uiPriority w:val="59"/>
    <w:rsid w:val="000A4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A40CC"/>
    <w:rPr>
      <w:b/>
      <w:bCs/>
    </w:rPr>
  </w:style>
  <w:style w:type="character" w:customStyle="1" w:styleId="CommentSubjectChar">
    <w:name w:val="Comment Subject Char"/>
    <w:basedOn w:val="CommentTextChar"/>
    <w:link w:val="CommentSubject"/>
    <w:uiPriority w:val="99"/>
    <w:semiHidden/>
    <w:rsid w:val="000A40CC"/>
    <w:rPr>
      <w:rFonts w:ascii="Foundry Form Sans" w:hAnsi="Foundry Form Sans"/>
      <w:b/>
      <w:bCs/>
      <w:lang w:eastAsia="en-US"/>
    </w:rPr>
  </w:style>
  <w:style w:type="paragraph" w:styleId="Revision">
    <w:name w:val="Revision"/>
    <w:hidden/>
    <w:uiPriority w:val="99"/>
    <w:semiHidden/>
    <w:rsid w:val="00EA1F8B"/>
    <w:rPr>
      <w:rFonts w:ascii="Foundry Form Sans" w:hAnsi="Foundry Form Sans"/>
      <w:sz w:val="24"/>
      <w:szCs w:val="24"/>
      <w:lang w:eastAsia="en-US"/>
    </w:rPr>
  </w:style>
  <w:style w:type="paragraph" w:styleId="NormalWeb">
    <w:name w:val="Normal (Web)"/>
    <w:basedOn w:val="Normal"/>
    <w:uiPriority w:val="99"/>
    <w:semiHidden/>
    <w:unhideWhenUsed/>
    <w:rsid w:val="00844DE7"/>
    <w:rPr>
      <w:rFonts w:ascii="Times New Roman" w:hAnsi="Times New Roman"/>
    </w:rPr>
  </w:style>
  <w:style w:type="character" w:styleId="UnresolvedMention">
    <w:name w:val="Unresolved Mention"/>
    <w:basedOn w:val="DefaultParagraphFont"/>
    <w:uiPriority w:val="99"/>
    <w:semiHidden/>
    <w:unhideWhenUsed/>
    <w:rsid w:val="007A5604"/>
    <w:rPr>
      <w:color w:val="605E5C"/>
      <w:shd w:val="clear" w:color="auto" w:fill="E1DFDD"/>
    </w:rPr>
  </w:style>
  <w:style w:type="paragraph" w:customStyle="1" w:styleId="paragraph">
    <w:name w:val="paragraph"/>
    <w:basedOn w:val="Normal"/>
    <w:rsid w:val="006B5396"/>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2828">
      <w:bodyDiv w:val="1"/>
      <w:marLeft w:val="0"/>
      <w:marRight w:val="0"/>
      <w:marTop w:val="0"/>
      <w:marBottom w:val="0"/>
      <w:divBdr>
        <w:top w:val="none" w:sz="0" w:space="0" w:color="auto"/>
        <w:left w:val="none" w:sz="0" w:space="0" w:color="auto"/>
        <w:bottom w:val="none" w:sz="0" w:space="0" w:color="auto"/>
        <w:right w:val="none" w:sz="0" w:space="0" w:color="auto"/>
      </w:divBdr>
    </w:div>
    <w:div w:id="195194519">
      <w:bodyDiv w:val="1"/>
      <w:marLeft w:val="0"/>
      <w:marRight w:val="0"/>
      <w:marTop w:val="0"/>
      <w:marBottom w:val="0"/>
      <w:divBdr>
        <w:top w:val="none" w:sz="0" w:space="0" w:color="auto"/>
        <w:left w:val="none" w:sz="0" w:space="0" w:color="auto"/>
        <w:bottom w:val="none" w:sz="0" w:space="0" w:color="auto"/>
        <w:right w:val="none" w:sz="0" w:space="0" w:color="auto"/>
      </w:divBdr>
    </w:div>
    <w:div w:id="206064153">
      <w:bodyDiv w:val="1"/>
      <w:marLeft w:val="0"/>
      <w:marRight w:val="0"/>
      <w:marTop w:val="0"/>
      <w:marBottom w:val="0"/>
      <w:divBdr>
        <w:top w:val="none" w:sz="0" w:space="0" w:color="auto"/>
        <w:left w:val="none" w:sz="0" w:space="0" w:color="auto"/>
        <w:bottom w:val="none" w:sz="0" w:space="0" w:color="auto"/>
        <w:right w:val="none" w:sz="0" w:space="0" w:color="auto"/>
      </w:divBdr>
    </w:div>
    <w:div w:id="258762170">
      <w:bodyDiv w:val="1"/>
      <w:marLeft w:val="0"/>
      <w:marRight w:val="0"/>
      <w:marTop w:val="0"/>
      <w:marBottom w:val="0"/>
      <w:divBdr>
        <w:top w:val="none" w:sz="0" w:space="0" w:color="auto"/>
        <w:left w:val="none" w:sz="0" w:space="0" w:color="auto"/>
        <w:bottom w:val="none" w:sz="0" w:space="0" w:color="auto"/>
        <w:right w:val="none" w:sz="0" w:space="0" w:color="auto"/>
      </w:divBdr>
    </w:div>
    <w:div w:id="288585794">
      <w:bodyDiv w:val="1"/>
      <w:marLeft w:val="0"/>
      <w:marRight w:val="0"/>
      <w:marTop w:val="0"/>
      <w:marBottom w:val="0"/>
      <w:divBdr>
        <w:top w:val="none" w:sz="0" w:space="0" w:color="auto"/>
        <w:left w:val="none" w:sz="0" w:space="0" w:color="auto"/>
        <w:bottom w:val="none" w:sz="0" w:space="0" w:color="auto"/>
        <w:right w:val="none" w:sz="0" w:space="0" w:color="auto"/>
      </w:divBdr>
    </w:div>
    <w:div w:id="303432955">
      <w:bodyDiv w:val="1"/>
      <w:marLeft w:val="0"/>
      <w:marRight w:val="0"/>
      <w:marTop w:val="0"/>
      <w:marBottom w:val="0"/>
      <w:divBdr>
        <w:top w:val="none" w:sz="0" w:space="0" w:color="auto"/>
        <w:left w:val="none" w:sz="0" w:space="0" w:color="auto"/>
        <w:bottom w:val="none" w:sz="0" w:space="0" w:color="auto"/>
        <w:right w:val="none" w:sz="0" w:space="0" w:color="auto"/>
      </w:divBdr>
    </w:div>
    <w:div w:id="331103318">
      <w:bodyDiv w:val="1"/>
      <w:marLeft w:val="0"/>
      <w:marRight w:val="0"/>
      <w:marTop w:val="0"/>
      <w:marBottom w:val="0"/>
      <w:divBdr>
        <w:top w:val="none" w:sz="0" w:space="0" w:color="auto"/>
        <w:left w:val="none" w:sz="0" w:space="0" w:color="auto"/>
        <w:bottom w:val="none" w:sz="0" w:space="0" w:color="auto"/>
        <w:right w:val="none" w:sz="0" w:space="0" w:color="auto"/>
      </w:divBdr>
    </w:div>
    <w:div w:id="372310515">
      <w:bodyDiv w:val="1"/>
      <w:marLeft w:val="0"/>
      <w:marRight w:val="0"/>
      <w:marTop w:val="0"/>
      <w:marBottom w:val="0"/>
      <w:divBdr>
        <w:top w:val="none" w:sz="0" w:space="0" w:color="auto"/>
        <w:left w:val="none" w:sz="0" w:space="0" w:color="auto"/>
        <w:bottom w:val="none" w:sz="0" w:space="0" w:color="auto"/>
        <w:right w:val="none" w:sz="0" w:space="0" w:color="auto"/>
      </w:divBdr>
    </w:div>
    <w:div w:id="555580762">
      <w:bodyDiv w:val="1"/>
      <w:marLeft w:val="0"/>
      <w:marRight w:val="0"/>
      <w:marTop w:val="0"/>
      <w:marBottom w:val="0"/>
      <w:divBdr>
        <w:top w:val="none" w:sz="0" w:space="0" w:color="auto"/>
        <w:left w:val="none" w:sz="0" w:space="0" w:color="auto"/>
        <w:bottom w:val="none" w:sz="0" w:space="0" w:color="auto"/>
        <w:right w:val="none" w:sz="0" w:space="0" w:color="auto"/>
      </w:divBdr>
    </w:div>
    <w:div w:id="563151231">
      <w:bodyDiv w:val="1"/>
      <w:marLeft w:val="0"/>
      <w:marRight w:val="0"/>
      <w:marTop w:val="0"/>
      <w:marBottom w:val="0"/>
      <w:divBdr>
        <w:top w:val="none" w:sz="0" w:space="0" w:color="auto"/>
        <w:left w:val="none" w:sz="0" w:space="0" w:color="auto"/>
        <w:bottom w:val="none" w:sz="0" w:space="0" w:color="auto"/>
        <w:right w:val="none" w:sz="0" w:space="0" w:color="auto"/>
      </w:divBdr>
    </w:div>
    <w:div w:id="572082434">
      <w:bodyDiv w:val="1"/>
      <w:marLeft w:val="0"/>
      <w:marRight w:val="0"/>
      <w:marTop w:val="0"/>
      <w:marBottom w:val="0"/>
      <w:divBdr>
        <w:top w:val="none" w:sz="0" w:space="0" w:color="auto"/>
        <w:left w:val="none" w:sz="0" w:space="0" w:color="auto"/>
        <w:bottom w:val="none" w:sz="0" w:space="0" w:color="auto"/>
        <w:right w:val="none" w:sz="0" w:space="0" w:color="auto"/>
      </w:divBdr>
    </w:div>
    <w:div w:id="592125926">
      <w:bodyDiv w:val="1"/>
      <w:marLeft w:val="0"/>
      <w:marRight w:val="0"/>
      <w:marTop w:val="0"/>
      <w:marBottom w:val="0"/>
      <w:divBdr>
        <w:top w:val="none" w:sz="0" w:space="0" w:color="auto"/>
        <w:left w:val="none" w:sz="0" w:space="0" w:color="auto"/>
        <w:bottom w:val="none" w:sz="0" w:space="0" w:color="auto"/>
        <w:right w:val="none" w:sz="0" w:space="0" w:color="auto"/>
      </w:divBdr>
    </w:div>
    <w:div w:id="662591892">
      <w:bodyDiv w:val="1"/>
      <w:marLeft w:val="0"/>
      <w:marRight w:val="0"/>
      <w:marTop w:val="0"/>
      <w:marBottom w:val="0"/>
      <w:divBdr>
        <w:top w:val="none" w:sz="0" w:space="0" w:color="auto"/>
        <w:left w:val="none" w:sz="0" w:space="0" w:color="auto"/>
        <w:bottom w:val="none" w:sz="0" w:space="0" w:color="auto"/>
        <w:right w:val="none" w:sz="0" w:space="0" w:color="auto"/>
      </w:divBdr>
    </w:div>
    <w:div w:id="674764048">
      <w:bodyDiv w:val="1"/>
      <w:marLeft w:val="0"/>
      <w:marRight w:val="0"/>
      <w:marTop w:val="0"/>
      <w:marBottom w:val="0"/>
      <w:divBdr>
        <w:top w:val="none" w:sz="0" w:space="0" w:color="auto"/>
        <w:left w:val="none" w:sz="0" w:space="0" w:color="auto"/>
        <w:bottom w:val="none" w:sz="0" w:space="0" w:color="auto"/>
        <w:right w:val="none" w:sz="0" w:space="0" w:color="auto"/>
      </w:divBdr>
    </w:div>
    <w:div w:id="729882714">
      <w:bodyDiv w:val="1"/>
      <w:marLeft w:val="0"/>
      <w:marRight w:val="0"/>
      <w:marTop w:val="0"/>
      <w:marBottom w:val="0"/>
      <w:divBdr>
        <w:top w:val="none" w:sz="0" w:space="0" w:color="auto"/>
        <w:left w:val="none" w:sz="0" w:space="0" w:color="auto"/>
        <w:bottom w:val="none" w:sz="0" w:space="0" w:color="auto"/>
        <w:right w:val="none" w:sz="0" w:space="0" w:color="auto"/>
      </w:divBdr>
    </w:div>
    <w:div w:id="817771768">
      <w:bodyDiv w:val="1"/>
      <w:marLeft w:val="0"/>
      <w:marRight w:val="0"/>
      <w:marTop w:val="0"/>
      <w:marBottom w:val="0"/>
      <w:divBdr>
        <w:top w:val="none" w:sz="0" w:space="0" w:color="auto"/>
        <w:left w:val="none" w:sz="0" w:space="0" w:color="auto"/>
        <w:bottom w:val="none" w:sz="0" w:space="0" w:color="auto"/>
        <w:right w:val="none" w:sz="0" w:space="0" w:color="auto"/>
      </w:divBdr>
    </w:div>
    <w:div w:id="833103472">
      <w:bodyDiv w:val="1"/>
      <w:marLeft w:val="0"/>
      <w:marRight w:val="0"/>
      <w:marTop w:val="0"/>
      <w:marBottom w:val="0"/>
      <w:divBdr>
        <w:top w:val="none" w:sz="0" w:space="0" w:color="auto"/>
        <w:left w:val="none" w:sz="0" w:space="0" w:color="auto"/>
        <w:bottom w:val="none" w:sz="0" w:space="0" w:color="auto"/>
        <w:right w:val="none" w:sz="0" w:space="0" w:color="auto"/>
      </w:divBdr>
    </w:div>
    <w:div w:id="906302858">
      <w:bodyDiv w:val="1"/>
      <w:marLeft w:val="0"/>
      <w:marRight w:val="0"/>
      <w:marTop w:val="0"/>
      <w:marBottom w:val="0"/>
      <w:divBdr>
        <w:top w:val="none" w:sz="0" w:space="0" w:color="auto"/>
        <w:left w:val="none" w:sz="0" w:space="0" w:color="auto"/>
        <w:bottom w:val="none" w:sz="0" w:space="0" w:color="auto"/>
        <w:right w:val="none" w:sz="0" w:space="0" w:color="auto"/>
      </w:divBdr>
    </w:div>
    <w:div w:id="911547676">
      <w:bodyDiv w:val="1"/>
      <w:marLeft w:val="0"/>
      <w:marRight w:val="0"/>
      <w:marTop w:val="0"/>
      <w:marBottom w:val="0"/>
      <w:divBdr>
        <w:top w:val="none" w:sz="0" w:space="0" w:color="auto"/>
        <w:left w:val="none" w:sz="0" w:space="0" w:color="auto"/>
        <w:bottom w:val="none" w:sz="0" w:space="0" w:color="auto"/>
        <w:right w:val="none" w:sz="0" w:space="0" w:color="auto"/>
      </w:divBdr>
    </w:div>
    <w:div w:id="921136220">
      <w:bodyDiv w:val="1"/>
      <w:marLeft w:val="0"/>
      <w:marRight w:val="0"/>
      <w:marTop w:val="0"/>
      <w:marBottom w:val="0"/>
      <w:divBdr>
        <w:top w:val="none" w:sz="0" w:space="0" w:color="auto"/>
        <w:left w:val="none" w:sz="0" w:space="0" w:color="auto"/>
        <w:bottom w:val="none" w:sz="0" w:space="0" w:color="auto"/>
        <w:right w:val="none" w:sz="0" w:space="0" w:color="auto"/>
      </w:divBdr>
    </w:div>
    <w:div w:id="925112808">
      <w:bodyDiv w:val="1"/>
      <w:marLeft w:val="0"/>
      <w:marRight w:val="0"/>
      <w:marTop w:val="0"/>
      <w:marBottom w:val="0"/>
      <w:divBdr>
        <w:top w:val="none" w:sz="0" w:space="0" w:color="auto"/>
        <w:left w:val="none" w:sz="0" w:space="0" w:color="auto"/>
        <w:bottom w:val="none" w:sz="0" w:space="0" w:color="auto"/>
        <w:right w:val="none" w:sz="0" w:space="0" w:color="auto"/>
      </w:divBdr>
    </w:div>
    <w:div w:id="1031765643">
      <w:bodyDiv w:val="1"/>
      <w:marLeft w:val="0"/>
      <w:marRight w:val="0"/>
      <w:marTop w:val="0"/>
      <w:marBottom w:val="0"/>
      <w:divBdr>
        <w:top w:val="none" w:sz="0" w:space="0" w:color="auto"/>
        <w:left w:val="none" w:sz="0" w:space="0" w:color="auto"/>
        <w:bottom w:val="none" w:sz="0" w:space="0" w:color="auto"/>
        <w:right w:val="none" w:sz="0" w:space="0" w:color="auto"/>
      </w:divBdr>
    </w:div>
    <w:div w:id="1178735464">
      <w:bodyDiv w:val="1"/>
      <w:marLeft w:val="0"/>
      <w:marRight w:val="0"/>
      <w:marTop w:val="0"/>
      <w:marBottom w:val="0"/>
      <w:divBdr>
        <w:top w:val="none" w:sz="0" w:space="0" w:color="auto"/>
        <w:left w:val="none" w:sz="0" w:space="0" w:color="auto"/>
        <w:bottom w:val="none" w:sz="0" w:space="0" w:color="auto"/>
        <w:right w:val="none" w:sz="0" w:space="0" w:color="auto"/>
      </w:divBdr>
    </w:div>
    <w:div w:id="1309438615">
      <w:bodyDiv w:val="1"/>
      <w:marLeft w:val="0"/>
      <w:marRight w:val="0"/>
      <w:marTop w:val="0"/>
      <w:marBottom w:val="0"/>
      <w:divBdr>
        <w:top w:val="none" w:sz="0" w:space="0" w:color="auto"/>
        <w:left w:val="none" w:sz="0" w:space="0" w:color="auto"/>
        <w:bottom w:val="none" w:sz="0" w:space="0" w:color="auto"/>
        <w:right w:val="none" w:sz="0" w:space="0" w:color="auto"/>
      </w:divBdr>
    </w:div>
    <w:div w:id="1403989658">
      <w:bodyDiv w:val="1"/>
      <w:marLeft w:val="0"/>
      <w:marRight w:val="0"/>
      <w:marTop w:val="0"/>
      <w:marBottom w:val="0"/>
      <w:divBdr>
        <w:top w:val="none" w:sz="0" w:space="0" w:color="auto"/>
        <w:left w:val="none" w:sz="0" w:space="0" w:color="auto"/>
        <w:bottom w:val="none" w:sz="0" w:space="0" w:color="auto"/>
        <w:right w:val="none" w:sz="0" w:space="0" w:color="auto"/>
      </w:divBdr>
    </w:div>
    <w:div w:id="1453474429">
      <w:bodyDiv w:val="1"/>
      <w:marLeft w:val="0"/>
      <w:marRight w:val="0"/>
      <w:marTop w:val="0"/>
      <w:marBottom w:val="0"/>
      <w:divBdr>
        <w:top w:val="none" w:sz="0" w:space="0" w:color="auto"/>
        <w:left w:val="none" w:sz="0" w:space="0" w:color="auto"/>
        <w:bottom w:val="none" w:sz="0" w:space="0" w:color="auto"/>
        <w:right w:val="none" w:sz="0" w:space="0" w:color="auto"/>
      </w:divBdr>
    </w:div>
    <w:div w:id="1618370148">
      <w:bodyDiv w:val="1"/>
      <w:marLeft w:val="0"/>
      <w:marRight w:val="0"/>
      <w:marTop w:val="0"/>
      <w:marBottom w:val="0"/>
      <w:divBdr>
        <w:top w:val="none" w:sz="0" w:space="0" w:color="auto"/>
        <w:left w:val="none" w:sz="0" w:space="0" w:color="auto"/>
        <w:bottom w:val="none" w:sz="0" w:space="0" w:color="auto"/>
        <w:right w:val="none" w:sz="0" w:space="0" w:color="auto"/>
      </w:divBdr>
    </w:div>
    <w:div w:id="1649699974">
      <w:bodyDiv w:val="1"/>
      <w:marLeft w:val="0"/>
      <w:marRight w:val="0"/>
      <w:marTop w:val="0"/>
      <w:marBottom w:val="0"/>
      <w:divBdr>
        <w:top w:val="none" w:sz="0" w:space="0" w:color="auto"/>
        <w:left w:val="none" w:sz="0" w:space="0" w:color="auto"/>
        <w:bottom w:val="none" w:sz="0" w:space="0" w:color="auto"/>
        <w:right w:val="none" w:sz="0" w:space="0" w:color="auto"/>
      </w:divBdr>
    </w:div>
    <w:div w:id="1689722024">
      <w:bodyDiv w:val="1"/>
      <w:marLeft w:val="0"/>
      <w:marRight w:val="0"/>
      <w:marTop w:val="0"/>
      <w:marBottom w:val="0"/>
      <w:divBdr>
        <w:top w:val="none" w:sz="0" w:space="0" w:color="auto"/>
        <w:left w:val="none" w:sz="0" w:space="0" w:color="auto"/>
        <w:bottom w:val="none" w:sz="0" w:space="0" w:color="auto"/>
        <w:right w:val="none" w:sz="0" w:space="0" w:color="auto"/>
      </w:divBdr>
    </w:div>
    <w:div w:id="1717315008">
      <w:bodyDiv w:val="1"/>
      <w:marLeft w:val="0"/>
      <w:marRight w:val="0"/>
      <w:marTop w:val="0"/>
      <w:marBottom w:val="0"/>
      <w:divBdr>
        <w:top w:val="none" w:sz="0" w:space="0" w:color="auto"/>
        <w:left w:val="none" w:sz="0" w:space="0" w:color="auto"/>
        <w:bottom w:val="none" w:sz="0" w:space="0" w:color="auto"/>
        <w:right w:val="none" w:sz="0" w:space="0" w:color="auto"/>
      </w:divBdr>
    </w:div>
    <w:div w:id="1770857057">
      <w:bodyDiv w:val="1"/>
      <w:marLeft w:val="0"/>
      <w:marRight w:val="0"/>
      <w:marTop w:val="0"/>
      <w:marBottom w:val="0"/>
      <w:divBdr>
        <w:top w:val="none" w:sz="0" w:space="0" w:color="auto"/>
        <w:left w:val="none" w:sz="0" w:space="0" w:color="auto"/>
        <w:bottom w:val="none" w:sz="0" w:space="0" w:color="auto"/>
        <w:right w:val="none" w:sz="0" w:space="0" w:color="auto"/>
      </w:divBdr>
    </w:div>
    <w:div w:id="1987976590">
      <w:bodyDiv w:val="1"/>
      <w:marLeft w:val="0"/>
      <w:marRight w:val="0"/>
      <w:marTop w:val="0"/>
      <w:marBottom w:val="0"/>
      <w:divBdr>
        <w:top w:val="none" w:sz="0" w:space="0" w:color="auto"/>
        <w:left w:val="none" w:sz="0" w:space="0" w:color="auto"/>
        <w:bottom w:val="none" w:sz="0" w:space="0" w:color="auto"/>
        <w:right w:val="none" w:sz="0" w:space="0" w:color="auto"/>
      </w:divBdr>
    </w:div>
    <w:div w:id="2096780482">
      <w:bodyDiv w:val="1"/>
      <w:marLeft w:val="0"/>
      <w:marRight w:val="0"/>
      <w:marTop w:val="0"/>
      <w:marBottom w:val="0"/>
      <w:divBdr>
        <w:top w:val="none" w:sz="0" w:space="0" w:color="auto"/>
        <w:left w:val="none" w:sz="0" w:space="0" w:color="auto"/>
        <w:bottom w:val="none" w:sz="0" w:space="0" w:color="auto"/>
        <w:right w:val="none" w:sz="0" w:space="0" w:color="auto"/>
      </w:divBdr>
    </w:div>
    <w:div w:id="211420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74f92d-1abd-4d34-8ab2-2ec76bf0aa72">
      <Terms xmlns="http://schemas.microsoft.com/office/infopath/2007/PartnerControls"/>
    </lcf76f155ced4ddcb4097134ff3c332f>
    <TaxCatchAll xmlns="46c136fc-ebfe-4a73-8ed4-4a6632e327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494EFA1A91354C93038DA867DC4562" ma:contentTypeVersion="4" ma:contentTypeDescription="Create a new document." ma:contentTypeScope="" ma:versionID="433bd46b699db72f46ec3909872ec261">
  <xsd:schema xmlns:xsd="http://www.w3.org/2001/XMLSchema" xmlns:xs="http://www.w3.org/2001/XMLSchema" xmlns:p="http://schemas.microsoft.com/office/2006/metadata/properties" xmlns:ns2="7fc9ebc1-6786-4aad-aee1-fdcde6e01ff9" xmlns:ns3="fd7425d0-09b7-49b7-b351-1ad2162dc0d7" xmlns:ns4="ba74f92d-1abd-4d34-8ab2-2ec76bf0aa72" xmlns:ns5="46c136fc-ebfe-4a73-8ed4-4a6632e3273d" targetNamespace="http://schemas.microsoft.com/office/2006/metadata/properties" ma:root="true" ma:fieldsID="7dde5f6511fffd23729ea6884a044079" ns2:_="" ns3:_="" ns4:_="" ns5:_="">
    <xsd:import namespace="7fc9ebc1-6786-4aad-aee1-fdcde6e01ff9"/>
    <xsd:import namespace="fd7425d0-09b7-49b7-b351-1ad2162dc0d7"/>
    <xsd:import namespace="ba74f92d-1abd-4d34-8ab2-2ec76bf0aa72"/>
    <xsd:import namespace="46c136fc-ebfe-4a73-8ed4-4a6632e327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9ebc1-6786-4aad-aee1-fdcde6e01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7425d0-09b7-49b7-b351-1ad2162dc0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74f92d-1abd-4d34-8ab2-2ec76bf0aa72"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bc4632c-c0dc-4527-9b44-4e2626a7d4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c136fc-ebfe-4a73-8ed4-4a6632e3273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e7ef5cb-6eef-47f9-bc30-6f358f4f2a75}" ma:internalName="TaxCatchAll" ma:showField="CatchAllData" ma:web="46c136fc-ebfe-4a73-8ed4-4a6632e327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62A7B-82C4-4994-9E86-FA0240EC36AC}">
  <ds:schemaRefs>
    <ds:schemaRef ds:uri="http://schemas.microsoft.com/office/2006/metadata/properties"/>
    <ds:schemaRef ds:uri="http://schemas.microsoft.com/office/infopath/2007/PartnerControls"/>
    <ds:schemaRef ds:uri="ba74f92d-1abd-4d34-8ab2-2ec76bf0aa72"/>
    <ds:schemaRef ds:uri="46c136fc-ebfe-4a73-8ed4-4a6632e3273d"/>
  </ds:schemaRefs>
</ds:datastoreItem>
</file>

<file path=customXml/itemProps2.xml><?xml version="1.0" encoding="utf-8"?>
<ds:datastoreItem xmlns:ds="http://schemas.openxmlformats.org/officeDocument/2006/customXml" ds:itemID="{796D4593-8D59-4557-8B2C-070E5BBE1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9ebc1-6786-4aad-aee1-fdcde6e01ff9"/>
    <ds:schemaRef ds:uri="fd7425d0-09b7-49b7-b351-1ad2162dc0d7"/>
    <ds:schemaRef ds:uri="ba74f92d-1abd-4d34-8ab2-2ec76bf0aa72"/>
    <ds:schemaRef ds:uri="46c136fc-ebfe-4a73-8ed4-4a6632e32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E3A097-3C22-4BAD-BE97-85C6EFDF4388}">
  <ds:schemaRefs>
    <ds:schemaRef ds:uri="http://schemas.microsoft.com/sharepoint/v3/contenttype/forms"/>
  </ds:schemaRefs>
</ds:datastoreItem>
</file>

<file path=customXml/itemProps4.xml><?xml version="1.0" encoding="utf-8"?>
<ds:datastoreItem xmlns:ds="http://schemas.openxmlformats.org/officeDocument/2006/customXml" ds:itemID="{229AEA17-AFF7-4215-A4EA-3A600BDA57B5}">
  <ds:schemaRefs>
    <ds:schemaRef ds:uri="http://schemas.openxmlformats.org/officeDocument/2006/bibliography"/>
  </ds:schemaRefs>
</ds:datastoreItem>
</file>

<file path=docMetadata/LabelInfo.xml><?xml version="1.0" encoding="utf-8"?>
<clbl:labelList xmlns:clbl="http://schemas.microsoft.com/office/2020/mipLabelMetadata">
  <clbl:label id="{1fbd65bf-5def-4eea-a692-a089c255346b}" enabled="0" method="" siteId="{1fbd65bf-5def-4eea-a692-a089c255346b}" removed="1"/>
</clbl:labelList>
</file>

<file path=docProps/app.xml><?xml version="1.0" encoding="utf-8"?>
<Properties xmlns="http://schemas.openxmlformats.org/officeDocument/2006/extended-properties" xmlns:vt="http://schemas.openxmlformats.org/officeDocument/2006/docPropsVTypes">
  <Template>Normal</Template>
  <TotalTime>5</TotalTime>
  <Pages>13</Pages>
  <Words>5275</Words>
  <Characters>30068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Greater London Authority</Company>
  <LinksUpToDate>false</LinksUpToDate>
  <CharactersWithSpaces>35273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Greater London Authority</dc:creator>
  <cp:lastModifiedBy>Ekua Arthur</cp:lastModifiedBy>
  <cp:revision>8</cp:revision>
  <cp:lastPrinted>2016-09-21T09:43:00Z</cp:lastPrinted>
  <dcterms:created xsi:type="dcterms:W3CDTF">2026-03-30T11:56:00Z</dcterms:created>
  <dcterms:modified xsi:type="dcterms:W3CDTF">2026-04-08T08:19:00Z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0x010100D6494EFA1A91354C93038DA867DC4562</vt:lpwstr>
  </property>
</Properties>
</file>