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CD13" w14:textId="4DA45B63" w:rsidR="6198091F" w:rsidRDefault="6198091F" w:rsidP="49996C8F">
      <w:pPr>
        <w:rPr>
          <w:color w:val="auto"/>
        </w:rPr>
      </w:pPr>
      <w:r>
        <w:rPr>
          <w:noProof/>
        </w:rPr>
        <w:drawing>
          <wp:inline distT="0" distB="0" distL="0" distR="0" wp14:anchorId="55A8518A" wp14:editId="6009A1CC">
            <wp:extent cx="1228725" cy="914400"/>
            <wp:effectExtent l="0" t="0" r="0" b="0"/>
            <wp:docPr id="1314806929" name="Picture 1314806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28725" cy="914400"/>
                    </a:xfrm>
                    <a:prstGeom prst="rect">
                      <a:avLst/>
                    </a:prstGeom>
                  </pic:spPr>
                </pic:pic>
              </a:graphicData>
            </a:graphic>
          </wp:inline>
        </w:drawing>
      </w:r>
      <w:r>
        <w:br/>
      </w:r>
    </w:p>
    <w:p w14:paraId="638B5168" w14:textId="78C83519" w:rsidR="3373E1A4" w:rsidRPr="009F5FDA" w:rsidRDefault="57216141" w:rsidP="00B71F3E">
      <w:pPr>
        <w:pStyle w:val="Heading1"/>
        <w:numPr>
          <w:ilvl w:val="0"/>
          <w:numId w:val="0"/>
        </w:numPr>
        <w:ind w:left="680"/>
        <w:rPr>
          <w:rStyle w:val="normaltextrun"/>
        </w:rPr>
      </w:pPr>
      <w:r w:rsidRPr="49996C8F">
        <w:rPr>
          <w:rStyle w:val="normaltextrun"/>
        </w:rPr>
        <w:t>Old Oak and Park Royal Development Corporation</w:t>
      </w:r>
    </w:p>
    <w:p w14:paraId="443285FB" w14:textId="79BE4668" w:rsidR="0EB56B1C" w:rsidRDefault="0EB56B1C" w:rsidP="0EB56B1C">
      <w:pPr>
        <w:rPr>
          <w:color w:val="auto"/>
        </w:rPr>
      </w:pPr>
    </w:p>
    <w:p w14:paraId="10EE999A" w14:textId="13B92BB1" w:rsidR="00DD051F" w:rsidRPr="006C052D" w:rsidRDefault="4D39A96B" w:rsidP="003B6A3E">
      <w:pPr>
        <w:pStyle w:val="ListParagraph"/>
        <w:numPr>
          <w:ilvl w:val="0"/>
          <w:numId w:val="29"/>
        </w:numPr>
        <w:rPr>
          <w:rStyle w:val="normaltextrun"/>
          <w:b/>
          <w:bCs/>
          <w:color w:val="auto"/>
          <w:sz w:val="32"/>
          <w:szCs w:val="32"/>
        </w:rPr>
      </w:pPr>
      <w:r w:rsidRPr="006C052D">
        <w:rPr>
          <w:rStyle w:val="normaltextrun"/>
          <w:b/>
          <w:bCs/>
          <w:color w:val="auto"/>
          <w:sz w:val="32"/>
          <w:szCs w:val="32"/>
        </w:rPr>
        <w:t>Backgroun</w:t>
      </w:r>
      <w:r w:rsidR="60CB3FA5" w:rsidRPr="006C052D">
        <w:rPr>
          <w:rStyle w:val="normaltextrun"/>
          <w:b/>
          <w:bCs/>
          <w:color w:val="auto"/>
          <w:sz w:val="32"/>
          <w:szCs w:val="32"/>
        </w:rPr>
        <w:t>d</w:t>
      </w:r>
      <w:r w:rsidR="0007E026" w:rsidRPr="006C052D">
        <w:rPr>
          <w:rStyle w:val="normaltextrun"/>
          <w:b/>
          <w:bCs/>
          <w:color w:val="auto"/>
          <w:sz w:val="32"/>
          <w:szCs w:val="32"/>
        </w:rPr>
        <w:t xml:space="preserve"> </w:t>
      </w:r>
    </w:p>
    <w:p w14:paraId="31DE3A50" w14:textId="5CAFD697" w:rsidR="00DD051F" w:rsidRDefault="00DD051F" w:rsidP="49996C8F">
      <w:pPr>
        <w:shd w:val="clear" w:color="auto" w:fill="FFFFFF" w:themeFill="background1"/>
        <w:jc w:val="both"/>
        <w:rPr>
          <w:rFonts w:eastAsiaTheme="minorEastAsia"/>
          <w:color w:val="auto"/>
        </w:rPr>
      </w:pPr>
    </w:p>
    <w:p w14:paraId="24E9DCA5" w14:textId="768DC225" w:rsidR="00DD051F" w:rsidRPr="00AF1F72" w:rsidRDefault="58E8EA50" w:rsidP="3AA976BB">
      <w:pPr>
        <w:pStyle w:val="ListParagraph"/>
        <w:numPr>
          <w:ilvl w:val="0"/>
          <w:numId w:val="31"/>
        </w:numPr>
        <w:shd w:val="clear" w:color="auto" w:fill="FFFFFF" w:themeFill="background1"/>
        <w:jc w:val="both"/>
        <w:rPr>
          <w:rFonts w:eastAsiaTheme="minorEastAsia"/>
          <w:color w:val="auto"/>
        </w:rPr>
      </w:pPr>
      <w:r w:rsidRPr="3AA976BB">
        <w:rPr>
          <w:rFonts w:eastAsiaTheme="minorEastAsia"/>
          <w:color w:val="auto"/>
        </w:rPr>
        <w:t>Old Oak and Park Royal Development Corporation</w:t>
      </w:r>
      <w:r w:rsidR="004C28A3">
        <w:rPr>
          <w:rFonts w:eastAsiaTheme="minorEastAsia"/>
          <w:color w:val="auto"/>
        </w:rPr>
        <w:t xml:space="preserve"> </w:t>
      </w:r>
      <w:r w:rsidRPr="3AA976BB">
        <w:rPr>
          <w:rFonts w:eastAsiaTheme="minorEastAsia"/>
          <w:color w:val="auto"/>
        </w:rPr>
        <w:t xml:space="preserve">(OPDC) forms part of the GLA Group </w:t>
      </w:r>
      <w:r w:rsidR="00B97A4A" w:rsidRPr="3AA976BB">
        <w:rPr>
          <w:rFonts w:eastAsiaTheme="minorEastAsia"/>
          <w:color w:val="auto"/>
        </w:rPr>
        <w:t>B</w:t>
      </w:r>
      <w:r w:rsidRPr="3AA976BB">
        <w:rPr>
          <w:rFonts w:eastAsiaTheme="minorEastAsia"/>
          <w:color w:val="auto"/>
        </w:rPr>
        <w:t xml:space="preserve">udget. This report sets out </w:t>
      </w:r>
      <w:r w:rsidR="1F500B54" w:rsidRPr="3AA976BB">
        <w:rPr>
          <w:rFonts w:eastAsiaTheme="minorEastAsia"/>
          <w:color w:val="auto"/>
        </w:rPr>
        <w:t xml:space="preserve">the </w:t>
      </w:r>
      <w:r w:rsidRPr="3AA976BB">
        <w:rPr>
          <w:rFonts w:eastAsiaTheme="minorEastAsia"/>
          <w:color w:val="auto"/>
        </w:rPr>
        <w:t>202</w:t>
      </w:r>
      <w:r w:rsidR="762B5D6A" w:rsidRPr="3AA976BB">
        <w:rPr>
          <w:rFonts w:eastAsiaTheme="minorEastAsia"/>
          <w:color w:val="auto"/>
        </w:rPr>
        <w:t>5</w:t>
      </w:r>
      <w:r w:rsidRPr="3AA976BB">
        <w:rPr>
          <w:rFonts w:eastAsiaTheme="minorEastAsia"/>
          <w:color w:val="auto"/>
        </w:rPr>
        <w:t>-2</w:t>
      </w:r>
      <w:r w:rsidR="46B3F9A6" w:rsidRPr="3AA976BB">
        <w:rPr>
          <w:rFonts w:eastAsiaTheme="minorEastAsia"/>
          <w:color w:val="auto"/>
        </w:rPr>
        <w:t>6</w:t>
      </w:r>
      <w:r w:rsidRPr="3AA976BB">
        <w:rPr>
          <w:rFonts w:eastAsiaTheme="minorEastAsia"/>
          <w:color w:val="auto"/>
        </w:rPr>
        <w:t xml:space="preserve"> revenue budget </w:t>
      </w:r>
      <w:r w:rsidR="73CD39F3" w:rsidRPr="3AA976BB">
        <w:rPr>
          <w:rFonts w:eastAsiaTheme="minorEastAsia"/>
          <w:color w:val="auto"/>
        </w:rPr>
        <w:t xml:space="preserve">and </w:t>
      </w:r>
      <w:r w:rsidR="35270698" w:rsidRPr="3AA976BB">
        <w:rPr>
          <w:rFonts w:eastAsiaTheme="minorEastAsia"/>
          <w:color w:val="auto"/>
        </w:rPr>
        <w:t>C</w:t>
      </w:r>
      <w:r w:rsidR="73CD39F3" w:rsidRPr="3AA976BB">
        <w:rPr>
          <w:rFonts w:eastAsiaTheme="minorEastAsia"/>
          <w:color w:val="auto"/>
        </w:rPr>
        <w:t xml:space="preserve">apital </w:t>
      </w:r>
      <w:r w:rsidR="1B733DC9" w:rsidRPr="3AA976BB">
        <w:rPr>
          <w:rFonts w:eastAsiaTheme="minorEastAsia"/>
          <w:color w:val="auto"/>
        </w:rPr>
        <w:t>S</w:t>
      </w:r>
      <w:r w:rsidR="73CD39F3" w:rsidRPr="3AA976BB">
        <w:rPr>
          <w:rFonts w:eastAsiaTheme="minorEastAsia"/>
          <w:color w:val="auto"/>
        </w:rPr>
        <w:t xml:space="preserve">trategy </w:t>
      </w:r>
      <w:r w:rsidRPr="3AA976BB">
        <w:rPr>
          <w:rFonts w:eastAsiaTheme="minorEastAsia"/>
          <w:color w:val="auto"/>
        </w:rPr>
        <w:t>submission to the</w:t>
      </w:r>
      <w:r w:rsidR="78FA77F1" w:rsidRPr="3AA976BB">
        <w:rPr>
          <w:rFonts w:eastAsiaTheme="minorEastAsia"/>
          <w:color w:val="auto"/>
        </w:rPr>
        <w:t xml:space="preserve"> </w:t>
      </w:r>
      <w:r w:rsidRPr="3AA976BB">
        <w:rPr>
          <w:rFonts w:eastAsiaTheme="minorEastAsia"/>
          <w:color w:val="auto"/>
        </w:rPr>
        <w:t xml:space="preserve">Mayor of London (the </w:t>
      </w:r>
      <w:bookmarkStart w:id="0" w:name="_Int_OWvqsrL0"/>
      <w:proofErr w:type="gramStart"/>
      <w:r w:rsidRPr="3AA976BB">
        <w:rPr>
          <w:rFonts w:eastAsiaTheme="minorEastAsia"/>
          <w:color w:val="auto"/>
        </w:rPr>
        <w:t>Mayor</w:t>
      </w:r>
      <w:bookmarkEnd w:id="0"/>
      <w:proofErr w:type="gramEnd"/>
      <w:r w:rsidRPr="3AA976BB">
        <w:rPr>
          <w:rFonts w:eastAsiaTheme="minorEastAsia"/>
          <w:color w:val="auto"/>
        </w:rPr>
        <w:t>). The submission is prepared in accordance with the Mayor’s Budget Guidance, which was published in July 202</w:t>
      </w:r>
      <w:r w:rsidR="367FA9C3" w:rsidRPr="3AA976BB">
        <w:rPr>
          <w:rFonts w:eastAsiaTheme="minorEastAsia"/>
          <w:color w:val="auto"/>
        </w:rPr>
        <w:t>4</w:t>
      </w:r>
      <w:r w:rsidRPr="3AA976BB">
        <w:rPr>
          <w:rFonts w:eastAsiaTheme="minorEastAsia"/>
          <w:color w:val="auto"/>
        </w:rPr>
        <w:t>. This process ensures there are robust financial plans to support Mayoral objectives and priorities within available resources.</w:t>
      </w:r>
    </w:p>
    <w:p w14:paraId="44267B02" w14:textId="63D422E2" w:rsidR="00DD051F" w:rsidRDefault="00DD051F" w:rsidP="49996C8F">
      <w:pPr>
        <w:pStyle w:val="ListParagraph"/>
        <w:ind w:left="567" w:hanging="567"/>
        <w:jc w:val="both"/>
        <w:rPr>
          <w:color w:val="auto"/>
        </w:rPr>
      </w:pPr>
    </w:p>
    <w:p w14:paraId="5788F07F" w14:textId="167DA812" w:rsidR="00DD051F" w:rsidRPr="00AF1F72" w:rsidRDefault="314C2E1D" w:rsidP="003B6A3E">
      <w:pPr>
        <w:pStyle w:val="ListParagraph"/>
        <w:numPr>
          <w:ilvl w:val="0"/>
          <w:numId w:val="31"/>
        </w:numPr>
        <w:jc w:val="both"/>
        <w:rPr>
          <w:rFonts w:eastAsiaTheme="minorEastAsia"/>
          <w:color w:val="auto"/>
        </w:rPr>
      </w:pPr>
      <w:r w:rsidRPr="16A89082">
        <w:rPr>
          <w:rFonts w:eastAsiaTheme="minorEastAsia"/>
          <w:color w:val="auto"/>
        </w:rPr>
        <w:t xml:space="preserve">The budget submission is required to cover the revenue budget for </w:t>
      </w:r>
      <w:r w:rsidR="26B7E836" w:rsidRPr="16A89082">
        <w:rPr>
          <w:rFonts w:eastAsiaTheme="minorEastAsia"/>
          <w:color w:val="auto"/>
        </w:rPr>
        <w:t>financial</w:t>
      </w:r>
      <w:r w:rsidRPr="16A89082">
        <w:rPr>
          <w:rFonts w:eastAsiaTheme="minorEastAsia"/>
          <w:color w:val="auto"/>
        </w:rPr>
        <w:t xml:space="preserve"> years</w:t>
      </w:r>
      <w:r w:rsidR="63758F44" w:rsidRPr="16A89082">
        <w:rPr>
          <w:rFonts w:eastAsiaTheme="minorEastAsia"/>
          <w:color w:val="auto"/>
        </w:rPr>
        <w:t xml:space="preserve"> </w:t>
      </w:r>
      <w:r w:rsidRPr="16A89082">
        <w:rPr>
          <w:rFonts w:eastAsiaTheme="minorEastAsia"/>
          <w:color w:val="auto"/>
        </w:rPr>
        <w:t>2025-26,</w:t>
      </w:r>
      <w:r w:rsidR="7B5B10DC" w:rsidRPr="16A89082">
        <w:rPr>
          <w:rFonts w:eastAsiaTheme="minorEastAsia"/>
          <w:color w:val="auto"/>
        </w:rPr>
        <w:t xml:space="preserve"> </w:t>
      </w:r>
      <w:r w:rsidRPr="16A89082">
        <w:rPr>
          <w:rFonts w:eastAsiaTheme="minorEastAsia"/>
          <w:color w:val="auto"/>
        </w:rPr>
        <w:t xml:space="preserve">2026-27 and 2027-28 and a </w:t>
      </w:r>
      <w:r w:rsidR="0CA43335" w:rsidRPr="16A89082">
        <w:rPr>
          <w:rFonts w:eastAsiaTheme="minorEastAsia"/>
          <w:color w:val="auto"/>
        </w:rPr>
        <w:t>C</w:t>
      </w:r>
      <w:r w:rsidRPr="16A89082">
        <w:rPr>
          <w:rFonts w:eastAsiaTheme="minorEastAsia"/>
          <w:color w:val="auto"/>
        </w:rPr>
        <w:t xml:space="preserve">apital </w:t>
      </w:r>
      <w:r w:rsidR="5B5C0133" w:rsidRPr="16A89082">
        <w:rPr>
          <w:rFonts w:eastAsiaTheme="minorEastAsia"/>
          <w:color w:val="auto"/>
        </w:rPr>
        <w:t>S</w:t>
      </w:r>
      <w:r w:rsidRPr="16A89082">
        <w:rPr>
          <w:rFonts w:eastAsiaTheme="minorEastAsia"/>
          <w:color w:val="auto"/>
        </w:rPr>
        <w:t xml:space="preserve">trategy in line with the Mayoral </w:t>
      </w:r>
      <w:r w:rsidR="606A5CED" w:rsidRPr="16A89082">
        <w:rPr>
          <w:rFonts w:eastAsiaTheme="minorEastAsia"/>
          <w:color w:val="auto"/>
        </w:rPr>
        <w:t>priorities</w:t>
      </w:r>
      <w:r w:rsidRPr="16A89082">
        <w:rPr>
          <w:rFonts w:eastAsiaTheme="minorEastAsia"/>
          <w:color w:val="auto"/>
        </w:rPr>
        <w:t>. I</w:t>
      </w:r>
      <w:r w:rsidR="6C51F77B" w:rsidRPr="16A89082">
        <w:rPr>
          <w:rFonts w:eastAsiaTheme="minorEastAsia"/>
          <w:color w:val="auto"/>
        </w:rPr>
        <w:t>n</w:t>
      </w:r>
      <w:r w:rsidRPr="16A89082">
        <w:rPr>
          <w:rFonts w:eastAsiaTheme="minorEastAsia"/>
          <w:color w:val="auto"/>
        </w:rPr>
        <w:t xml:space="preserve"> addition, as part of the submission, a climate budget</w:t>
      </w:r>
      <w:r w:rsidR="217AC0EC" w:rsidRPr="16A89082">
        <w:rPr>
          <w:rFonts w:eastAsiaTheme="minorEastAsia"/>
          <w:color w:val="auto"/>
        </w:rPr>
        <w:t xml:space="preserve"> is included</w:t>
      </w:r>
      <w:r w:rsidRPr="16A89082">
        <w:rPr>
          <w:rFonts w:eastAsiaTheme="minorEastAsia"/>
          <w:color w:val="auto"/>
        </w:rPr>
        <w:t>,</w:t>
      </w:r>
      <w:r w:rsidR="40C54871" w:rsidRPr="16A89082">
        <w:rPr>
          <w:rFonts w:eastAsiaTheme="minorEastAsia"/>
          <w:color w:val="auto"/>
        </w:rPr>
        <w:t xml:space="preserve"> </w:t>
      </w:r>
      <w:r w:rsidRPr="16A89082">
        <w:rPr>
          <w:rFonts w:eastAsiaTheme="minorEastAsia"/>
          <w:color w:val="auto"/>
        </w:rPr>
        <w:t>which</w:t>
      </w:r>
      <w:r w:rsidR="2EADD34A" w:rsidRPr="16A89082">
        <w:rPr>
          <w:rFonts w:eastAsiaTheme="minorEastAsia"/>
          <w:color w:val="auto"/>
        </w:rPr>
        <w:t xml:space="preserve"> is </w:t>
      </w:r>
      <w:r w:rsidR="66C690F8" w:rsidRPr="16A89082">
        <w:rPr>
          <w:rFonts w:eastAsiaTheme="minorEastAsia"/>
          <w:color w:val="auto"/>
        </w:rPr>
        <w:t>prepared</w:t>
      </w:r>
      <w:r w:rsidR="2EADD34A" w:rsidRPr="16A89082">
        <w:rPr>
          <w:rFonts w:eastAsiaTheme="minorEastAsia"/>
          <w:color w:val="auto"/>
        </w:rPr>
        <w:t xml:space="preserve"> in line with the </w:t>
      </w:r>
      <w:bookmarkStart w:id="1" w:name="_Int_HyLldloA"/>
      <w:proofErr w:type="gramStart"/>
      <w:r w:rsidR="2EADD34A" w:rsidRPr="16A89082">
        <w:rPr>
          <w:rFonts w:eastAsiaTheme="minorEastAsia"/>
          <w:color w:val="auto"/>
        </w:rPr>
        <w:t>Mayor’s</w:t>
      </w:r>
      <w:bookmarkEnd w:id="1"/>
      <w:proofErr w:type="gramEnd"/>
      <w:r w:rsidR="2EADD34A" w:rsidRPr="16A89082">
        <w:rPr>
          <w:rFonts w:eastAsiaTheme="minorEastAsia"/>
          <w:color w:val="auto"/>
        </w:rPr>
        <w:t xml:space="preserve"> target of making London </w:t>
      </w:r>
      <w:r w:rsidR="71644E6E" w:rsidRPr="16A89082">
        <w:rPr>
          <w:rFonts w:eastAsiaTheme="minorEastAsia"/>
          <w:color w:val="auto"/>
        </w:rPr>
        <w:t>net</w:t>
      </w:r>
      <w:r w:rsidR="2EADD34A" w:rsidRPr="16A89082">
        <w:rPr>
          <w:rFonts w:eastAsiaTheme="minorEastAsia"/>
          <w:color w:val="auto"/>
        </w:rPr>
        <w:t xml:space="preserve"> zero carbon by 2030.</w:t>
      </w:r>
    </w:p>
    <w:p w14:paraId="74C97951" w14:textId="76CF780D" w:rsidR="00DD051F" w:rsidRDefault="00DD051F" w:rsidP="49996C8F">
      <w:pPr>
        <w:pStyle w:val="ListParagraph"/>
        <w:ind w:left="-9" w:hanging="567"/>
        <w:jc w:val="both"/>
        <w:rPr>
          <w:rFonts w:eastAsiaTheme="minorEastAsia"/>
          <w:color w:val="auto"/>
        </w:rPr>
      </w:pPr>
    </w:p>
    <w:p w14:paraId="3A8B85C4" w14:textId="28C82415" w:rsidR="00DD051F" w:rsidRPr="006C052D" w:rsidRDefault="53E233C2" w:rsidP="003B6A3E">
      <w:pPr>
        <w:pStyle w:val="ListParagraph"/>
        <w:numPr>
          <w:ilvl w:val="0"/>
          <w:numId w:val="29"/>
        </w:numPr>
        <w:jc w:val="both"/>
        <w:rPr>
          <w:rStyle w:val="normaltextrun"/>
          <w:b/>
          <w:bCs/>
          <w:color w:val="000000" w:themeColor="text1"/>
          <w:sz w:val="32"/>
          <w:szCs w:val="32"/>
        </w:rPr>
      </w:pPr>
      <w:r w:rsidRPr="006C052D">
        <w:rPr>
          <w:rStyle w:val="normaltextrun"/>
          <w:b/>
          <w:bCs/>
          <w:color w:val="auto"/>
          <w:sz w:val="32"/>
          <w:szCs w:val="32"/>
        </w:rPr>
        <w:t xml:space="preserve">Introduction </w:t>
      </w:r>
      <w:r w:rsidR="442D9E36" w:rsidRPr="006C052D">
        <w:rPr>
          <w:rStyle w:val="normaltextrun"/>
          <w:b/>
          <w:bCs/>
          <w:color w:val="auto"/>
          <w:sz w:val="32"/>
          <w:szCs w:val="32"/>
        </w:rPr>
        <w:t>to OPDC</w:t>
      </w:r>
    </w:p>
    <w:p w14:paraId="6889848C" w14:textId="2A7385FE" w:rsidR="00DD051F" w:rsidRDefault="00DD051F" w:rsidP="49996C8F">
      <w:pPr>
        <w:pStyle w:val="ListParagraph"/>
        <w:ind w:left="567" w:hanging="567"/>
        <w:jc w:val="both"/>
        <w:rPr>
          <w:rStyle w:val="normaltextrun"/>
          <w:b/>
          <w:bCs/>
          <w:color w:val="000000" w:themeColor="text1"/>
          <w:sz w:val="28"/>
          <w:szCs w:val="28"/>
        </w:rPr>
      </w:pPr>
    </w:p>
    <w:p w14:paraId="1212BA96" w14:textId="14603D6C" w:rsidR="045EDA1F" w:rsidRPr="00AF1F72" w:rsidRDefault="072D98D2" w:rsidP="003B6A3E">
      <w:pPr>
        <w:pStyle w:val="ListParagraph"/>
        <w:numPr>
          <w:ilvl w:val="0"/>
          <w:numId w:val="32"/>
        </w:numPr>
        <w:jc w:val="both"/>
        <w:rPr>
          <w:rFonts w:eastAsia="Foundry Form Sans" w:cs="Foundry Form Sans"/>
          <w:color w:val="auto"/>
        </w:rPr>
      </w:pPr>
      <w:r w:rsidRPr="48E0C549">
        <w:rPr>
          <w:color w:val="auto"/>
        </w:rPr>
        <w:t xml:space="preserve">OPDC </w:t>
      </w:r>
      <w:r w:rsidR="249E9621" w:rsidRPr="48E0C549">
        <w:rPr>
          <w:color w:val="auto"/>
        </w:rPr>
        <w:t>is</w:t>
      </w:r>
      <w:r w:rsidR="593EE2EA" w:rsidRPr="48E0C549">
        <w:rPr>
          <w:color w:val="auto"/>
        </w:rPr>
        <w:t xml:space="preserve"> a Mayoral Development Corporation (MDC) with </w:t>
      </w:r>
      <w:r w:rsidR="5E53B042" w:rsidRPr="48E0C549">
        <w:rPr>
          <w:color w:val="auto"/>
        </w:rPr>
        <w:t>the</w:t>
      </w:r>
      <w:r w:rsidR="593EE2EA" w:rsidRPr="48E0C549">
        <w:rPr>
          <w:color w:val="auto"/>
        </w:rPr>
        <w:t xml:space="preserve"> statutory </w:t>
      </w:r>
      <w:r w:rsidR="1E5EF914" w:rsidRPr="48E0C549">
        <w:rPr>
          <w:color w:val="auto"/>
        </w:rPr>
        <w:t xml:space="preserve">purpose </w:t>
      </w:r>
      <w:r w:rsidR="1299BB3F" w:rsidRPr="48E0C549">
        <w:rPr>
          <w:color w:val="auto"/>
        </w:rPr>
        <w:t xml:space="preserve">and powers </w:t>
      </w:r>
      <w:r w:rsidR="593EE2EA" w:rsidRPr="48E0C549">
        <w:rPr>
          <w:color w:val="auto"/>
        </w:rPr>
        <w:t>to regenerate the Old Oak and Park Royal Opportunity Area</w:t>
      </w:r>
      <w:r w:rsidR="39F97BFD" w:rsidRPr="48E0C549">
        <w:rPr>
          <w:color w:val="auto"/>
        </w:rPr>
        <w:t xml:space="preserve"> and deliver </w:t>
      </w:r>
      <w:r w:rsidRPr="48E0C549">
        <w:rPr>
          <w:color w:val="auto"/>
        </w:rPr>
        <w:t>many</w:t>
      </w:r>
      <w:r w:rsidR="39F97BFD" w:rsidRPr="48E0C549">
        <w:rPr>
          <w:color w:val="auto"/>
        </w:rPr>
        <w:t xml:space="preserve"> thousands of new and affordable homes for Londoners</w:t>
      </w:r>
      <w:r w:rsidR="6E8199F5" w:rsidRPr="48E0C549">
        <w:rPr>
          <w:color w:val="auto"/>
        </w:rPr>
        <w:t xml:space="preserve">. </w:t>
      </w:r>
      <w:r w:rsidR="1DF802D7" w:rsidRPr="48E0C549">
        <w:rPr>
          <w:color w:val="auto"/>
        </w:rPr>
        <w:t xml:space="preserve">One of </w:t>
      </w:r>
      <w:r w:rsidR="5B6EA5A6" w:rsidRPr="48E0C549">
        <w:rPr>
          <w:color w:val="auto"/>
        </w:rPr>
        <w:t>the</w:t>
      </w:r>
      <w:r w:rsidRPr="48E0C549">
        <w:rPr>
          <w:color w:val="auto"/>
        </w:rPr>
        <w:t xml:space="preserve"> </w:t>
      </w:r>
      <w:r w:rsidR="5B6EA5A6" w:rsidRPr="48E0C549">
        <w:rPr>
          <w:color w:val="auto"/>
        </w:rPr>
        <w:t>largest regeneration scheme</w:t>
      </w:r>
      <w:r w:rsidR="363CCC7B" w:rsidRPr="48E0C549">
        <w:rPr>
          <w:color w:val="auto"/>
        </w:rPr>
        <w:t>s</w:t>
      </w:r>
      <w:r w:rsidR="5B6EA5A6" w:rsidRPr="48E0C549">
        <w:rPr>
          <w:color w:val="auto"/>
        </w:rPr>
        <w:t xml:space="preserve"> in </w:t>
      </w:r>
      <w:r w:rsidR="56E320BE" w:rsidRPr="48E0C549">
        <w:rPr>
          <w:color w:val="auto"/>
        </w:rPr>
        <w:t>the UK,</w:t>
      </w:r>
      <w:r w:rsidR="7FD69637" w:rsidRPr="48E0C549">
        <w:rPr>
          <w:color w:val="auto"/>
        </w:rPr>
        <w:t xml:space="preserve"> </w:t>
      </w:r>
      <w:r w:rsidR="70CBCF2F" w:rsidRPr="48E0C549">
        <w:rPr>
          <w:color w:val="auto"/>
        </w:rPr>
        <w:t xml:space="preserve">and </w:t>
      </w:r>
      <w:r w:rsidR="521ABCCE" w:rsidRPr="48E0C549">
        <w:rPr>
          <w:color w:val="auto"/>
        </w:rPr>
        <w:t>capitalis</w:t>
      </w:r>
      <w:r w:rsidR="4FEA62D2" w:rsidRPr="48E0C549">
        <w:rPr>
          <w:color w:val="auto"/>
        </w:rPr>
        <w:t>ing</w:t>
      </w:r>
      <w:r w:rsidR="521ABCCE" w:rsidRPr="48E0C549">
        <w:rPr>
          <w:color w:val="auto"/>
        </w:rPr>
        <w:t xml:space="preserve"> on the investment and connectivity enhancements created by </w:t>
      </w:r>
      <w:r w:rsidR="6390634D" w:rsidRPr="48E0C549">
        <w:rPr>
          <w:color w:val="auto"/>
        </w:rPr>
        <w:t>HS2’s</w:t>
      </w:r>
      <w:r w:rsidR="7B14BFBD" w:rsidRPr="48E0C549">
        <w:rPr>
          <w:color w:val="auto"/>
        </w:rPr>
        <w:t xml:space="preserve"> </w:t>
      </w:r>
      <w:r w:rsidR="521ABCCE" w:rsidRPr="48E0C549">
        <w:rPr>
          <w:color w:val="auto"/>
        </w:rPr>
        <w:t>Old Oak Common Station</w:t>
      </w:r>
      <w:r w:rsidR="6E95254F" w:rsidRPr="48E0C549">
        <w:rPr>
          <w:color w:val="auto"/>
        </w:rPr>
        <w:t>, w</w:t>
      </w:r>
      <w:r w:rsidR="593EE2EA" w:rsidRPr="48E0C549">
        <w:rPr>
          <w:color w:val="auto"/>
        </w:rPr>
        <w:t>e are the Local Planning Authority, and have land assembly, housing and infrastructure delivery powers</w:t>
      </w:r>
      <w:r w:rsidRPr="48E0C549">
        <w:rPr>
          <w:color w:val="auto"/>
        </w:rPr>
        <w:t xml:space="preserve"> that span three London Boroughs (Ealing, Hammersmith &amp; </w:t>
      </w:r>
      <w:proofErr w:type="gramStart"/>
      <w:r w:rsidRPr="48E0C549">
        <w:rPr>
          <w:color w:val="auto"/>
        </w:rPr>
        <w:t>Fulham</w:t>
      </w:r>
      <w:proofErr w:type="gramEnd"/>
      <w:r w:rsidRPr="48E0C549">
        <w:rPr>
          <w:color w:val="auto"/>
        </w:rPr>
        <w:t xml:space="preserve"> and Brent).</w:t>
      </w:r>
      <w:r w:rsidR="0AB321CF" w:rsidRPr="48E0C549">
        <w:rPr>
          <w:color w:val="auto"/>
        </w:rPr>
        <w:t xml:space="preserve"> </w:t>
      </w:r>
    </w:p>
    <w:p w14:paraId="2C6C3A2B" w14:textId="43AD2DFF" w:rsidR="3980742F" w:rsidRDefault="3980742F" w:rsidP="49996C8F">
      <w:pPr>
        <w:jc w:val="both"/>
        <w:rPr>
          <w:color w:val="auto"/>
        </w:rPr>
      </w:pPr>
    </w:p>
    <w:p w14:paraId="30F6C088" w14:textId="69779F99" w:rsidR="7067BFEE" w:rsidRPr="00AF1F72" w:rsidRDefault="43D18E4B" w:rsidP="003B6A3E">
      <w:pPr>
        <w:pStyle w:val="ListParagraph"/>
        <w:numPr>
          <w:ilvl w:val="0"/>
          <w:numId w:val="32"/>
        </w:numPr>
        <w:jc w:val="both"/>
        <w:rPr>
          <w:color w:val="auto"/>
        </w:rPr>
      </w:pPr>
      <w:r w:rsidRPr="3AA976BB">
        <w:rPr>
          <w:color w:val="auto"/>
        </w:rPr>
        <w:t xml:space="preserve">OPDC’s Corporate Strategy and supporting Management Plan </w:t>
      </w:r>
      <w:r w:rsidR="18B2582B" w:rsidRPr="3AA976BB">
        <w:rPr>
          <w:color w:val="auto"/>
        </w:rPr>
        <w:t>20</w:t>
      </w:r>
      <w:r w:rsidRPr="3AA976BB">
        <w:rPr>
          <w:color w:val="auto"/>
        </w:rPr>
        <w:t xml:space="preserve">23-24 sets out our vision for </w:t>
      </w:r>
      <w:r w:rsidR="035E4279" w:rsidRPr="3AA976BB">
        <w:rPr>
          <w:color w:val="auto"/>
        </w:rPr>
        <w:t xml:space="preserve">the </w:t>
      </w:r>
      <w:r w:rsidRPr="3AA976BB">
        <w:rPr>
          <w:color w:val="auto"/>
        </w:rPr>
        <w:t xml:space="preserve">sustainable </w:t>
      </w:r>
      <w:r w:rsidR="035E4279" w:rsidRPr="3AA976BB">
        <w:rPr>
          <w:color w:val="auto"/>
        </w:rPr>
        <w:t>regeneration</w:t>
      </w:r>
      <w:r w:rsidR="3519EAF9" w:rsidRPr="3AA976BB">
        <w:rPr>
          <w:color w:val="auto"/>
        </w:rPr>
        <w:t xml:space="preserve"> and revitalisation</w:t>
      </w:r>
      <w:r w:rsidR="035E4279" w:rsidRPr="3AA976BB">
        <w:rPr>
          <w:color w:val="auto"/>
        </w:rPr>
        <w:t xml:space="preserve"> of </w:t>
      </w:r>
      <w:r w:rsidRPr="3AA976BB">
        <w:rPr>
          <w:color w:val="auto"/>
        </w:rPr>
        <w:t xml:space="preserve">Old Oak and Park Royal </w:t>
      </w:r>
      <w:r w:rsidR="15465247" w:rsidRPr="3AA976BB">
        <w:rPr>
          <w:color w:val="auto"/>
        </w:rPr>
        <w:t>and is aligned with the planning policy framework set out in our Local Plan</w:t>
      </w:r>
      <w:r w:rsidR="47238B87" w:rsidRPr="3AA976BB">
        <w:rPr>
          <w:color w:val="auto"/>
        </w:rPr>
        <w:t>. We have bui</w:t>
      </w:r>
      <w:r w:rsidR="006D4C01" w:rsidRPr="3AA976BB">
        <w:rPr>
          <w:color w:val="auto"/>
        </w:rPr>
        <w:t>l</w:t>
      </w:r>
      <w:r w:rsidR="47238B87" w:rsidRPr="3AA976BB">
        <w:rPr>
          <w:color w:val="auto"/>
        </w:rPr>
        <w:t>t</w:t>
      </w:r>
      <w:r w:rsidR="15465247" w:rsidRPr="3AA976BB">
        <w:rPr>
          <w:color w:val="auto"/>
        </w:rPr>
        <w:t xml:space="preserve"> </w:t>
      </w:r>
      <w:r w:rsidR="2ED06E9C" w:rsidRPr="3AA976BB">
        <w:rPr>
          <w:color w:val="auto"/>
        </w:rPr>
        <w:t xml:space="preserve">a strong partnership with central </w:t>
      </w:r>
      <w:r w:rsidR="6390634D" w:rsidRPr="3AA976BB">
        <w:rPr>
          <w:color w:val="auto"/>
        </w:rPr>
        <w:t>g</w:t>
      </w:r>
      <w:r w:rsidR="59CE04B8" w:rsidRPr="3AA976BB">
        <w:rPr>
          <w:color w:val="auto"/>
        </w:rPr>
        <w:t>overnment</w:t>
      </w:r>
      <w:r w:rsidR="2ED06E9C" w:rsidRPr="3AA976BB">
        <w:rPr>
          <w:color w:val="auto"/>
        </w:rPr>
        <w:t xml:space="preserve"> and rail agencies</w:t>
      </w:r>
      <w:r w:rsidR="480D8061" w:rsidRPr="3AA976BB">
        <w:rPr>
          <w:color w:val="auto"/>
        </w:rPr>
        <w:t xml:space="preserve"> and have secured the foundations for the implementation of our plans with an approved Outline Business Case, </w:t>
      </w:r>
      <w:r w:rsidR="6E322271" w:rsidRPr="3AA976BB">
        <w:rPr>
          <w:color w:val="auto"/>
        </w:rPr>
        <w:t xml:space="preserve">access to </w:t>
      </w:r>
      <w:r w:rsidR="480D8061" w:rsidRPr="3AA976BB">
        <w:rPr>
          <w:color w:val="auto"/>
        </w:rPr>
        <w:t>substantial capital f</w:t>
      </w:r>
      <w:r w:rsidR="5232068D" w:rsidRPr="3AA976BB">
        <w:rPr>
          <w:color w:val="auto"/>
        </w:rPr>
        <w:t>unding</w:t>
      </w:r>
      <w:r w:rsidR="475935B8" w:rsidRPr="3AA976BB">
        <w:rPr>
          <w:color w:val="auto"/>
        </w:rPr>
        <w:t>, and a successful programme of land acquisition and strategic infrastructure.</w:t>
      </w:r>
      <w:r w:rsidR="779B1019" w:rsidRPr="3AA976BB">
        <w:rPr>
          <w:color w:val="auto"/>
        </w:rPr>
        <w:t xml:space="preserve"> </w:t>
      </w:r>
    </w:p>
    <w:p w14:paraId="15F551F8" w14:textId="6694A9F0" w:rsidR="7067BFEE" w:rsidRPr="00AF1F72" w:rsidRDefault="7067BFEE" w:rsidP="2A6B2722">
      <w:pPr>
        <w:jc w:val="both"/>
        <w:rPr>
          <w:color w:val="auto"/>
        </w:rPr>
      </w:pPr>
    </w:p>
    <w:p w14:paraId="71015F44" w14:textId="6BF38A42" w:rsidR="7067BFEE" w:rsidRPr="00AF1F72" w:rsidRDefault="50F38F10" w:rsidP="003B6A3E">
      <w:pPr>
        <w:pStyle w:val="ListParagraph"/>
        <w:numPr>
          <w:ilvl w:val="0"/>
          <w:numId w:val="32"/>
        </w:numPr>
        <w:jc w:val="both"/>
        <w:rPr>
          <w:color w:val="auto"/>
        </w:rPr>
      </w:pPr>
      <w:r w:rsidRPr="57EA1165">
        <w:rPr>
          <w:color w:val="auto"/>
        </w:rPr>
        <w:t xml:space="preserve">Our </w:t>
      </w:r>
      <w:r w:rsidR="01DD7406" w:rsidRPr="57EA1165">
        <w:rPr>
          <w:color w:val="auto"/>
        </w:rPr>
        <w:t xml:space="preserve">work is informed by </w:t>
      </w:r>
      <w:r w:rsidR="3F354034" w:rsidRPr="00BB041E">
        <w:rPr>
          <w:color w:val="auto"/>
        </w:rPr>
        <w:t>our</w:t>
      </w:r>
      <w:r w:rsidR="16673371" w:rsidRPr="57EA1165">
        <w:rPr>
          <w:color w:val="auto"/>
        </w:rPr>
        <w:t xml:space="preserve"> vision, </w:t>
      </w:r>
      <w:proofErr w:type="gramStart"/>
      <w:r w:rsidR="16673371" w:rsidRPr="57EA1165">
        <w:rPr>
          <w:color w:val="auto"/>
        </w:rPr>
        <w:t>mission</w:t>
      </w:r>
      <w:proofErr w:type="gramEnd"/>
      <w:r w:rsidR="16673371" w:rsidRPr="57EA1165">
        <w:rPr>
          <w:color w:val="auto"/>
        </w:rPr>
        <w:t xml:space="preserve"> and values</w:t>
      </w:r>
      <w:r w:rsidR="3F354034" w:rsidRPr="00BB041E">
        <w:rPr>
          <w:color w:val="auto"/>
        </w:rPr>
        <w:t>,</w:t>
      </w:r>
      <w:r w:rsidR="16673371" w:rsidRPr="57EA1165">
        <w:rPr>
          <w:color w:val="auto"/>
        </w:rPr>
        <w:t xml:space="preserve"> structured around </w:t>
      </w:r>
      <w:r w:rsidR="01DD7406" w:rsidRPr="57EA1165">
        <w:rPr>
          <w:color w:val="auto"/>
        </w:rPr>
        <w:t>three core themes</w:t>
      </w:r>
      <w:r w:rsidR="3F354034" w:rsidRPr="00BB041E">
        <w:rPr>
          <w:color w:val="auto"/>
        </w:rPr>
        <w:t xml:space="preserve"> and underpinned by our core functions</w:t>
      </w:r>
      <w:r w:rsidR="01DD7406" w:rsidRPr="00BB041E">
        <w:rPr>
          <w:color w:val="auto"/>
        </w:rPr>
        <w:t xml:space="preserve">: </w:t>
      </w:r>
    </w:p>
    <w:p w14:paraId="7FAA1547" w14:textId="60E70573" w:rsidR="3980742F" w:rsidRDefault="3980742F" w:rsidP="49996C8F">
      <w:pPr>
        <w:jc w:val="both"/>
        <w:rPr>
          <w:color w:val="auto"/>
        </w:rPr>
      </w:pPr>
    </w:p>
    <w:p w14:paraId="390D3B66" w14:textId="3E6D713A" w:rsidR="7328A0DC" w:rsidRDefault="469E4F27" w:rsidP="00555085">
      <w:pPr>
        <w:ind w:left="680"/>
        <w:rPr>
          <w:rFonts w:eastAsiaTheme="minorEastAsia"/>
          <w:color w:val="auto"/>
        </w:rPr>
      </w:pPr>
      <w:r w:rsidRPr="49996C8F">
        <w:rPr>
          <w:b/>
          <w:bCs/>
          <w:color w:val="auto"/>
        </w:rPr>
        <w:t>Delivery</w:t>
      </w:r>
      <w:r w:rsidRPr="49996C8F">
        <w:rPr>
          <w:rFonts w:eastAsiaTheme="minorEastAsia"/>
          <w:b/>
          <w:bCs/>
          <w:color w:val="auto"/>
        </w:rPr>
        <w:t xml:space="preserve"> –</w:t>
      </w:r>
      <w:r w:rsidRPr="49996C8F">
        <w:rPr>
          <w:rFonts w:eastAsiaTheme="minorEastAsia"/>
          <w:color w:val="auto"/>
        </w:rPr>
        <w:t xml:space="preserve"> realising ambition through action by</w:t>
      </w:r>
      <w:r w:rsidR="65C99327" w:rsidRPr="49996C8F">
        <w:rPr>
          <w:rFonts w:eastAsiaTheme="minorEastAsia"/>
          <w:color w:val="auto"/>
        </w:rPr>
        <w:t>:</w:t>
      </w:r>
    </w:p>
    <w:p w14:paraId="55D2F0A0" w14:textId="7E570DDF" w:rsidR="244CEE88" w:rsidRDefault="006F3A48" w:rsidP="00972D9D">
      <w:pPr>
        <w:pStyle w:val="ListParagraph"/>
        <w:numPr>
          <w:ilvl w:val="0"/>
          <w:numId w:val="25"/>
        </w:numPr>
        <w:ind w:left="1040"/>
        <w:rPr>
          <w:color w:val="auto"/>
        </w:rPr>
      </w:pPr>
      <w:r>
        <w:rPr>
          <w:color w:val="auto"/>
        </w:rPr>
        <w:t>e</w:t>
      </w:r>
      <w:r w:rsidR="3187FA0A" w:rsidRPr="49996C8F">
        <w:rPr>
          <w:color w:val="auto"/>
        </w:rPr>
        <w:t>stablish</w:t>
      </w:r>
      <w:r w:rsidR="3C5D4ED5" w:rsidRPr="49996C8F">
        <w:rPr>
          <w:color w:val="auto"/>
        </w:rPr>
        <w:t>ing</w:t>
      </w:r>
      <w:r w:rsidR="3187FA0A" w:rsidRPr="49996C8F">
        <w:rPr>
          <w:color w:val="auto"/>
        </w:rPr>
        <w:t xml:space="preserve"> our role as landowner and steward</w:t>
      </w:r>
    </w:p>
    <w:p w14:paraId="5BE4F7AC" w14:textId="6CBC3093" w:rsidR="244CEE88" w:rsidRDefault="006F3A48" w:rsidP="00972D9D">
      <w:pPr>
        <w:pStyle w:val="ListParagraph"/>
        <w:numPr>
          <w:ilvl w:val="0"/>
          <w:numId w:val="25"/>
        </w:numPr>
        <w:ind w:left="1040"/>
        <w:rPr>
          <w:color w:val="auto"/>
        </w:rPr>
      </w:pPr>
      <w:r>
        <w:rPr>
          <w:color w:val="auto"/>
        </w:rPr>
        <w:t>s</w:t>
      </w:r>
      <w:r w:rsidR="3187FA0A" w:rsidRPr="49996C8F">
        <w:rPr>
          <w:color w:val="auto"/>
        </w:rPr>
        <w:t>ecur</w:t>
      </w:r>
      <w:r w:rsidR="31ECC71C" w:rsidRPr="49996C8F">
        <w:rPr>
          <w:color w:val="auto"/>
        </w:rPr>
        <w:t>ing</w:t>
      </w:r>
      <w:r w:rsidR="3187FA0A" w:rsidRPr="49996C8F">
        <w:rPr>
          <w:color w:val="auto"/>
        </w:rPr>
        <w:t xml:space="preserve"> the right investment and development partners </w:t>
      </w:r>
    </w:p>
    <w:p w14:paraId="046C629D" w14:textId="0AA06E51" w:rsidR="244CEE88" w:rsidRDefault="006F3A48" w:rsidP="00972D9D">
      <w:pPr>
        <w:pStyle w:val="ListParagraph"/>
        <w:numPr>
          <w:ilvl w:val="0"/>
          <w:numId w:val="25"/>
        </w:numPr>
        <w:ind w:left="1040"/>
        <w:rPr>
          <w:color w:val="auto"/>
        </w:rPr>
      </w:pPr>
      <w:r w:rsidRPr="57EA1165">
        <w:rPr>
          <w:color w:val="auto"/>
        </w:rPr>
        <w:t>d</w:t>
      </w:r>
      <w:r w:rsidR="3187FA0A" w:rsidRPr="57EA1165">
        <w:rPr>
          <w:color w:val="auto"/>
        </w:rPr>
        <w:t>eliver</w:t>
      </w:r>
      <w:r w:rsidR="5A36A13F" w:rsidRPr="57EA1165">
        <w:rPr>
          <w:color w:val="auto"/>
        </w:rPr>
        <w:t>ing</w:t>
      </w:r>
      <w:r w:rsidR="3187FA0A" w:rsidRPr="57EA1165">
        <w:rPr>
          <w:color w:val="auto"/>
        </w:rPr>
        <w:t xml:space="preserve"> positive changes and </w:t>
      </w:r>
      <w:r w:rsidR="4B9DE5BD" w:rsidRPr="57EA1165">
        <w:rPr>
          <w:color w:val="auto"/>
        </w:rPr>
        <w:t xml:space="preserve">early </w:t>
      </w:r>
      <w:r w:rsidR="3187FA0A" w:rsidRPr="57EA1165">
        <w:rPr>
          <w:color w:val="auto"/>
        </w:rPr>
        <w:t>local enhancements</w:t>
      </w:r>
    </w:p>
    <w:p w14:paraId="5DF3AAD8" w14:textId="55791A99" w:rsidR="244CEE88" w:rsidRDefault="006F3A48" w:rsidP="00972D9D">
      <w:pPr>
        <w:pStyle w:val="ListParagraph"/>
        <w:numPr>
          <w:ilvl w:val="0"/>
          <w:numId w:val="25"/>
        </w:numPr>
        <w:ind w:left="1040"/>
        <w:rPr>
          <w:color w:val="auto"/>
        </w:rPr>
      </w:pPr>
      <w:r w:rsidRPr="57EA1165">
        <w:rPr>
          <w:color w:val="auto"/>
        </w:rPr>
        <w:t>m</w:t>
      </w:r>
      <w:r w:rsidR="3187FA0A" w:rsidRPr="57EA1165">
        <w:rPr>
          <w:color w:val="auto"/>
        </w:rPr>
        <w:t>aximis</w:t>
      </w:r>
      <w:r w:rsidR="0BB9E716" w:rsidRPr="57EA1165">
        <w:rPr>
          <w:color w:val="auto"/>
        </w:rPr>
        <w:t>ing</w:t>
      </w:r>
      <w:r w:rsidR="3187FA0A" w:rsidRPr="57EA1165">
        <w:rPr>
          <w:color w:val="auto"/>
        </w:rPr>
        <w:t xml:space="preserve"> affordable homes, </w:t>
      </w:r>
      <w:r w:rsidR="1D28B962" w:rsidRPr="57EA1165">
        <w:rPr>
          <w:color w:val="auto"/>
        </w:rPr>
        <w:t xml:space="preserve">good </w:t>
      </w:r>
      <w:proofErr w:type="gramStart"/>
      <w:r w:rsidR="3187FA0A" w:rsidRPr="57EA1165">
        <w:rPr>
          <w:color w:val="auto"/>
        </w:rPr>
        <w:t>jobs</w:t>
      </w:r>
      <w:proofErr w:type="gramEnd"/>
      <w:r w:rsidR="3187FA0A" w:rsidRPr="57EA1165">
        <w:rPr>
          <w:color w:val="auto"/>
        </w:rPr>
        <w:t xml:space="preserve"> and funding for new and</w:t>
      </w:r>
      <w:r w:rsidR="0C598922" w:rsidRPr="57EA1165">
        <w:rPr>
          <w:color w:val="auto"/>
        </w:rPr>
        <w:t xml:space="preserve"> </w:t>
      </w:r>
      <w:r w:rsidR="3187FA0A" w:rsidRPr="57EA1165">
        <w:rPr>
          <w:color w:val="auto"/>
        </w:rPr>
        <w:t>improved infrastructure</w:t>
      </w:r>
      <w:r w:rsidR="5053250E" w:rsidRPr="57EA1165">
        <w:rPr>
          <w:color w:val="auto"/>
        </w:rPr>
        <w:t>.</w:t>
      </w:r>
      <w:r w:rsidR="469E4F27" w:rsidRPr="57EA1165">
        <w:rPr>
          <w:color w:val="auto"/>
        </w:rPr>
        <w:t xml:space="preserve"> </w:t>
      </w:r>
    </w:p>
    <w:p w14:paraId="4BCDD555" w14:textId="41E773B8" w:rsidR="7328A0DC" w:rsidRDefault="469E4F27" w:rsidP="00555085">
      <w:pPr>
        <w:ind w:left="680"/>
        <w:rPr>
          <w:color w:val="auto"/>
        </w:rPr>
      </w:pPr>
      <w:r w:rsidRPr="49996C8F">
        <w:rPr>
          <w:color w:val="auto"/>
        </w:rPr>
        <w:t xml:space="preserve"> </w:t>
      </w:r>
    </w:p>
    <w:p w14:paraId="640C3E9A" w14:textId="1A7A6101" w:rsidR="7328A0DC" w:rsidRDefault="469E4F27" w:rsidP="00555085">
      <w:pPr>
        <w:ind w:left="680"/>
        <w:rPr>
          <w:rFonts w:eastAsiaTheme="minorEastAsia"/>
          <w:color w:val="auto"/>
        </w:rPr>
      </w:pPr>
      <w:r w:rsidRPr="49996C8F">
        <w:rPr>
          <w:b/>
          <w:bCs/>
          <w:color w:val="auto"/>
        </w:rPr>
        <w:t xml:space="preserve">Community </w:t>
      </w:r>
      <w:r w:rsidR="607E9A66" w:rsidRPr="49996C8F">
        <w:rPr>
          <w:rFonts w:eastAsiaTheme="minorEastAsia"/>
          <w:b/>
          <w:bCs/>
          <w:color w:val="auto"/>
        </w:rPr>
        <w:t>–</w:t>
      </w:r>
      <w:r w:rsidR="607E9A66" w:rsidRPr="49996C8F">
        <w:rPr>
          <w:rFonts w:eastAsiaTheme="minorEastAsia"/>
          <w:color w:val="auto"/>
        </w:rPr>
        <w:t xml:space="preserve"> a place for everyone, reflecting local needs and aspirations</w:t>
      </w:r>
      <w:r w:rsidR="5649787C" w:rsidRPr="49996C8F">
        <w:rPr>
          <w:rFonts w:eastAsiaTheme="minorEastAsia"/>
          <w:color w:val="auto"/>
        </w:rPr>
        <w:t xml:space="preserve"> by:</w:t>
      </w:r>
    </w:p>
    <w:p w14:paraId="6E219A08" w14:textId="34D1ED06" w:rsidR="20A73C4A" w:rsidRDefault="006F3A48" w:rsidP="00972D9D">
      <w:pPr>
        <w:pStyle w:val="ListParagraph"/>
        <w:numPr>
          <w:ilvl w:val="0"/>
          <w:numId w:val="25"/>
        </w:numPr>
        <w:ind w:left="1040"/>
        <w:rPr>
          <w:color w:val="auto"/>
        </w:rPr>
      </w:pPr>
      <w:r>
        <w:rPr>
          <w:color w:val="auto"/>
        </w:rPr>
        <w:t>e</w:t>
      </w:r>
      <w:r w:rsidR="745519CC" w:rsidRPr="49996C8F">
        <w:rPr>
          <w:color w:val="auto"/>
        </w:rPr>
        <w:t>mpower</w:t>
      </w:r>
      <w:r w:rsidR="687692A1" w:rsidRPr="49996C8F">
        <w:rPr>
          <w:color w:val="auto"/>
        </w:rPr>
        <w:t>ing</w:t>
      </w:r>
      <w:r w:rsidR="745519CC" w:rsidRPr="49996C8F">
        <w:rPr>
          <w:color w:val="auto"/>
        </w:rPr>
        <w:t xml:space="preserve"> everyone to have a say in the future</w:t>
      </w:r>
    </w:p>
    <w:p w14:paraId="1459AB75" w14:textId="3EFCC1A6" w:rsidR="20A73C4A" w:rsidRDefault="006F3A48" w:rsidP="00972D9D">
      <w:pPr>
        <w:pStyle w:val="ListParagraph"/>
        <w:numPr>
          <w:ilvl w:val="0"/>
          <w:numId w:val="25"/>
        </w:numPr>
        <w:ind w:left="1040"/>
        <w:rPr>
          <w:color w:val="auto"/>
        </w:rPr>
      </w:pPr>
      <w:r>
        <w:rPr>
          <w:color w:val="auto"/>
        </w:rPr>
        <w:t>c</w:t>
      </w:r>
      <w:r w:rsidR="745519CC" w:rsidRPr="49996C8F">
        <w:rPr>
          <w:color w:val="auto"/>
        </w:rPr>
        <w:t>elebrat</w:t>
      </w:r>
      <w:r w:rsidR="27D44CEF" w:rsidRPr="49996C8F">
        <w:rPr>
          <w:color w:val="auto"/>
        </w:rPr>
        <w:t>ing</w:t>
      </w:r>
      <w:r w:rsidR="745519CC" w:rsidRPr="49996C8F">
        <w:rPr>
          <w:color w:val="auto"/>
        </w:rPr>
        <w:t xml:space="preserve"> and champion</w:t>
      </w:r>
      <w:r w:rsidR="0D5FF95D" w:rsidRPr="49996C8F">
        <w:rPr>
          <w:color w:val="auto"/>
        </w:rPr>
        <w:t>ing</w:t>
      </w:r>
      <w:r w:rsidR="745519CC" w:rsidRPr="49996C8F">
        <w:rPr>
          <w:color w:val="auto"/>
        </w:rPr>
        <w:t xml:space="preserve"> diversity, </w:t>
      </w:r>
      <w:proofErr w:type="gramStart"/>
      <w:r w:rsidR="745519CC" w:rsidRPr="49996C8F">
        <w:rPr>
          <w:color w:val="auto"/>
        </w:rPr>
        <w:t>heritage</w:t>
      </w:r>
      <w:proofErr w:type="gramEnd"/>
      <w:r w:rsidR="745519CC" w:rsidRPr="49996C8F">
        <w:rPr>
          <w:color w:val="auto"/>
        </w:rPr>
        <w:t xml:space="preserve"> and local identity</w:t>
      </w:r>
    </w:p>
    <w:p w14:paraId="4DB624EF" w14:textId="019DC5C4" w:rsidR="20A73C4A" w:rsidRDefault="006F3A48" w:rsidP="00972D9D">
      <w:pPr>
        <w:pStyle w:val="ListParagraph"/>
        <w:numPr>
          <w:ilvl w:val="0"/>
          <w:numId w:val="25"/>
        </w:numPr>
        <w:ind w:left="1040"/>
        <w:rPr>
          <w:color w:val="auto"/>
        </w:rPr>
      </w:pPr>
      <w:r w:rsidRPr="57EA1165">
        <w:rPr>
          <w:color w:val="auto"/>
        </w:rPr>
        <w:lastRenderedPageBreak/>
        <w:t>b</w:t>
      </w:r>
      <w:r w:rsidR="745519CC" w:rsidRPr="57EA1165">
        <w:rPr>
          <w:color w:val="auto"/>
        </w:rPr>
        <w:t>uild</w:t>
      </w:r>
      <w:r w:rsidR="35BF4C14" w:rsidRPr="57EA1165">
        <w:rPr>
          <w:color w:val="auto"/>
        </w:rPr>
        <w:t xml:space="preserve">ing </w:t>
      </w:r>
      <w:r w:rsidR="745519CC" w:rsidRPr="57EA1165">
        <w:rPr>
          <w:color w:val="auto"/>
        </w:rPr>
        <w:t>capacity and skills</w:t>
      </w:r>
    </w:p>
    <w:p w14:paraId="5715C07C" w14:textId="6ACE2116" w:rsidR="20A73C4A" w:rsidRDefault="745519CC" w:rsidP="00972D9D">
      <w:pPr>
        <w:pStyle w:val="ListParagraph"/>
        <w:numPr>
          <w:ilvl w:val="0"/>
          <w:numId w:val="25"/>
        </w:numPr>
        <w:ind w:left="1040"/>
        <w:rPr>
          <w:color w:val="auto"/>
        </w:rPr>
      </w:pPr>
      <w:r w:rsidRPr="57EA1165">
        <w:rPr>
          <w:color w:val="auto"/>
        </w:rPr>
        <w:t>protect</w:t>
      </w:r>
      <w:r w:rsidR="7BBD5284" w:rsidRPr="57EA1165">
        <w:rPr>
          <w:color w:val="auto"/>
        </w:rPr>
        <w:t>ing</w:t>
      </w:r>
      <w:r w:rsidRPr="57EA1165">
        <w:rPr>
          <w:color w:val="auto"/>
        </w:rPr>
        <w:t xml:space="preserve"> </w:t>
      </w:r>
      <w:r w:rsidR="594152C5" w:rsidRPr="57EA1165">
        <w:rPr>
          <w:color w:val="auto"/>
        </w:rPr>
        <w:t xml:space="preserve">and caring for </w:t>
      </w:r>
      <w:r w:rsidRPr="57EA1165">
        <w:rPr>
          <w:color w:val="auto"/>
        </w:rPr>
        <w:t>the local area</w:t>
      </w:r>
      <w:r w:rsidR="637099B8" w:rsidRPr="57EA1165">
        <w:rPr>
          <w:color w:val="auto"/>
        </w:rPr>
        <w:t>.</w:t>
      </w:r>
    </w:p>
    <w:p w14:paraId="76B080BF" w14:textId="76066237" w:rsidR="7328A0DC" w:rsidRDefault="469E4F27" w:rsidP="00555085">
      <w:pPr>
        <w:ind w:left="680"/>
        <w:rPr>
          <w:color w:val="auto"/>
        </w:rPr>
      </w:pPr>
      <w:r w:rsidRPr="49996C8F">
        <w:rPr>
          <w:color w:val="auto"/>
        </w:rPr>
        <w:t xml:space="preserve"> </w:t>
      </w:r>
    </w:p>
    <w:p w14:paraId="0E92C318" w14:textId="68E27BF5" w:rsidR="7328A0DC" w:rsidRDefault="469E4F27" w:rsidP="00555085">
      <w:pPr>
        <w:ind w:left="680"/>
        <w:rPr>
          <w:rFonts w:eastAsiaTheme="minorEastAsia"/>
          <w:color w:val="auto"/>
        </w:rPr>
      </w:pPr>
      <w:r w:rsidRPr="49996C8F">
        <w:rPr>
          <w:b/>
          <w:bCs/>
          <w:color w:val="auto"/>
        </w:rPr>
        <w:t xml:space="preserve">Innovation </w:t>
      </w:r>
      <w:r w:rsidR="3B7B2C0C" w:rsidRPr="49996C8F">
        <w:rPr>
          <w:rFonts w:eastAsiaTheme="minorEastAsia"/>
          <w:b/>
          <w:bCs/>
          <w:color w:val="auto"/>
        </w:rPr>
        <w:t>–</w:t>
      </w:r>
      <w:r w:rsidR="3B7B2C0C" w:rsidRPr="49996C8F">
        <w:rPr>
          <w:rFonts w:eastAsiaTheme="minorEastAsia"/>
          <w:color w:val="auto"/>
        </w:rPr>
        <w:t xml:space="preserve"> leading the way for a sustainable and prosperous future</w:t>
      </w:r>
      <w:r w:rsidR="60952943" w:rsidRPr="49996C8F">
        <w:rPr>
          <w:rFonts w:eastAsiaTheme="minorEastAsia"/>
          <w:color w:val="auto"/>
        </w:rPr>
        <w:t xml:space="preserve"> through:</w:t>
      </w:r>
    </w:p>
    <w:p w14:paraId="4362FA40" w14:textId="1CB8961F" w:rsidR="014E92C4" w:rsidRDefault="006F3A48" w:rsidP="00972D9D">
      <w:pPr>
        <w:pStyle w:val="ListParagraph"/>
        <w:numPr>
          <w:ilvl w:val="0"/>
          <w:numId w:val="25"/>
        </w:numPr>
        <w:ind w:left="1040"/>
        <w:rPr>
          <w:color w:val="auto"/>
        </w:rPr>
      </w:pPr>
      <w:r>
        <w:rPr>
          <w:color w:val="auto"/>
        </w:rPr>
        <w:t>n</w:t>
      </w:r>
      <w:r w:rsidR="22B63861" w:rsidRPr="49996C8F">
        <w:rPr>
          <w:color w:val="auto"/>
        </w:rPr>
        <w:t>et zero and nature positive regeneration</w:t>
      </w:r>
    </w:p>
    <w:p w14:paraId="5EB42FB0" w14:textId="7063D34A" w:rsidR="014E92C4" w:rsidRDefault="006F3A48" w:rsidP="00972D9D">
      <w:pPr>
        <w:pStyle w:val="ListParagraph"/>
        <w:numPr>
          <w:ilvl w:val="0"/>
          <w:numId w:val="25"/>
        </w:numPr>
        <w:ind w:left="1040"/>
        <w:rPr>
          <w:color w:val="auto"/>
        </w:rPr>
      </w:pPr>
      <w:r>
        <w:rPr>
          <w:color w:val="auto"/>
        </w:rPr>
        <w:t>j</w:t>
      </w:r>
      <w:r w:rsidR="22B63861" w:rsidRPr="49996C8F">
        <w:rPr>
          <w:color w:val="auto"/>
        </w:rPr>
        <w:t xml:space="preserve">obs for the future and local prosperity </w:t>
      </w:r>
    </w:p>
    <w:p w14:paraId="5CA5E235" w14:textId="3F7C170C" w:rsidR="014E92C4" w:rsidRDefault="006F3A48" w:rsidP="00972D9D">
      <w:pPr>
        <w:pStyle w:val="ListParagraph"/>
        <w:numPr>
          <w:ilvl w:val="0"/>
          <w:numId w:val="25"/>
        </w:numPr>
        <w:ind w:left="1040"/>
        <w:rPr>
          <w:color w:val="auto"/>
        </w:rPr>
      </w:pPr>
      <w:r>
        <w:rPr>
          <w:color w:val="auto"/>
        </w:rPr>
        <w:t>a</w:t>
      </w:r>
      <w:r w:rsidR="22B63861" w:rsidRPr="49996C8F">
        <w:rPr>
          <w:color w:val="auto"/>
        </w:rPr>
        <w:t>ttract</w:t>
      </w:r>
      <w:r w:rsidR="5A074CB9" w:rsidRPr="49996C8F">
        <w:rPr>
          <w:color w:val="auto"/>
        </w:rPr>
        <w:t>ing</w:t>
      </w:r>
      <w:r w:rsidR="22B63861" w:rsidRPr="49996C8F">
        <w:rPr>
          <w:color w:val="auto"/>
        </w:rPr>
        <w:t xml:space="preserve"> diverse industries and technologies</w:t>
      </w:r>
      <w:r w:rsidR="00322414">
        <w:rPr>
          <w:color w:val="auto"/>
        </w:rPr>
        <w:t>.</w:t>
      </w:r>
    </w:p>
    <w:p w14:paraId="6B08EAA9" w14:textId="1428A82B" w:rsidR="3980742F" w:rsidRDefault="3980742F" w:rsidP="00555085">
      <w:pPr>
        <w:ind w:left="680"/>
        <w:rPr>
          <w:color w:val="auto"/>
        </w:rPr>
      </w:pPr>
    </w:p>
    <w:p w14:paraId="60ACC020" w14:textId="1BF67B7D" w:rsidR="6AB5ADF9" w:rsidRDefault="7636A6DB" w:rsidP="00555085">
      <w:pPr>
        <w:ind w:left="680"/>
        <w:rPr>
          <w:color w:val="auto"/>
        </w:rPr>
      </w:pPr>
      <w:r w:rsidRPr="57EA1165">
        <w:rPr>
          <w:b/>
          <w:bCs/>
          <w:color w:val="auto"/>
        </w:rPr>
        <w:t>Core Functions</w:t>
      </w:r>
      <w:r w:rsidRPr="57EA1165">
        <w:rPr>
          <w:color w:val="auto"/>
        </w:rPr>
        <w:t xml:space="preserve"> – to enable an efficient and equitable team, fit for the future</w:t>
      </w:r>
      <w:r w:rsidR="718D7F0C" w:rsidRPr="57EA1165" w:rsidDel="77804F86">
        <w:rPr>
          <w:color w:val="auto"/>
        </w:rPr>
        <w:t xml:space="preserve"> </w:t>
      </w:r>
      <w:r w:rsidR="6FD5E408" w:rsidRPr="57EA1165">
        <w:rPr>
          <w:color w:val="auto"/>
        </w:rPr>
        <w:t>with</w:t>
      </w:r>
      <w:r w:rsidR="718D7F0C" w:rsidRPr="57EA1165" w:rsidDel="77804F86">
        <w:rPr>
          <w:color w:val="auto"/>
        </w:rPr>
        <w:t>:</w:t>
      </w:r>
    </w:p>
    <w:p w14:paraId="05DF9AF8" w14:textId="40ADB3C8" w:rsidR="58AB9B2B" w:rsidRDefault="006F3A48" w:rsidP="00972D9D">
      <w:pPr>
        <w:pStyle w:val="ListParagraph"/>
        <w:numPr>
          <w:ilvl w:val="0"/>
          <w:numId w:val="24"/>
        </w:numPr>
        <w:spacing w:line="259" w:lineRule="auto"/>
        <w:ind w:left="1040"/>
        <w:rPr>
          <w:color w:val="auto"/>
        </w:rPr>
      </w:pPr>
      <w:r w:rsidRPr="57EA1165">
        <w:rPr>
          <w:color w:val="auto"/>
        </w:rPr>
        <w:t>t</w:t>
      </w:r>
      <w:r w:rsidR="707E4FEF" w:rsidRPr="57EA1165">
        <w:rPr>
          <w:color w:val="auto"/>
        </w:rPr>
        <w:t xml:space="preserve">he right </w:t>
      </w:r>
      <w:r w:rsidR="53892F77" w:rsidRPr="57EA1165">
        <w:rPr>
          <w:color w:val="auto"/>
        </w:rPr>
        <w:t xml:space="preserve">talent, </w:t>
      </w:r>
      <w:proofErr w:type="gramStart"/>
      <w:r w:rsidR="707E4FEF" w:rsidRPr="57EA1165">
        <w:rPr>
          <w:color w:val="auto"/>
        </w:rPr>
        <w:t>capacity</w:t>
      </w:r>
      <w:proofErr w:type="gramEnd"/>
      <w:r w:rsidR="707E4FEF" w:rsidRPr="57EA1165">
        <w:rPr>
          <w:color w:val="auto"/>
        </w:rPr>
        <w:t xml:space="preserve"> and capability to deliver</w:t>
      </w:r>
    </w:p>
    <w:p w14:paraId="799F7D02" w14:textId="26724F1B" w:rsidR="58AB9B2B" w:rsidRDefault="707E4FEF" w:rsidP="00972D9D">
      <w:pPr>
        <w:pStyle w:val="ListParagraph"/>
        <w:numPr>
          <w:ilvl w:val="0"/>
          <w:numId w:val="24"/>
        </w:numPr>
        <w:spacing w:line="259" w:lineRule="auto"/>
        <w:ind w:left="1040"/>
        <w:rPr>
          <w:color w:val="auto"/>
        </w:rPr>
      </w:pPr>
      <w:r w:rsidRPr="57EA1165">
        <w:rPr>
          <w:color w:val="auto"/>
        </w:rPr>
        <w:t xml:space="preserve">equity, </w:t>
      </w:r>
      <w:proofErr w:type="gramStart"/>
      <w:r w:rsidRPr="57EA1165">
        <w:rPr>
          <w:color w:val="auto"/>
        </w:rPr>
        <w:t>diversity</w:t>
      </w:r>
      <w:proofErr w:type="gramEnd"/>
      <w:r w:rsidRPr="57EA1165">
        <w:rPr>
          <w:color w:val="auto"/>
        </w:rPr>
        <w:t xml:space="preserve"> and inclusion </w:t>
      </w:r>
      <w:r w:rsidR="49E06F8E" w:rsidRPr="57EA1165">
        <w:rPr>
          <w:color w:val="auto"/>
        </w:rPr>
        <w:t xml:space="preserve">embedded </w:t>
      </w:r>
      <w:r w:rsidRPr="57EA1165">
        <w:rPr>
          <w:color w:val="auto"/>
        </w:rPr>
        <w:t>in everything we do</w:t>
      </w:r>
      <w:r w:rsidR="63001148" w:rsidRPr="57EA1165">
        <w:rPr>
          <w:color w:val="auto"/>
        </w:rPr>
        <w:t>.</w:t>
      </w:r>
      <w:r w:rsidR="29BEFE41" w:rsidRPr="57EA1165">
        <w:rPr>
          <w:color w:val="auto"/>
        </w:rPr>
        <w:t xml:space="preserve"> </w:t>
      </w:r>
    </w:p>
    <w:p w14:paraId="11F3A532" w14:textId="6A7F1991" w:rsidR="3980742F" w:rsidRDefault="3980742F" w:rsidP="2A6B2722">
      <w:pPr>
        <w:jc w:val="both"/>
        <w:rPr>
          <w:color w:val="auto"/>
        </w:rPr>
      </w:pPr>
    </w:p>
    <w:p w14:paraId="02F385D7" w14:textId="1FE3E890" w:rsidR="6BAE82D8" w:rsidRPr="006C052D" w:rsidRDefault="74D3CFC6" w:rsidP="003B6A3E">
      <w:pPr>
        <w:pStyle w:val="ListParagraph"/>
        <w:numPr>
          <w:ilvl w:val="0"/>
          <w:numId w:val="29"/>
        </w:numPr>
        <w:jc w:val="both"/>
        <w:rPr>
          <w:rStyle w:val="normaltextrun"/>
          <w:b/>
          <w:bCs/>
          <w:color w:val="000000" w:themeColor="text1"/>
          <w:sz w:val="32"/>
          <w:szCs w:val="32"/>
        </w:rPr>
      </w:pPr>
      <w:r w:rsidRPr="006C052D">
        <w:rPr>
          <w:rStyle w:val="normaltextrun"/>
          <w:b/>
          <w:bCs/>
          <w:color w:val="auto"/>
          <w:sz w:val="32"/>
          <w:szCs w:val="32"/>
        </w:rPr>
        <w:t>Our Budget 2025-26</w:t>
      </w:r>
    </w:p>
    <w:p w14:paraId="68115661" w14:textId="01AA1A87" w:rsidR="3980742F" w:rsidRDefault="3980742F" w:rsidP="49996C8F">
      <w:pPr>
        <w:jc w:val="both"/>
        <w:rPr>
          <w:color w:val="auto"/>
        </w:rPr>
      </w:pPr>
    </w:p>
    <w:p w14:paraId="1ABA8B9A" w14:textId="18EBEFC0" w:rsidR="00CE1EF0" w:rsidRDefault="6A5B370D" w:rsidP="003B6A3E">
      <w:pPr>
        <w:pStyle w:val="LONBodyTextNumbered"/>
        <w:keepLines/>
        <w:numPr>
          <w:ilvl w:val="0"/>
          <w:numId w:val="33"/>
        </w:numPr>
        <w:spacing w:line="276" w:lineRule="auto"/>
        <w:jc w:val="both"/>
        <w:rPr>
          <w:color w:val="auto"/>
        </w:rPr>
      </w:pPr>
      <w:r w:rsidRPr="48E0C549">
        <w:rPr>
          <w:color w:val="auto"/>
        </w:rPr>
        <w:t xml:space="preserve">This budget has been prepared at a pivotal time for OPDC, as the organisation moves from strategic planning into </w:t>
      </w:r>
      <w:r w:rsidR="46D11313" w:rsidRPr="48E0C549">
        <w:rPr>
          <w:color w:val="auto"/>
        </w:rPr>
        <w:t xml:space="preserve">mainstream </w:t>
      </w:r>
      <w:r w:rsidRPr="48E0C549">
        <w:rPr>
          <w:color w:val="auto"/>
        </w:rPr>
        <w:t xml:space="preserve">delivery. </w:t>
      </w:r>
      <w:r w:rsidR="046614F4" w:rsidRPr="48E0C549">
        <w:rPr>
          <w:color w:val="auto"/>
        </w:rPr>
        <w:t>In 2024</w:t>
      </w:r>
      <w:r w:rsidR="218CA7FD" w:rsidRPr="48E0C549">
        <w:rPr>
          <w:color w:val="auto"/>
        </w:rPr>
        <w:t>, OPDC’s</w:t>
      </w:r>
      <w:r w:rsidR="046614F4" w:rsidRPr="48E0C549">
        <w:rPr>
          <w:color w:val="auto"/>
        </w:rPr>
        <w:t xml:space="preserve"> Outline Business Case </w:t>
      </w:r>
      <w:r w:rsidR="218CA7FD" w:rsidRPr="48E0C549">
        <w:rPr>
          <w:color w:val="auto"/>
        </w:rPr>
        <w:t xml:space="preserve">for Old Oak </w:t>
      </w:r>
      <w:r w:rsidR="046614F4" w:rsidRPr="48E0C549">
        <w:rPr>
          <w:color w:val="auto"/>
        </w:rPr>
        <w:t>was approved</w:t>
      </w:r>
      <w:r w:rsidR="218CA7FD" w:rsidRPr="48E0C549">
        <w:rPr>
          <w:color w:val="auto"/>
        </w:rPr>
        <w:t xml:space="preserve"> by central </w:t>
      </w:r>
      <w:r w:rsidR="58A22F1E" w:rsidRPr="48E0C549">
        <w:rPr>
          <w:color w:val="auto"/>
        </w:rPr>
        <w:t>g</w:t>
      </w:r>
      <w:r w:rsidR="6CCDB380" w:rsidRPr="48E0C549">
        <w:rPr>
          <w:color w:val="auto"/>
        </w:rPr>
        <w:t>overnment</w:t>
      </w:r>
      <w:r w:rsidR="046614F4" w:rsidRPr="48E0C549">
        <w:rPr>
          <w:color w:val="auto"/>
        </w:rPr>
        <w:t xml:space="preserve">, </w:t>
      </w:r>
      <w:r w:rsidR="29F5A90B" w:rsidRPr="48E0C549">
        <w:rPr>
          <w:color w:val="auto"/>
        </w:rPr>
        <w:t xml:space="preserve">establishing a framework </w:t>
      </w:r>
      <w:r w:rsidR="76EAA1CB" w:rsidRPr="48E0C549">
        <w:rPr>
          <w:color w:val="auto"/>
        </w:rPr>
        <w:t xml:space="preserve">agreement </w:t>
      </w:r>
      <w:r w:rsidR="29F5A90B" w:rsidRPr="48E0C549">
        <w:rPr>
          <w:color w:val="auto"/>
        </w:rPr>
        <w:t xml:space="preserve">between </w:t>
      </w:r>
      <w:r w:rsidR="55C7BF10" w:rsidRPr="48E0C549">
        <w:rPr>
          <w:color w:val="auto"/>
        </w:rPr>
        <w:t>OPDC,</w:t>
      </w:r>
      <w:r w:rsidR="47C02502" w:rsidRPr="48E0C549">
        <w:rPr>
          <w:color w:val="auto"/>
        </w:rPr>
        <w:t xml:space="preserve"> </w:t>
      </w:r>
      <w:r w:rsidR="29F5A90B" w:rsidRPr="48E0C549">
        <w:rPr>
          <w:color w:val="auto"/>
        </w:rPr>
        <w:t xml:space="preserve">DfT, MHCLG, HS2, </w:t>
      </w:r>
      <w:r w:rsidR="3DE14381" w:rsidRPr="48E0C549">
        <w:rPr>
          <w:color w:val="auto"/>
        </w:rPr>
        <w:t xml:space="preserve">and </w:t>
      </w:r>
      <w:r w:rsidR="29F5A90B" w:rsidRPr="48E0C549">
        <w:rPr>
          <w:color w:val="auto"/>
        </w:rPr>
        <w:t>Networ</w:t>
      </w:r>
      <w:r w:rsidR="20E445AC" w:rsidRPr="48E0C549">
        <w:rPr>
          <w:color w:val="auto"/>
        </w:rPr>
        <w:t xml:space="preserve">k </w:t>
      </w:r>
      <w:r w:rsidR="44A5AEDD" w:rsidRPr="48E0C549">
        <w:rPr>
          <w:color w:val="auto"/>
        </w:rPr>
        <w:t xml:space="preserve">Rail </w:t>
      </w:r>
      <w:r w:rsidR="44D67B21" w:rsidRPr="48E0C549">
        <w:rPr>
          <w:color w:val="auto"/>
        </w:rPr>
        <w:t>for</w:t>
      </w:r>
      <w:r w:rsidR="2392DEE4" w:rsidRPr="48E0C549">
        <w:rPr>
          <w:color w:val="auto"/>
        </w:rPr>
        <w:t xml:space="preserve"> the comprehensive transformation of Old Oak, including a pooling of public sector land and agreement that OPDC should operate as the </w:t>
      </w:r>
      <w:r w:rsidR="2CBA7B97" w:rsidRPr="48E0C549">
        <w:rPr>
          <w:color w:val="auto"/>
        </w:rPr>
        <w:t xml:space="preserve">public delivery agency on behalf of </w:t>
      </w:r>
      <w:r w:rsidR="078A69A2" w:rsidRPr="48E0C549">
        <w:rPr>
          <w:color w:val="auto"/>
        </w:rPr>
        <w:t>g</w:t>
      </w:r>
      <w:r w:rsidR="48F9DCA4" w:rsidRPr="48E0C549">
        <w:rPr>
          <w:color w:val="auto"/>
        </w:rPr>
        <w:t>overnment</w:t>
      </w:r>
      <w:r w:rsidR="2CBA7B97" w:rsidRPr="48E0C549">
        <w:rPr>
          <w:color w:val="auto"/>
        </w:rPr>
        <w:t xml:space="preserve"> and Network Rail. This was a major</w:t>
      </w:r>
      <w:r w:rsidR="046614F4" w:rsidRPr="48E0C549">
        <w:rPr>
          <w:color w:val="auto"/>
        </w:rPr>
        <w:t xml:space="preserve"> milestone for the project</w:t>
      </w:r>
      <w:r w:rsidR="6DA8E887" w:rsidRPr="48E0C549">
        <w:rPr>
          <w:color w:val="auto"/>
        </w:rPr>
        <w:t xml:space="preserve"> and opens the way to begin</w:t>
      </w:r>
      <w:r w:rsidR="4B64F7B3" w:rsidRPr="48E0C549">
        <w:rPr>
          <w:color w:val="auto"/>
        </w:rPr>
        <w:t xml:space="preserve"> </w:t>
      </w:r>
      <w:r w:rsidR="6DA8E887" w:rsidRPr="48E0C549">
        <w:rPr>
          <w:color w:val="auto"/>
        </w:rPr>
        <w:t xml:space="preserve">the procurement process to secure investment and delivery partners for </w:t>
      </w:r>
      <w:r w:rsidR="046614F4" w:rsidRPr="48E0C549">
        <w:rPr>
          <w:color w:val="auto"/>
        </w:rPr>
        <w:t>9,000 homes and 3 million square feet of workspace in a new urban district</w:t>
      </w:r>
      <w:r w:rsidR="7C438D6F" w:rsidRPr="48E0C549">
        <w:rPr>
          <w:color w:val="auto"/>
        </w:rPr>
        <w:t>,</w:t>
      </w:r>
      <w:r w:rsidR="001012DF">
        <w:rPr>
          <w:color w:val="auto"/>
        </w:rPr>
        <w:t xml:space="preserve"> </w:t>
      </w:r>
      <w:r w:rsidR="046614F4" w:rsidRPr="48E0C549">
        <w:rPr>
          <w:color w:val="auto"/>
        </w:rPr>
        <w:t>unlock</w:t>
      </w:r>
      <w:r w:rsidR="29935896" w:rsidRPr="48E0C549">
        <w:rPr>
          <w:color w:val="auto"/>
        </w:rPr>
        <w:t>ing</w:t>
      </w:r>
      <w:r w:rsidR="046614F4" w:rsidRPr="48E0C549">
        <w:rPr>
          <w:color w:val="auto"/>
        </w:rPr>
        <w:t xml:space="preserve"> a broad range of social and economic benefits. </w:t>
      </w:r>
    </w:p>
    <w:p w14:paraId="76E4C0E1" w14:textId="734D46EC" w:rsidR="000E5FD1" w:rsidRPr="00071BFC" w:rsidRDefault="6FBECE97" w:rsidP="3AA976BB">
      <w:pPr>
        <w:pStyle w:val="LONBodyTextNumbered"/>
        <w:keepLines/>
        <w:numPr>
          <w:ilvl w:val="0"/>
          <w:numId w:val="33"/>
        </w:numPr>
        <w:spacing w:line="276" w:lineRule="auto"/>
        <w:jc w:val="both"/>
        <w:rPr>
          <w:rFonts w:eastAsiaTheme="minorEastAsia"/>
          <w:color w:val="auto"/>
          <w:lang w:val="en-US"/>
        </w:rPr>
      </w:pPr>
      <w:r w:rsidRPr="3AA976BB">
        <w:rPr>
          <w:rFonts w:eastAsiaTheme="minorEastAsia"/>
          <w:color w:val="auto"/>
          <w:lang w:val="en-US"/>
        </w:rPr>
        <w:t xml:space="preserve">The 2025-26 </w:t>
      </w:r>
      <w:r w:rsidR="71F481BA" w:rsidRPr="3AA976BB">
        <w:rPr>
          <w:rFonts w:eastAsiaTheme="minorEastAsia"/>
          <w:color w:val="auto"/>
          <w:lang w:val="en-US"/>
        </w:rPr>
        <w:t xml:space="preserve">revenue and capital </w:t>
      </w:r>
      <w:r w:rsidRPr="3AA976BB">
        <w:rPr>
          <w:rFonts w:eastAsiaTheme="minorEastAsia"/>
          <w:color w:val="auto"/>
          <w:lang w:val="en-US"/>
        </w:rPr>
        <w:t>budget</w:t>
      </w:r>
      <w:r w:rsidR="6F7124ED" w:rsidRPr="3AA976BB">
        <w:rPr>
          <w:rFonts w:eastAsiaTheme="minorEastAsia"/>
          <w:color w:val="auto"/>
          <w:lang w:val="en-US"/>
        </w:rPr>
        <w:t xml:space="preserve"> </w:t>
      </w:r>
      <w:r w:rsidR="48007ECE" w:rsidRPr="3AA976BB">
        <w:rPr>
          <w:rFonts w:eastAsiaTheme="minorEastAsia"/>
          <w:color w:val="auto"/>
          <w:lang w:val="en-US"/>
        </w:rPr>
        <w:t xml:space="preserve">(as part of the Capital Strategy) </w:t>
      </w:r>
      <w:r w:rsidR="6F7124ED" w:rsidRPr="3AA976BB">
        <w:rPr>
          <w:rFonts w:eastAsiaTheme="minorEastAsia"/>
          <w:color w:val="auto"/>
          <w:lang w:val="en-US"/>
        </w:rPr>
        <w:t>reflect</w:t>
      </w:r>
      <w:r w:rsidR="317E4657" w:rsidRPr="3AA976BB">
        <w:rPr>
          <w:rFonts w:eastAsiaTheme="minorEastAsia"/>
          <w:color w:val="auto"/>
          <w:lang w:val="en-US"/>
        </w:rPr>
        <w:t>s</w:t>
      </w:r>
      <w:r w:rsidR="1D80ECF2" w:rsidRPr="3AA976BB">
        <w:rPr>
          <w:rFonts w:eastAsiaTheme="minorEastAsia"/>
          <w:color w:val="auto"/>
          <w:lang w:val="en-US"/>
        </w:rPr>
        <w:t xml:space="preserve"> a</w:t>
      </w:r>
      <w:r w:rsidR="6F7124ED" w:rsidRPr="3AA976BB">
        <w:rPr>
          <w:rFonts w:eastAsiaTheme="minorEastAsia"/>
          <w:color w:val="auto"/>
          <w:lang w:val="en-US"/>
        </w:rPr>
        <w:t xml:space="preserve"> </w:t>
      </w:r>
      <w:r w:rsidR="3A3FD4AB" w:rsidRPr="3AA976BB">
        <w:rPr>
          <w:rFonts w:eastAsiaTheme="minorEastAsia"/>
          <w:color w:val="auto"/>
          <w:lang w:val="en-US"/>
        </w:rPr>
        <w:t xml:space="preserve">significant </w:t>
      </w:r>
      <w:r w:rsidR="6F7124ED" w:rsidRPr="3AA976BB">
        <w:rPr>
          <w:rFonts w:eastAsiaTheme="minorEastAsia"/>
          <w:color w:val="auto"/>
          <w:lang w:val="en-US"/>
        </w:rPr>
        <w:t xml:space="preserve">scale-up </w:t>
      </w:r>
      <w:r w:rsidR="1BD62419" w:rsidRPr="3AA976BB">
        <w:rPr>
          <w:rFonts w:eastAsiaTheme="minorEastAsia"/>
          <w:color w:val="auto"/>
          <w:lang w:val="en-US"/>
        </w:rPr>
        <w:t xml:space="preserve">in </w:t>
      </w:r>
      <w:r w:rsidR="6F7124ED" w:rsidRPr="3AA976BB">
        <w:rPr>
          <w:rFonts w:eastAsiaTheme="minorEastAsia"/>
          <w:color w:val="auto"/>
        </w:rPr>
        <w:t>activity</w:t>
      </w:r>
      <w:r w:rsidR="0C980D9F" w:rsidRPr="3AA976BB">
        <w:rPr>
          <w:rFonts w:eastAsiaTheme="minorEastAsia"/>
          <w:color w:val="auto"/>
        </w:rPr>
        <w:t xml:space="preserve"> in t</w:t>
      </w:r>
      <w:r w:rsidR="26E92E79" w:rsidRPr="3AA976BB">
        <w:rPr>
          <w:rFonts w:eastAsiaTheme="minorEastAsia"/>
          <w:color w:val="auto"/>
        </w:rPr>
        <w:t>hree</w:t>
      </w:r>
      <w:r w:rsidR="0C980D9F" w:rsidRPr="3AA976BB">
        <w:rPr>
          <w:rFonts w:eastAsiaTheme="minorEastAsia"/>
          <w:color w:val="auto"/>
        </w:rPr>
        <w:t xml:space="preserve"> key areas</w:t>
      </w:r>
      <w:r w:rsidR="6BEEF8A6" w:rsidRPr="3AA976BB">
        <w:rPr>
          <w:rFonts w:eastAsiaTheme="minorEastAsia"/>
          <w:color w:val="auto"/>
        </w:rPr>
        <w:t>:</w:t>
      </w:r>
    </w:p>
    <w:p w14:paraId="70D32B3B" w14:textId="374ECAE2" w:rsidR="00783F9D" w:rsidRPr="004E43D9" w:rsidRDefault="001012DF" w:rsidP="3AA976BB">
      <w:pPr>
        <w:pStyle w:val="LONBodyTextNumbered"/>
        <w:keepLines/>
        <w:numPr>
          <w:ilvl w:val="0"/>
          <w:numId w:val="48"/>
        </w:numPr>
        <w:spacing w:line="276" w:lineRule="auto"/>
        <w:jc w:val="both"/>
        <w:rPr>
          <w:rFonts w:eastAsiaTheme="minorEastAsia"/>
          <w:color w:val="auto"/>
          <w:lang w:val="en-US"/>
        </w:rPr>
      </w:pPr>
      <w:r>
        <w:rPr>
          <w:rFonts w:eastAsiaTheme="minorEastAsia"/>
          <w:color w:val="auto"/>
        </w:rPr>
        <w:t>f</w:t>
      </w:r>
      <w:r w:rsidR="460AA126" w:rsidRPr="3AA976BB">
        <w:rPr>
          <w:rFonts w:eastAsiaTheme="minorEastAsia"/>
          <w:color w:val="auto"/>
        </w:rPr>
        <w:t>irst,</w:t>
      </w:r>
      <w:r w:rsidR="212131E5" w:rsidRPr="3AA976BB">
        <w:rPr>
          <w:rFonts w:eastAsiaTheme="minorEastAsia"/>
          <w:color w:val="auto"/>
        </w:rPr>
        <w:t xml:space="preserve"> </w:t>
      </w:r>
      <w:r w:rsidR="7EA5F22A" w:rsidRPr="3AA976BB">
        <w:rPr>
          <w:rFonts w:eastAsiaTheme="minorEastAsia"/>
          <w:color w:val="auto"/>
        </w:rPr>
        <w:t xml:space="preserve">we </w:t>
      </w:r>
      <w:r w:rsidR="7700633E" w:rsidRPr="3AA976BB">
        <w:rPr>
          <w:rFonts w:eastAsiaTheme="minorEastAsia"/>
          <w:color w:val="auto"/>
        </w:rPr>
        <w:t xml:space="preserve">will </w:t>
      </w:r>
      <w:r w:rsidR="2B95DF0A" w:rsidRPr="3AA976BB">
        <w:rPr>
          <w:rFonts w:eastAsiaTheme="minorEastAsia"/>
          <w:color w:val="auto"/>
        </w:rPr>
        <w:t xml:space="preserve">progress </w:t>
      </w:r>
      <w:r w:rsidR="7807668F" w:rsidRPr="3AA976BB">
        <w:rPr>
          <w:rFonts w:eastAsiaTheme="minorEastAsia"/>
          <w:color w:val="auto"/>
        </w:rPr>
        <w:t xml:space="preserve">the </w:t>
      </w:r>
      <w:r w:rsidR="2B95DF0A" w:rsidRPr="3AA976BB">
        <w:rPr>
          <w:rFonts w:eastAsiaTheme="minorEastAsia"/>
          <w:color w:val="auto"/>
        </w:rPr>
        <w:t xml:space="preserve">procurement </w:t>
      </w:r>
      <w:r w:rsidR="20D430FC" w:rsidRPr="3AA976BB">
        <w:rPr>
          <w:rFonts w:eastAsiaTheme="minorEastAsia"/>
          <w:color w:val="auto"/>
        </w:rPr>
        <w:t xml:space="preserve">process to secure </w:t>
      </w:r>
      <w:r w:rsidR="7CE90B3C" w:rsidRPr="3AA976BB">
        <w:rPr>
          <w:rFonts w:eastAsiaTheme="minorEastAsia"/>
          <w:color w:val="auto"/>
        </w:rPr>
        <w:t>our</w:t>
      </w:r>
      <w:r w:rsidR="2B95DF0A" w:rsidRPr="3AA976BB">
        <w:rPr>
          <w:rFonts w:eastAsiaTheme="minorEastAsia"/>
          <w:color w:val="auto"/>
        </w:rPr>
        <w:t xml:space="preserve"> </w:t>
      </w:r>
      <w:r w:rsidR="7FD94C8A" w:rsidRPr="3AA976BB">
        <w:rPr>
          <w:rFonts w:eastAsiaTheme="minorEastAsia"/>
          <w:color w:val="auto"/>
        </w:rPr>
        <w:t xml:space="preserve">delivery </w:t>
      </w:r>
      <w:r w:rsidR="261F35F7" w:rsidRPr="3AA976BB">
        <w:rPr>
          <w:rFonts w:eastAsiaTheme="minorEastAsia"/>
          <w:color w:val="auto"/>
        </w:rPr>
        <w:t xml:space="preserve">and investment </w:t>
      </w:r>
      <w:r w:rsidR="7FD94C8A" w:rsidRPr="3AA976BB">
        <w:rPr>
          <w:rFonts w:eastAsiaTheme="minorEastAsia"/>
          <w:color w:val="auto"/>
        </w:rPr>
        <w:t>partner</w:t>
      </w:r>
      <w:r w:rsidR="7A6FA55B" w:rsidRPr="3AA976BB">
        <w:rPr>
          <w:rFonts w:eastAsiaTheme="minorEastAsia"/>
          <w:color w:val="auto"/>
        </w:rPr>
        <w:t>/s</w:t>
      </w:r>
      <w:r w:rsidR="06ED0FC7" w:rsidRPr="3AA976BB">
        <w:rPr>
          <w:rFonts w:eastAsiaTheme="minorEastAsia"/>
          <w:color w:val="auto"/>
        </w:rPr>
        <w:t>. This will be a major undertaking, reaching out to a global market</w:t>
      </w:r>
    </w:p>
    <w:p w14:paraId="402984A9" w14:textId="30573254" w:rsidR="00783F9D" w:rsidRPr="004E43D9" w:rsidRDefault="001012DF" w:rsidP="3AA976BB">
      <w:pPr>
        <w:pStyle w:val="LONBodyTextNumbered"/>
        <w:keepLines/>
        <w:numPr>
          <w:ilvl w:val="0"/>
          <w:numId w:val="48"/>
        </w:numPr>
        <w:spacing w:line="276" w:lineRule="auto"/>
        <w:jc w:val="both"/>
        <w:rPr>
          <w:rFonts w:eastAsiaTheme="minorEastAsia"/>
          <w:color w:val="auto"/>
          <w:lang w:val="en-US"/>
        </w:rPr>
      </w:pPr>
      <w:r>
        <w:rPr>
          <w:rFonts w:eastAsiaTheme="minorEastAsia"/>
          <w:color w:val="auto"/>
        </w:rPr>
        <w:t>s</w:t>
      </w:r>
      <w:r w:rsidR="5BDF0E08" w:rsidRPr="3AA976BB">
        <w:rPr>
          <w:rFonts w:eastAsiaTheme="minorEastAsia"/>
          <w:color w:val="auto"/>
        </w:rPr>
        <w:t xml:space="preserve">econd, we </w:t>
      </w:r>
      <w:r w:rsidR="3D4954D0" w:rsidRPr="3AA976BB">
        <w:rPr>
          <w:rFonts w:eastAsiaTheme="minorEastAsia"/>
          <w:color w:val="auto"/>
        </w:rPr>
        <w:t>will</w:t>
      </w:r>
      <w:r w:rsidR="39A87153" w:rsidRPr="3AA976BB">
        <w:rPr>
          <w:rFonts w:eastAsiaTheme="minorEastAsia"/>
          <w:color w:val="auto"/>
        </w:rPr>
        <w:t xml:space="preserve"> </w:t>
      </w:r>
      <w:r w:rsidR="6FBB0CF8" w:rsidRPr="3AA976BB">
        <w:rPr>
          <w:rFonts w:eastAsiaTheme="minorEastAsia"/>
          <w:color w:val="auto"/>
        </w:rPr>
        <w:t xml:space="preserve">complete </w:t>
      </w:r>
      <w:r w:rsidR="5FB71BF0" w:rsidRPr="3AA976BB">
        <w:rPr>
          <w:rFonts w:eastAsiaTheme="minorEastAsia"/>
          <w:color w:val="auto"/>
        </w:rPr>
        <w:t xml:space="preserve">the </w:t>
      </w:r>
      <w:r w:rsidR="6FBB0CF8" w:rsidRPr="3AA976BB">
        <w:rPr>
          <w:rFonts w:eastAsiaTheme="minorEastAsia"/>
          <w:color w:val="auto"/>
        </w:rPr>
        <w:t xml:space="preserve">assembly </w:t>
      </w:r>
      <w:r w:rsidR="50DB62C2" w:rsidRPr="3AA976BB">
        <w:rPr>
          <w:rFonts w:eastAsiaTheme="minorEastAsia"/>
          <w:color w:val="auto"/>
        </w:rPr>
        <w:t xml:space="preserve">and organisation </w:t>
      </w:r>
      <w:r w:rsidR="023C9150" w:rsidRPr="3AA976BB">
        <w:rPr>
          <w:rFonts w:eastAsiaTheme="minorEastAsia"/>
          <w:color w:val="auto"/>
        </w:rPr>
        <w:t xml:space="preserve">of </w:t>
      </w:r>
      <w:r w:rsidR="10507498" w:rsidRPr="3AA976BB">
        <w:rPr>
          <w:rFonts w:eastAsiaTheme="minorEastAsia"/>
          <w:color w:val="auto"/>
        </w:rPr>
        <w:t xml:space="preserve">both </w:t>
      </w:r>
      <w:r w:rsidR="3A6476BD" w:rsidRPr="3AA976BB">
        <w:rPr>
          <w:rFonts w:eastAsiaTheme="minorEastAsia"/>
          <w:color w:val="auto"/>
        </w:rPr>
        <w:t xml:space="preserve">the </w:t>
      </w:r>
      <w:r w:rsidR="10507498" w:rsidRPr="3AA976BB">
        <w:rPr>
          <w:rFonts w:eastAsiaTheme="minorEastAsia"/>
          <w:color w:val="auto"/>
        </w:rPr>
        <w:t>public and pri</w:t>
      </w:r>
      <w:r w:rsidR="460452AE" w:rsidRPr="3AA976BB">
        <w:rPr>
          <w:rFonts w:eastAsiaTheme="minorEastAsia"/>
          <w:color w:val="auto"/>
        </w:rPr>
        <w:t xml:space="preserve">vate </w:t>
      </w:r>
      <w:r w:rsidR="023C9150" w:rsidRPr="3AA976BB">
        <w:rPr>
          <w:rFonts w:eastAsiaTheme="minorEastAsia"/>
          <w:color w:val="auto"/>
        </w:rPr>
        <w:t>land</w:t>
      </w:r>
      <w:r w:rsidR="201ECAD1" w:rsidRPr="3AA976BB">
        <w:rPr>
          <w:rFonts w:eastAsiaTheme="minorEastAsia"/>
          <w:color w:val="auto"/>
        </w:rPr>
        <w:t xml:space="preserve"> </w:t>
      </w:r>
      <w:r w:rsidR="04A891E7" w:rsidRPr="3AA976BB">
        <w:rPr>
          <w:rFonts w:eastAsiaTheme="minorEastAsia"/>
          <w:color w:val="auto"/>
        </w:rPr>
        <w:t xml:space="preserve">at Old Oak. This will include further negotiation for private sites via </w:t>
      </w:r>
      <w:r w:rsidR="24D93D9B" w:rsidRPr="3AA976BB">
        <w:rPr>
          <w:rFonts w:eastAsiaTheme="minorEastAsia"/>
          <w:color w:val="auto"/>
        </w:rPr>
        <w:t>private treaty</w:t>
      </w:r>
      <w:r w:rsidR="04A891E7" w:rsidRPr="3AA976BB">
        <w:rPr>
          <w:rFonts w:eastAsiaTheme="minorEastAsia"/>
          <w:color w:val="auto"/>
        </w:rPr>
        <w:t xml:space="preserve">, </w:t>
      </w:r>
      <w:r w:rsidR="1E0E81AE" w:rsidRPr="3AA976BB">
        <w:rPr>
          <w:rFonts w:eastAsiaTheme="minorEastAsia"/>
          <w:color w:val="auto"/>
        </w:rPr>
        <w:t xml:space="preserve">preparing a compulsory purchase programme to ensure full and clean title of development sites, and </w:t>
      </w:r>
      <w:r w:rsidR="460FB103" w:rsidRPr="3AA976BB">
        <w:rPr>
          <w:rFonts w:eastAsiaTheme="minorEastAsia"/>
          <w:color w:val="auto"/>
        </w:rPr>
        <w:t>finalising</w:t>
      </w:r>
      <w:r w:rsidR="1E0E81AE" w:rsidRPr="3AA976BB">
        <w:rPr>
          <w:rFonts w:eastAsiaTheme="minorEastAsia"/>
          <w:color w:val="auto"/>
        </w:rPr>
        <w:t xml:space="preserve"> legal </w:t>
      </w:r>
      <w:r w:rsidR="266494F3" w:rsidRPr="3AA976BB">
        <w:rPr>
          <w:rFonts w:eastAsiaTheme="minorEastAsia"/>
          <w:color w:val="auto"/>
        </w:rPr>
        <w:t>land</w:t>
      </w:r>
      <w:r w:rsidR="489BBEF5" w:rsidRPr="3AA976BB">
        <w:rPr>
          <w:rFonts w:eastAsiaTheme="minorEastAsia"/>
          <w:color w:val="auto"/>
        </w:rPr>
        <w:t xml:space="preserve"> and collaboration</w:t>
      </w:r>
      <w:r w:rsidR="266494F3" w:rsidRPr="3AA976BB">
        <w:rPr>
          <w:rFonts w:eastAsiaTheme="minorEastAsia"/>
          <w:color w:val="auto"/>
        </w:rPr>
        <w:t xml:space="preserve"> </w:t>
      </w:r>
      <w:r w:rsidR="4FAD3009" w:rsidRPr="3AA976BB">
        <w:rPr>
          <w:rFonts w:eastAsiaTheme="minorEastAsia"/>
          <w:color w:val="auto"/>
        </w:rPr>
        <w:t>agreements</w:t>
      </w:r>
      <w:r w:rsidR="5AF33778" w:rsidRPr="3AA976BB">
        <w:rPr>
          <w:rFonts w:eastAsiaTheme="minorEastAsia"/>
          <w:color w:val="auto"/>
        </w:rPr>
        <w:t xml:space="preserve"> with government and rail agencies</w:t>
      </w:r>
    </w:p>
    <w:p w14:paraId="421CB45D" w14:textId="4B9CEC2F" w:rsidR="000E5FD1" w:rsidRPr="00071BFC" w:rsidRDefault="001012DF" w:rsidP="3AA976BB">
      <w:pPr>
        <w:pStyle w:val="LONBodyTextNumbered"/>
        <w:keepLines/>
        <w:numPr>
          <w:ilvl w:val="0"/>
          <w:numId w:val="48"/>
        </w:numPr>
        <w:spacing w:line="276" w:lineRule="auto"/>
        <w:jc w:val="both"/>
        <w:rPr>
          <w:rFonts w:eastAsiaTheme="minorEastAsia"/>
          <w:color w:val="auto"/>
          <w:lang w:val="en-US"/>
        </w:rPr>
      </w:pPr>
      <w:r>
        <w:rPr>
          <w:rFonts w:eastAsiaTheme="minorEastAsia"/>
          <w:color w:val="auto"/>
        </w:rPr>
        <w:t>t</w:t>
      </w:r>
      <w:r w:rsidR="05DAA2A7" w:rsidRPr="3AA976BB">
        <w:rPr>
          <w:rFonts w:eastAsiaTheme="minorEastAsia"/>
          <w:color w:val="auto"/>
        </w:rPr>
        <w:t xml:space="preserve">hird, we will </w:t>
      </w:r>
      <w:r w:rsidR="1DDEE8EB" w:rsidRPr="3AA976BB">
        <w:rPr>
          <w:rFonts w:eastAsiaTheme="minorEastAsia"/>
          <w:color w:val="auto"/>
        </w:rPr>
        <w:t xml:space="preserve">develop </w:t>
      </w:r>
      <w:r w:rsidR="77EF9FDB" w:rsidRPr="3AA976BB">
        <w:rPr>
          <w:rFonts w:eastAsiaTheme="minorEastAsia"/>
          <w:color w:val="auto"/>
        </w:rPr>
        <w:t xml:space="preserve">detailed </w:t>
      </w:r>
      <w:r w:rsidR="067A5CA8" w:rsidRPr="3AA976BB">
        <w:rPr>
          <w:rFonts w:eastAsiaTheme="minorEastAsia"/>
          <w:color w:val="auto"/>
        </w:rPr>
        <w:t>scheme</w:t>
      </w:r>
      <w:r w:rsidR="7ED972D9" w:rsidRPr="3AA976BB">
        <w:rPr>
          <w:rFonts w:eastAsiaTheme="minorEastAsia"/>
          <w:color w:val="auto"/>
        </w:rPr>
        <w:t xml:space="preserve"> </w:t>
      </w:r>
      <w:r w:rsidR="067A5CA8" w:rsidRPr="3AA976BB">
        <w:rPr>
          <w:rFonts w:eastAsiaTheme="minorEastAsia"/>
          <w:color w:val="auto"/>
        </w:rPr>
        <w:t>design</w:t>
      </w:r>
      <w:r w:rsidR="43EDB9FA" w:rsidRPr="3AA976BB">
        <w:rPr>
          <w:rFonts w:eastAsiaTheme="minorEastAsia"/>
          <w:color w:val="auto"/>
        </w:rPr>
        <w:t xml:space="preserve"> and infrastructure planning for Old Oak</w:t>
      </w:r>
      <w:r w:rsidR="20116CE3" w:rsidRPr="3AA976BB">
        <w:rPr>
          <w:rFonts w:eastAsiaTheme="minorEastAsia"/>
          <w:color w:val="auto"/>
        </w:rPr>
        <w:t xml:space="preserve">, </w:t>
      </w:r>
      <w:r w:rsidR="707B2DDB" w:rsidRPr="3AA976BB">
        <w:rPr>
          <w:rFonts w:eastAsiaTheme="minorEastAsia"/>
          <w:color w:val="auto"/>
          <w:lang w:val="en-US"/>
        </w:rPr>
        <w:t xml:space="preserve">working closely with </w:t>
      </w:r>
      <w:proofErr w:type="spellStart"/>
      <w:r w:rsidR="7B5542A8" w:rsidRPr="3AA976BB">
        <w:rPr>
          <w:rFonts w:eastAsiaTheme="minorEastAsia"/>
          <w:color w:val="auto"/>
          <w:lang w:val="en-US"/>
        </w:rPr>
        <w:t>DfT</w:t>
      </w:r>
      <w:proofErr w:type="spellEnd"/>
      <w:r w:rsidR="09427D21" w:rsidRPr="3AA976BB">
        <w:rPr>
          <w:rFonts w:eastAsiaTheme="minorEastAsia"/>
          <w:color w:val="auto"/>
          <w:lang w:val="en-US"/>
        </w:rPr>
        <w:t>,</w:t>
      </w:r>
      <w:r w:rsidR="7B5542A8" w:rsidRPr="3AA976BB">
        <w:rPr>
          <w:rFonts w:eastAsiaTheme="minorEastAsia"/>
          <w:color w:val="auto"/>
          <w:lang w:val="en-US"/>
        </w:rPr>
        <w:t xml:space="preserve"> </w:t>
      </w:r>
      <w:r w:rsidR="2FE13FC0" w:rsidRPr="3AA976BB">
        <w:rPr>
          <w:rFonts w:eastAsiaTheme="minorEastAsia"/>
          <w:color w:val="auto"/>
          <w:lang w:val="en-US"/>
        </w:rPr>
        <w:t>MHCLG,</w:t>
      </w:r>
      <w:r w:rsidR="09427D21" w:rsidRPr="3AA976BB">
        <w:rPr>
          <w:rFonts w:eastAsiaTheme="minorEastAsia"/>
          <w:color w:val="auto"/>
          <w:lang w:val="en-US"/>
        </w:rPr>
        <w:t xml:space="preserve"> Homes England</w:t>
      </w:r>
      <w:r w:rsidR="19232DEE" w:rsidRPr="3AA976BB">
        <w:rPr>
          <w:rFonts w:eastAsiaTheme="minorEastAsia"/>
          <w:color w:val="auto"/>
          <w:lang w:val="en-US"/>
        </w:rPr>
        <w:t xml:space="preserve">, </w:t>
      </w:r>
      <w:r w:rsidR="18C3D15A" w:rsidRPr="3AA976BB">
        <w:rPr>
          <w:rFonts w:eastAsiaTheme="minorEastAsia"/>
          <w:color w:val="auto"/>
          <w:lang w:val="en-US"/>
        </w:rPr>
        <w:t>HS2 and Network Rail</w:t>
      </w:r>
    </w:p>
    <w:p w14:paraId="06726858" w14:textId="3AC6DAA4" w:rsidR="000E5FD1" w:rsidRDefault="71A676A9" w:rsidP="003B6A3E">
      <w:pPr>
        <w:pStyle w:val="LONBodyTextNumbered"/>
        <w:keepLines/>
        <w:numPr>
          <w:ilvl w:val="0"/>
          <w:numId w:val="33"/>
        </w:numPr>
        <w:spacing w:line="276" w:lineRule="auto"/>
        <w:jc w:val="both"/>
        <w:rPr>
          <w:color w:val="auto"/>
        </w:rPr>
      </w:pPr>
      <w:r w:rsidRPr="3AA976BB">
        <w:rPr>
          <w:color w:val="auto"/>
        </w:rPr>
        <w:t xml:space="preserve">OPDC’s 2025-26 budget includes the costs of administering </w:t>
      </w:r>
      <w:r w:rsidR="2FA993B7" w:rsidRPr="3AA976BB">
        <w:rPr>
          <w:color w:val="auto"/>
        </w:rPr>
        <w:t>our</w:t>
      </w:r>
      <w:r w:rsidRPr="3AA976BB">
        <w:rPr>
          <w:color w:val="auto"/>
        </w:rPr>
        <w:t xml:space="preserve"> existing and expanding statutory planning activities; funding to support interventions in Park Royal to boost the productivity and sustainability of London’s largest industrial estate,</w:t>
      </w:r>
      <w:r w:rsidR="4B18034B" w:rsidRPr="3AA976BB">
        <w:rPr>
          <w:color w:val="auto"/>
        </w:rPr>
        <w:t xml:space="preserve"> </w:t>
      </w:r>
      <w:r w:rsidR="6E007C4A" w:rsidRPr="3AA976BB">
        <w:rPr>
          <w:color w:val="auto"/>
        </w:rPr>
        <w:t xml:space="preserve">an </w:t>
      </w:r>
      <w:r w:rsidR="78D33A96" w:rsidRPr="3AA976BB">
        <w:rPr>
          <w:color w:val="auto"/>
        </w:rPr>
        <w:t xml:space="preserve">inclusive </w:t>
      </w:r>
      <w:r w:rsidRPr="3AA976BB">
        <w:rPr>
          <w:color w:val="auto"/>
        </w:rPr>
        <w:t xml:space="preserve">community engagement </w:t>
      </w:r>
      <w:r w:rsidR="5D57821C" w:rsidRPr="3AA976BB">
        <w:rPr>
          <w:color w:val="auto"/>
        </w:rPr>
        <w:t xml:space="preserve">programme, </w:t>
      </w:r>
      <w:r w:rsidRPr="3AA976BB">
        <w:rPr>
          <w:color w:val="auto"/>
        </w:rPr>
        <w:t>and support to bring forward early development sites.</w:t>
      </w:r>
    </w:p>
    <w:p w14:paraId="0A22E069" w14:textId="22ECEF34" w:rsidR="00A64FB8" w:rsidRDefault="73AE7CBA" w:rsidP="003B6A3E">
      <w:pPr>
        <w:pStyle w:val="LONBodyTextNumbered"/>
        <w:keepLines/>
        <w:numPr>
          <w:ilvl w:val="0"/>
          <w:numId w:val="33"/>
        </w:numPr>
        <w:spacing w:line="276" w:lineRule="auto"/>
        <w:jc w:val="both"/>
        <w:rPr>
          <w:color w:val="auto"/>
          <w:lang w:val="en-US"/>
        </w:rPr>
      </w:pPr>
      <w:r w:rsidRPr="3AA976BB">
        <w:rPr>
          <w:color w:val="auto"/>
        </w:rPr>
        <w:t xml:space="preserve">The 2025-26 budget builds on </w:t>
      </w:r>
      <w:r w:rsidR="01BA1FF2" w:rsidRPr="3AA976BB">
        <w:rPr>
          <w:color w:val="auto"/>
        </w:rPr>
        <w:t xml:space="preserve">the successes and key milestones </w:t>
      </w:r>
      <w:r w:rsidR="0BA2CED5" w:rsidRPr="3AA976BB">
        <w:rPr>
          <w:color w:val="auto"/>
        </w:rPr>
        <w:t>over the past</w:t>
      </w:r>
      <w:r w:rsidR="74249734" w:rsidRPr="3AA976BB">
        <w:rPr>
          <w:color w:val="auto"/>
        </w:rPr>
        <w:t xml:space="preserve"> two</w:t>
      </w:r>
      <w:r w:rsidR="0BA2CED5" w:rsidRPr="3AA976BB">
        <w:rPr>
          <w:color w:val="auto"/>
        </w:rPr>
        <w:t xml:space="preserve"> year</w:t>
      </w:r>
      <w:r w:rsidRPr="3AA976BB">
        <w:rPr>
          <w:color w:val="auto"/>
        </w:rPr>
        <w:t>s</w:t>
      </w:r>
      <w:r w:rsidR="7331FC72" w:rsidRPr="3AA976BB">
        <w:rPr>
          <w:color w:val="auto"/>
        </w:rPr>
        <w:t xml:space="preserve"> which include</w:t>
      </w:r>
      <w:r w:rsidR="47C44001" w:rsidRPr="3AA976BB">
        <w:rPr>
          <w:color w:val="auto"/>
        </w:rPr>
        <w:t>:</w:t>
      </w:r>
    </w:p>
    <w:p w14:paraId="68E349D7" w14:textId="1623B97A" w:rsidR="00F7459A" w:rsidRDefault="00C7006B" w:rsidP="003B6A3E">
      <w:pPr>
        <w:pStyle w:val="LONBodyTextNumbered"/>
        <w:keepLines/>
        <w:numPr>
          <w:ilvl w:val="0"/>
          <w:numId w:val="28"/>
        </w:numPr>
        <w:spacing w:after="0" w:line="276" w:lineRule="auto"/>
        <w:jc w:val="both"/>
        <w:rPr>
          <w:color w:val="auto"/>
          <w:lang w:val="en-US"/>
        </w:rPr>
      </w:pPr>
      <w:r w:rsidRPr="48E0C549">
        <w:rPr>
          <w:rFonts w:eastAsiaTheme="minorEastAsia"/>
          <w:color w:val="auto"/>
        </w:rPr>
        <w:lastRenderedPageBreak/>
        <w:t>s</w:t>
      </w:r>
      <w:r w:rsidR="77DA32EA" w:rsidRPr="48E0C549">
        <w:rPr>
          <w:rFonts w:eastAsiaTheme="minorEastAsia"/>
          <w:color w:val="auto"/>
        </w:rPr>
        <w:t xml:space="preserve">ecuring </w:t>
      </w:r>
      <w:r w:rsidR="6B95D55B" w:rsidRPr="48E0C549">
        <w:rPr>
          <w:rFonts w:eastAsiaTheme="minorEastAsia"/>
          <w:color w:val="auto"/>
        </w:rPr>
        <w:t>the</w:t>
      </w:r>
      <w:r w:rsidR="00687399">
        <w:rPr>
          <w:rFonts w:eastAsiaTheme="minorEastAsia"/>
          <w:color w:val="auto"/>
        </w:rPr>
        <w:t xml:space="preserve"> circa</w:t>
      </w:r>
      <w:r w:rsidR="53629DC7" w:rsidRPr="48E0C549">
        <w:rPr>
          <w:rFonts w:eastAsiaTheme="minorEastAsia"/>
          <w:color w:val="auto"/>
        </w:rPr>
        <w:t xml:space="preserve"> 90</w:t>
      </w:r>
      <w:r w:rsidR="6FEF7DCF" w:rsidRPr="48E0C549">
        <w:rPr>
          <w:rFonts w:eastAsiaTheme="minorEastAsia"/>
          <w:color w:val="auto"/>
        </w:rPr>
        <w:t xml:space="preserve"> per cent</w:t>
      </w:r>
      <w:r w:rsidR="53629DC7" w:rsidRPr="48E0C549">
        <w:rPr>
          <w:rFonts w:eastAsiaTheme="minorEastAsia"/>
          <w:color w:val="auto"/>
        </w:rPr>
        <w:t xml:space="preserve"> of the private land </w:t>
      </w:r>
      <w:r w:rsidR="22CC5626" w:rsidRPr="48E0C549">
        <w:rPr>
          <w:rFonts w:eastAsiaTheme="minorEastAsia"/>
          <w:color w:val="auto"/>
        </w:rPr>
        <w:t>required</w:t>
      </w:r>
      <w:r w:rsidR="53629DC7" w:rsidRPr="48E0C549">
        <w:rPr>
          <w:rFonts w:eastAsiaTheme="minorEastAsia"/>
          <w:color w:val="auto"/>
        </w:rPr>
        <w:t xml:space="preserve"> for the </w:t>
      </w:r>
      <w:r w:rsidR="2103B637" w:rsidRPr="48E0C549">
        <w:rPr>
          <w:rFonts w:eastAsiaTheme="minorEastAsia"/>
          <w:color w:val="auto"/>
        </w:rPr>
        <w:t xml:space="preserve">Old Oak regeneration </w:t>
      </w:r>
      <w:r w:rsidR="53629DC7" w:rsidRPr="48E0C549">
        <w:rPr>
          <w:rFonts w:eastAsiaTheme="minorEastAsia"/>
          <w:color w:val="auto"/>
        </w:rPr>
        <w:t>scheme and</w:t>
      </w:r>
      <w:r w:rsidR="77E1B530" w:rsidRPr="48E0C549">
        <w:rPr>
          <w:rFonts w:eastAsiaTheme="minorEastAsia"/>
          <w:color w:val="auto"/>
        </w:rPr>
        <w:t xml:space="preserve"> </w:t>
      </w:r>
      <w:r w:rsidR="53629DC7" w:rsidRPr="48E0C549">
        <w:rPr>
          <w:rFonts w:eastAsiaTheme="minorEastAsia"/>
          <w:color w:val="auto"/>
        </w:rPr>
        <w:t>undertak</w:t>
      </w:r>
      <w:r w:rsidR="04DAA4F7" w:rsidRPr="48E0C549">
        <w:rPr>
          <w:rFonts w:eastAsiaTheme="minorEastAsia"/>
          <w:color w:val="auto"/>
        </w:rPr>
        <w:t>ing</w:t>
      </w:r>
      <w:r w:rsidR="53629DC7" w:rsidRPr="48E0C549">
        <w:rPr>
          <w:rFonts w:eastAsiaTheme="minorEastAsia"/>
          <w:color w:val="auto"/>
        </w:rPr>
        <w:t xml:space="preserve"> much of the preparatory work ahead of a</w:t>
      </w:r>
      <w:r w:rsidR="65605F99" w:rsidRPr="48E0C549">
        <w:rPr>
          <w:rFonts w:eastAsiaTheme="minorEastAsia"/>
          <w:color w:val="auto"/>
        </w:rPr>
        <w:t xml:space="preserve"> decision </w:t>
      </w:r>
      <w:r w:rsidR="53629DC7" w:rsidRPr="48E0C549">
        <w:rPr>
          <w:rFonts w:eastAsiaTheme="minorEastAsia"/>
          <w:color w:val="auto"/>
        </w:rPr>
        <w:t xml:space="preserve">to </w:t>
      </w:r>
      <w:r w:rsidR="4D0BDD74" w:rsidRPr="48E0C549">
        <w:rPr>
          <w:rFonts w:eastAsiaTheme="minorEastAsia"/>
          <w:color w:val="auto"/>
        </w:rPr>
        <w:t>commence a</w:t>
      </w:r>
      <w:r w:rsidRPr="48E0C549">
        <w:rPr>
          <w:rFonts w:eastAsiaTheme="minorEastAsia"/>
          <w:color w:val="auto"/>
        </w:rPr>
        <w:t xml:space="preserve"> </w:t>
      </w:r>
      <w:r w:rsidR="53629DC7" w:rsidRPr="48E0C549">
        <w:rPr>
          <w:rFonts w:eastAsiaTheme="minorEastAsia"/>
          <w:color w:val="auto"/>
        </w:rPr>
        <w:t xml:space="preserve">Compulsory Purchase </w:t>
      </w:r>
      <w:r w:rsidR="5DE41F28" w:rsidRPr="48E0C549">
        <w:rPr>
          <w:rFonts w:eastAsiaTheme="minorEastAsia"/>
          <w:color w:val="auto"/>
        </w:rPr>
        <w:t>process</w:t>
      </w:r>
    </w:p>
    <w:p w14:paraId="72E061E1" w14:textId="4A74EEAF" w:rsidR="004B5A36" w:rsidRPr="004B5A36" w:rsidRDefault="1EBABB9D" w:rsidP="003B6A3E">
      <w:pPr>
        <w:pStyle w:val="LONBodyTextNumbered"/>
        <w:keepLines/>
        <w:numPr>
          <w:ilvl w:val="0"/>
          <w:numId w:val="28"/>
        </w:numPr>
        <w:spacing w:after="0" w:line="276" w:lineRule="auto"/>
        <w:jc w:val="both"/>
        <w:rPr>
          <w:color w:val="auto"/>
          <w:lang w:val="en-US"/>
        </w:rPr>
      </w:pPr>
      <w:r w:rsidRPr="48E0C549">
        <w:rPr>
          <w:rFonts w:eastAsiaTheme="minorEastAsia"/>
          <w:color w:val="auto"/>
        </w:rPr>
        <w:t>s</w:t>
      </w:r>
      <w:r w:rsidR="1BA96B70" w:rsidRPr="48E0C549">
        <w:rPr>
          <w:rFonts w:eastAsiaTheme="minorEastAsia"/>
          <w:color w:val="auto"/>
        </w:rPr>
        <w:t xml:space="preserve">ecuring </w:t>
      </w:r>
      <w:r w:rsidR="238E3400" w:rsidRPr="48E0C549">
        <w:rPr>
          <w:rFonts w:eastAsiaTheme="minorEastAsia"/>
          <w:color w:val="auto"/>
        </w:rPr>
        <w:t>funding to e</w:t>
      </w:r>
      <w:r w:rsidR="3C18EEEB" w:rsidRPr="48E0C549">
        <w:rPr>
          <w:rFonts w:eastAsiaTheme="minorEastAsia"/>
          <w:color w:val="auto"/>
        </w:rPr>
        <w:t xml:space="preserve">mbark on </w:t>
      </w:r>
      <w:r w:rsidR="2497DFAA" w:rsidRPr="48E0C549">
        <w:rPr>
          <w:rFonts w:eastAsiaTheme="minorEastAsia"/>
          <w:color w:val="auto"/>
        </w:rPr>
        <w:t xml:space="preserve">the </w:t>
      </w:r>
      <w:r w:rsidR="10E67D2E" w:rsidRPr="48E0C549">
        <w:rPr>
          <w:rFonts w:eastAsiaTheme="minorEastAsia"/>
          <w:color w:val="auto"/>
        </w:rPr>
        <w:t>procurement</w:t>
      </w:r>
      <w:r w:rsidR="273DBC87" w:rsidRPr="48E0C549">
        <w:rPr>
          <w:rFonts w:eastAsiaTheme="minorEastAsia"/>
          <w:color w:val="auto"/>
        </w:rPr>
        <w:t xml:space="preserve"> </w:t>
      </w:r>
      <w:r w:rsidR="0C580B73" w:rsidRPr="48E0C549">
        <w:rPr>
          <w:rFonts w:eastAsiaTheme="minorEastAsia"/>
          <w:color w:val="auto"/>
        </w:rPr>
        <w:t>to deliver</w:t>
      </w:r>
      <w:r w:rsidR="273DBC87" w:rsidRPr="48E0C549">
        <w:rPr>
          <w:rFonts w:eastAsiaTheme="minorEastAsia"/>
          <w:color w:val="auto"/>
        </w:rPr>
        <w:t xml:space="preserve"> </w:t>
      </w:r>
      <w:r w:rsidR="4D6D117C" w:rsidRPr="48E0C549">
        <w:rPr>
          <w:rFonts w:eastAsiaTheme="minorEastAsia"/>
          <w:color w:val="auto"/>
        </w:rPr>
        <w:t>an innovative</w:t>
      </w:r>
      <w:r w:rsidR="273DBC87" w:rsidRPr="48E0C549">
        <w:rPr>
          <w:rFonts w:eastAsiaTheme="minorEastAsia"/>
          <w:color w:val="auto"/>
        </w:rPr>
        <w:t xml:space="preserve"> heat network </w:t>
      </w:r>
      <w:r w:rsidR="798CFF42" w:rsidRPr="48E0C549">
        <w:rPr>
          <w:rFonts w:eastAsiaTheme="minorEastAsia"/>
          <w:color w:val="auto"/>
        </w:rPr>
        <w:t xml:space="preserve">project </w:t>
      </w:r>
      <w:r w:rsidR="449C67A9" w:rsidRPr="48E0C549">
        <w:rPr>
          <w:rFonts w:eastAsiaTheme="minorEastAsia"/>
          <w:color w:val="auto"/>
        </w:rPr>
        <w:t xml:space="preserve">to </w:t>
      </w:r>
      <w:r w:rsidR="46D8B5E9" w:rsidRPr="48E0C549">
        <w:rPr>
          <w:rFonts w:eastAsiaTheme="minorEastAsia"/>
          <w:color w:val="auto"/>
        </w:rPr>
        <w:t>supply</w:t>
      </w:r>
      <w:r w:rsidR="449C67A9" w:rsidRPr="48E0C549">
        <w:rPr>
          <w:rFonts w:eastAsiaTheme="minorEastAsia"/>
          <w:color w:val="auto"/>
        </w:rPr>
        <w:t xml:space="preserve"> sustainable energy and support</w:t>
      </w:r>
      <w:r w:rsidR="00C7006B" w:rsidRPr="48E0C549">
        <w:rPr>
          <w:rFonts w:eastAsiaTheme="minorEastAsia"/>
          <w:color w:val="auto"/>
        </w:rPr>
        <w:t xml:space="preserve"> </w:t>
      </w:r>
      <w:r w:rsidR="273DBC87" w:rsidRPr="48E0C549">
        <w:rPr>
          <w:rFonts w:eastAsiaTheme="minorEastAsia"/>
          <w:color w:val="auto"/>
        </w:rPr>
        <w:t xml:space="preserve">the </w:t>
      </w:r>
      <w:proofErr w:type="gramStart"/>
      <w:r w:rsidR="273DBC87" w:rsidRPr="48E0C549">
        <w:rPr>
          <w:rFonts w:eastAsiaTheme="minorEastAsia"/>
          <w:color w:val="auto"/>
        </w:rPr>
        <w:t>Mayor’s</w:t>
      </w:r>
      <w:proofErr w:type="gramEnd"/>
      <w:r w:rsidR="273DBC87" w:rsidRPr="48E0C549">
        <w:rPr>
          <w:rFonts w:eastAsiaTheme="minorEastAsia"/>
          <w:color w:val="auto"/>
        </w:rPr>
        <w:t xml:space="preserve"> net zero</w:t>
      </w:r>
      <w:r w:rsidR="5F119353" w:rsidRPr="48E0C549">
        <w:rPr>
          <w:rFonts w:eastAsiaTheme="minorEastAsia"/>
          <w:color w:val="auto"/>
        </w:rPr>
        <w:t xml:space="preserve"> ambitions</w:t>
      </w:r>
    </w:p>
    <w:p w14:paraId="18181BE7" w14:textId="252928B8" w:rsidR="00F7459A" w:rsidRDefault="0A9D383F" w:rsidP="003B6A3E">
      <w:pPr>
        <w:pStyle w:val="LONBodyTextNumbered"/>
        <w:keepLines/>
        <w:numPr>
          <w:ilvl w:val="0"/>
          <w:numId w:val="28"/>
        </w:numPr>
        <w:spacing w:after="0" w:line="276" w:lineRule="auto"/>
        <w:jc w:val="both"/>
        <w:rPr>
          <w:color w:val="auto"/>
          <w:lang w:val="en-US"/>
        </w:rPr>
      </w:pPr>
      <w:r w:rsidRPr="48E0C549">
        <w:rPr>
          <w:rFonts w:eastAsiaTheme="minorEastAsia"/>
          <w:color w:val="auto"/>
        </w:rPr>
        <w:t>commenc</w:t>
      </w:r>
      <w:r w:rsidR="7CF60D1F" w:rsidRPr="48E0C549">
        <w:rPr>
          <w:rFonts w:eastAsiaTheme="minorEastAsia"/>
          <w:color w:val="auto"/>
        </w:rPr>
        <w:t>ing</w:t>
      </w:r>
      <w:r w:rsidRPr="48E0C549">
        <w:rPr>
          <w:rFonts w:eastAsiaTheme="minorEastAsia"/>
          <w:color w:val="auto"/>
        </w:rPr>
        <w:t xml:space="preserve"> detailed</w:t>
      </w:r>
      <w:r w:rsidR="273DBC87" w:rsidRPr="48E0C549">
        <w:rPr>
          <w:rFonts w:eastAsiaTheme="minorEastAsia"/>
          <w:color w:val="auto"/>
        </w:rPr>
        <w:t xml:space="preserve"> market engagement</w:t>
      </w:r>
      <w:r w:rsidR="3B7966A0" w:rsidRPr="48E0C549">
        <w:rPr>
          <w:rFonts w:eastAsiaTheme="minorEastAsia"/>
          <w:color w:val="auto"/>
        </w:rPr>
        <w:t xml:space="preserve"> with key investors and developers</w:t>
      </w:r>
      <w:r w:rsidR="273DBC87" w:rsidRPr="48E0C549">
        <w:rPr>
          <w:rFonts w:eastAsiaTheme="minorEastAsia"/>
          <w:color w:val="auto"/>
        </w:rPr>
        <w:t xml:space="preserve"> to </w:t>
      </w:r>
      <w:r w:rsidR="0BC512D0" w:rsidRPr="48E0C549">
        <w:rPr>
          <w:rFonts w:eastAsiaTheme="minorEastAsia"/>
          <w:color w:val="auto"/>
        </w:rPr>
        <w:t>help finalise</w:t>
      </w:r>
      <w:r w:rsidR="273DBC87" w:rsidRPr="48E0C549">
        <w:rPr>
          <w:rFonts w:eastAsiaTheme="minorEastAsia"/>
          <w:color w:val="auto"/>
        </w:rPr>
        <w:t xml:space="preserve"> our </w:t>
      </w:r>
      <w:r w:rsidR="62D74ABA" w:rsidRPr="48E0C549">
        <w:rPr>
          <w:rFonts w:eastAsiaTheme="minorEastAsia"/>
          <w:color w:val="auto"/>
        </w:rPr>
        <w:t>delivery strategy prior to formal procurement</w:t>
      </w:r>
    </w:p>
    <w:p w14:paraId="61E92910" w14:textId="70812303" w:rsidR="04901C02" w:rsidRDefault="04901C02" w:rsidP="3AA976BB">
      <w:pPr>
        <w:pStyle w:val="LONBodyTextNumbered"/>
        <w:keepLines/>
        <w:numPr>
          <w:ilvl w:val="0"/>
          <w:numId w:val="28"/>
        </w:numPr>
        <w:spacing w:after="0" w:line="276" w:lineRule="auto"/>
        <w:jc w:val="both"/>
        <w:rPr>
          <w:color w:val="auto"/>
          <w:lang w:val="en-US"/>
        </w:rPr>
      </w:pPr>
      <w:r w:rsidRPr="48E0C549">
        <w:rPr>
          <w:lang w:val="en-US"/>
        </w:rPr>
        <w:t>c</w:t>
      </w:r>
      <w:r w:rsidR="66B598D8" w:rsidRPr="48E0C549">
        <w:rPr>
          <w:lang w:val="en-US"/>
        </w:rPr>
        <w:t>ontinuing to support important early development including</w:t>
      </w:r>
      <w:r w:rsidR="675DA9E2" w:rsidRPr="48E0C549">
        <w:rPr>
          <w:lang w:val="en-US"/>
        </w:rPr>
        <w:t>,</w:t>
      </w:r>
      <w:r w:rsidR="66B598D8" w:rsidRPr="48E0C549">
        <w:rPr>
          <w:lang w:val="en-US"/>
        </w:rPr>
        <w:t xml:space="preserve"> as </w:t>
      </w:r>
      <w:r w:rsidR="015269F6" w:rsidRPr="48E0C549">
        <w:rPr>
          <w:lang w:val="en-US"/>
        </w:rPr>
        <w:t>of</w:t>
      </w:r>
      <w:r w:rsidR="66B598D8" w:rsidRPr="48E0C549">
        <w:rPr>
          <w:lang w:val="en-US"/>
        </w:rPr>
        <w:t xml:space="preserve"> 31 October 2024, 5,817 homes </w:t>
      </w:r>
      <w:r w:rsidR="25C15105" w:rsidRPr="48E0C549">
        <w:rPr>
          <w:lang w:val="en-US"/>
        </w:rPr>
        <w:t xml:space="preserve">have </w:t>
      </w:r>
      <w:r w:rsidR="66B598D8" w:rsidRPr="48E0C549">
        <w:rPr>
          <w:lang w:val="en-US"/>
        </w:rPr>
        <w:t xml:space="preserve">now </w:t>
      </w:r>
      <w:r w:rsidR="434E83CA" w:rsidRPr="48E0C549">
        <w:rPr>
          <w:lang w:val="en-US"/>
        </w:rPr>
        <w:t xml:space="preserve">been </w:t>
      </w:r>
      <w:r w:rsidR="66B598D8" w:rsidRPr="48E0C549">
        <w:rPr>
          <w:lang w:val="en-US"/>
        </w:rPr>
        <w:t>completed or under construction</w:t>
      </w:r>
      <w:r w:rsidR="39A0E1B1" w:rsidRPr="48E0C549">
        <w:rPr>
          <w:lang w:val="en-US"/>
        </w:rPr>
        <w:t>,</w:t>
      </w:r>
      <w:r w:rsidR="66B598D8" w:rsidRPr="48E0C549">
        <w:rPr>
          <w:lang w:val="en-US"/>
        </w:rPr>
        <w:t xml:space="preserve"> with 3,392 more with planning permission or resolution to grant and over 3,000 additional homes in the </w:t>
      </w:r>
      <w:proofErr w:type="gramStart"/>
      <w:r w:rsidR="66B598D8" w:rsidRPr="48E0C549">
        <w:rPr>
          <w:lang w:val="en-US"/>
        </w:rPr>
        <w:t>pipeline</w:t>
      </w:r>
      <w:proofErr w:type="gramEnd"/>
    </w:p>
    <w:p w14:paraId="66FA48C4" w14:textId="296DB338" w:rsidR="76590B29" w:rsidRPr="00F330F4" w:rsidRDefault="00C7006B" w:rsidP="003B6A3E">
      <w:pPr>
        <w:pStyle w:val="LONBodyTextNumbered"/>
        <w:keepLines/>
        <w:numPr>
          <w:ilvl w:val="0"/>
          <w:numId w:val="28"/>
        </w:numPr>
        <w:spacing w:after="0" w:line="276" w:lineRule="auto"/>
        <w:jc w:val="both"/>
        <w:rPr>
          <w:color w:val="auto"/>
          <w:lang w:val="en-US"/>
        </w:rPr>
      </w:pPr>
      <w:r w:rsidRPr="48E0C549">
        <w:rPr>
          <w:rFonts w:eastAsiaTheme="minorEastAsia"/>
          <w:color w:val="auto"/>
        </w:rPr>
        <w:t>a</w:t>
      </w:r>
      <w:r w:rsidR="5A9C7971" w:rsidRPr="48E0C549">
        <w:rPr>
          <w:rFonts w:eastAsiaTheme="minorEastAsia"/>
          <w:color w:val="auto"/>
        </w:rPr>
        <w:t>dopt</w:t>
      </w:r>
      <w:r w:rsidR="3440DC58" w:rsidRPr="48E0C549">
        <w:rPr>
          <w:rFonts w:eastAsiaTheme="minorEastAsia"/>
          <w:color w:val="auto"/>
        </w:rPr>
        <w:t>ing</w:t>
      </w:r>
      <w:r w:rsidR="5A9C7971" w:rsidRPr="48E0C549">
        <w:rPr>
          <w:rFonts w:eastAsiaTheme="minorEastAsia"/>
          <w:color w:val="auto"/>
        </w:rPr>
        <w:t xml:space="preserve"> our Community Infrastructure Levy (CIL) charging schedule</w:t>
      </w:r>
    </w:p>
    <w:p w14:paraId="65884932" w14:textId="370BF3C9" w:rsidR="00A236B7" w:rsidRPr="00A236B7" w:rsidRDefault="00912DCB" w:rsidP="48E0C549">
      <w:pPr>
        <w:pStyle w:val="LONBodyTextNumbered"/>
        <w:keepLines/>
        <w:numPr>
          <w:ilvl w:val="0"/>
          <w:numId w:val="28"/>
        </w:numPr>
        <w:spacing w:after="0" w:line="276" w:lineRule="auto"/>
        <w:jc w:val="both"/>
        <w:rPr>
          <w:rFonts w:eastAsiaTheme="minorEastAsia"/>
          <w:color w:val="auto"/>
          <w:lang w:val="en-US"/>
        </w:rPr>
      </w:pPr>
      <w:r w:rsidRPr="48E0C549">
        <w:rPr>
          <w:rFonts w:eastAsiaTheme="minorEastAsia"/>
          <w:color w:val="auto"/>
        </w:rPr>
        <w:t>providing</w:t>
      </w:r>
      <w:r w:rsidR="33FDE3F4" w:rsidRPr="48E0C549">
        <w:rPr>
          <w:rFonts w:eastAsiaTheme="minorEastAsia"/>
          <w:color w:val="auto"/>
        </w:rPr>
        <w:t xml:space="preserve"> </w:t>
      </w:r>
      <w:r w:rsidR="7662FE69" w:rsidRPr="48E0C549">
        <w:rPr>
          <w:rFonts w:eastAsiaTheme="minorEastAsia"/>
          <w:color w:val="auto"/>
        </w:rPr>
        <w:t xml:space="preserve">outreach support for </w:t>
      </w:r>
      <w:r w:rsidR="02DA6855" w:rsidRPr="48E0C549">
        <w:rPr>
          <w:rFonts w:eastAsiaTheme="minorEastAsia"/>
          <w:color w:val="auto"/>
        </w:rPr>
        <w:t>unemployed</w:t>
      </w:r>
      <w:r w:rsidR="1C0FA54F" w:rsidRPr="48E0C549">
        <w:rPr>
          <w:rFonts w:eastAsiaTheme="minorEastAsia"/>
          <w:color w:val="auto"/>
        </w:rPr>
        <w:t xml:space="preserve"> </w:t>
      </w:r>
      <w:proofErr w:type="gramStart"/>
      <w:r w:rsidR="1C0FA54F" w:rsidRPr="48E0C549">
        <w:rPr>
          <w:rFonts w:eastAsiaTheme="minorEastAsia"/>
          <w:color w:val="auto"/>
        </w:rPr>
        <w:t xml:space="preserve">local </w:t>
      </w:r>
      <w:r w:rsidR="7E644847" w:rsidRPr="48E0C549">
        <w:rPr>
          <w:rFonts w:eastAsiaTheme="minorEastAsia"/>
          <w:color w:val="auto"/>
        </w:rPr>
        <w:t>residents</w:t>
      </w:r>
      <w:proofErr w:type="gramEnd"/>
      <w:r w:rsidR="048F16D6" w:rsidRPr="48E0C549">
        <w:rPr>
          <w:rFonts w:eastAsiaTheme="minorEastAsia"/>
          <w:color w:val="auto"/>
        </w:rPr>
        <w:t xml:space="preserve">, </w:t>
      </w:r>
      <w:r w:rsidR="44EE4EC7" w:rsidRPr="48E0C549">
        <w:rPr>
          <w:rFonts w:eastAsiaTheme="minorEastAsia"/>
          <w:color w:val="auto"/>
        </w:rPr>
        <w:t xml:space="preserve">matching </w:t>
      </w:r>
      <w:r w:rsidR="29DA6EB2" w:rsidRPr="48E0C549">
        <w:rPr>
          <w:rFonts w:eastAsiaTheme="minorEastAsia"/>
          <w:color w:val="auto"/>
        </w:rPr>
        <w:t xml:space="preserve">250 </w:t>
      </w:r>
      <w:r w:rsidR="679F2BBF" w:rsidRPr="48E0C549">
        <w:rPr>
          <w:rFonts w:eastAsiaTheme="minorEastAsia"/>
          <w:color w:val="auto"/>
        </w:rPr>
        <w:t xml:space="preserve">local </w:t>
      </w:r>
      <w:r w:rsidR="44EE4EC7" w:rsidRPr="48E0C549">
        <w:rPr>
          <w:rFonts w:eastAsiaTheme="minorEastAsia"/>
          <w:color w:val="auto"/>
        </w:rPr>
        <w:t xml:space="preserve">people into </w:t>
      </w:r>
      <w:r w:rsidR="679F2BBF" w:rsidRPr="48E0C549">
        <w:rPr>
          <w:rFonts w:eastAsiaTheme="minorEastAsia"/>
          <w:color w:val="auto"/>
        </w:rPr>
        <w:t>job</w:t>
      </w:r>
      <w:r w:rsidR="5E7D0FCC" w:rsidRPr="48E0C549">
        <w:rPr>
          <w:rFonts w:eastAsiaTheme="minorEastAsia"/>
          <w:color w:val="auto"/>
        </w:rPr>
        <w:t>s</w:t>
      </w:r>
      <w:r w:rsidR="679F2BBF" w:rsidRPr="48E0C549">
        <w:rPr>
          <w:rFonts w:eastAsiaTheme="minorEastAsia"/>
          <w:color w:val="auto"/>
        </w:rPr>
        <w:t xml:space="preserve">, </w:t>
      </w:r>
      <w:r w:rsidR="489AEB29" w:rsidRPr="48E0C549">
        <w:rPr>
          <w:rFonts w:eastAsiaTheme="minorEastAsia"/>
          <w:color w:val="auto"/>
        </w:rPr>
        <w:t xml:space="preserve">provided </w:t>
      </w:r>
      <w:r w:rsidR="4FE8F36E" w:rsidRPr="48E0C549">
        <w:rPr>
          <w:rFonts w:eastAsiaTheme="minorEastAsia"/>
          <w:color w:val="auto"/>
        </w:rPr>
        <w:t xml:space="preserve">specialist </w:t>
      </w:r>
      <w:r w:rsidR="2E455BBE" w:rsidRPr="48E0C549">
        <w:rPr>
          <w:rFonts w:eastAsiaTheme="minorEastAsia"/>
          <w:color w:val="auto"/>
        </w:rPr>
        <w:t>advi</w:t>
      </w:r>
      <w:r w:rsidR="689DB284" w:rsidRPr="48E0C549">
        <w:rPr>
          <w:rFonts w:eastAsiaTheme="minorEastAsia"/>
          <w:color w:val="auto"/>
        </w:rPr>
        <w:t>c</w:t>
      </w:r>
      <w:r w:rsidR="2E455BBE" w:rsidRPr="48E0C549">
        <w:rPr>
          <w:rFonts w:eastAsiaTheme="minorEastAsia"/>
          <w:color w:val="auto"/>
        </w:rPr>
        <w:t xml:space="preserve">e to 450 </w:t>
      </w:r>
      <w:r w:rsidR="54BF02A5" w:rsidRPr="48E0C549">
        <w:rPr>
          <w:rFonts w:eastAsiaTheme="minorEastAsia"/>
          <w:color w:val="auto"/>
        </w:rPr>
        <w:t xml:space="preserve">local </w:t>
      </w:r>
      <w:r w:rsidR="6DD9EFE4" w:rsidRPr="48E0C549">
        <w:rPr>
          <w:rFonts w:eastAsiaTheme="minorEastAsia"/>
          <w:color w:val="auto"/>
        </w:rPr>
        <w:t>SMEs</w:t>
      </w:r>
      <w:r w:rsidR="51A09A57" w:rsidRPr="48E0C549">
        <w:rPr>
          <w:rFonts w:eastAsiaTheme="minorEastAsia"/>
          <w:color w:val="auto"/>
        </w:rPr>
        <w:t xml:space="preserve"> and sole traders</w:t>
      </w:r>
      <w:r w:rsidR="235F804A" w:rsidRPr="48E0C549">
        <w:rPr>
          <w:rFonts w:eastAsiaTheme="minorEastAsia"/>
          <w:color w:val="auto"/>
        </w:rPr>
        <w:t>,</w:t>
      </w:r>
      <w:r w:rsidR="38C4D429" w:rsidRPr="48E0C549">
        <w:rPr>
          <w:rFonts w:eastAsiaTheme="minorEastAsia"/>
          <w:color w:val="auto"/>
        </w:rPr>
        <w:t xml:space="preserve"> and </w:t>
      </w:r>
      <w:r w:rsidR="240E244F" w:rsidRPr="48E0C549">
        <w:rPr>
          <w:rFonts w:eastAsiaTheme="minorEastAsia"/>
          <w:color w:val="auto"/>
        </w:rPr>
        <w:t xml:space="preserve">established </w:t>
      </w:r>
      <w:r w:rsidR="6DD9EFE4" w:rsidRPr="48E0C549">
        <w:rPr>
          <w:rFonts w:eastAsiaTheme="minorEastAsia"/>
          <w:color w:val="auto"/>
        </w:rPr>
        <w:t>a</w:t>
      </w:r>
      <w:r w:rsidR="12878C0B" w:rsidRPr="48E0C549">
        <w:rPr>
          <w:rFonts w:eastAsiaTheme="minorEastAsia"/>
          <w:color w:val="auto"/>
        </w:rPr>
        <w:t xml:space="preserve"> Creative Enterprise Zone</w:t>
      </w:r>
    </w:p>
    <w:p w14:paraId="3E9B142A" w14:textId="6F45A6AC" w:rsidR="00F330F4" w:rsidRPr="00825A10" w:rsidRDefault="45A613B1" w:rsidP="003B6A3E">
      <w:pPr>
        <w:pStyle w:val="LONBodyTextNumbered"/>
        <w:keepLines/>
        <w:numPr>
          <w:ilvl w:val="0"/>
          <w:numId w:val="28"/>
        </w:numPr>
        <w:spacing w:after="0" w:line="276" w:lineRule="auto"/>
        <w:jc w:val="both"/>
        <w:rPr>
          <w:color w:val="auto"/>
          <w:lang w:val="en-US"/>
        </w:rPr>
      </w:pPr>
      <w:r w:rsidRPr="48E0C549">
        <w:rPr>
          <w:rFonts w:eastAsiaTheme="minorEastAsia"/>
          <w:color w:val="auto"/>
        </w:rPr>
        <w:t>deliver</w:t>
      </w:r>
      <w:r w:rsidR="072452CC" w:rsidRPr="48E0C549">
        <w:rPr>
          <w:rFonts w:eastAsiaTheme="minorEastAsia"/>
          <w:color w:val="auto"/>
        </w:rPr>
        <w:t>ing</w:t>
      </w:r>
      <w:r w:rsidR="52F4AB6D" w:rsidRPr="48E0C549">
        <w:rPr>
          <w:rFonts w:eastAsiaTheme="minorEastAsia"/>
          <w:color w:val="auto"/>
        </w:rPr>
        <w:t xml:space="preserve"> </w:t>
      </w:r>
      <w:r w:rsidR="7CEC6D54" w:rsidRPr="48E0C549">
        <w:rPr>
          <w:rFonts w:eastAsiaTheme="minorEastAsia"/>
          <w:color w:val="auto"/>
        </w:rPr>
        <w:t xml:space="preserve">an extensive </w:t>
      </w:r>
      <w:r w:rsidR="3AFF86FD" w:rsidRPr="48E0C549">
        <w:rPr>
          <w:rFonts w:eastAsiaTheme="minorEastAsia"/>
          <w:color w:val="auto"/>
        </w:rPr>
        <w:t xml:space="preserve">programme </w:t>
      </w:r>
      <w:r w:rsidR="1D432975" w:rsidRPr="48E0C549">
        <w:rPr>
          <w:rFonts w:eastAsiaTheme="minorEastAsia"/>
          <w:color w:val="auto"/>
        </w:rPr>
        <w:t>of engagement</w:t>
      </w:r>
      <w:r w:rsidR="5A46D9C7" w:rsidRPr="48E0C549">
        <w:rPr>
          <w:rFonts w:eastAsiaTheme="minorEastAsia"/>
          <w:color w:val="auto"/>
        </w:rPr>
        <w:t xml:space="preserve"> and co-design</w:t>
      </w:r>
      <w:r w:rsidR="28AB76C8" w:rsidRPr="48E0C549">
        <w:rPr>
          <w:rFonts w:eastAsiaTheme="minorEastAsia"/>
          <w:color w:val="auto"/>
        </w:rPr>
        <w:t xml:space="preserve"> with local people</w:t>
      </w:r>
      <w:r w:rsidR="3564DBB6" w:rsidRPr="48E0C549">
        <w:rPr>
          <w:rFonts w:eastAsiaTheme="minorEastAsia"/>
          <w:color w:val="auto"/>
        </w:rPr>
        <w:t xml:space="preserve"> to </w:t>
      </w:r>
      <w:r w:rsidR="3FBF1872" w:rsidRPr="48E0C549">
        <w:rPr>
          <w:rFonts w:eastAsiaTheme="minorEastAsia"/>
          <w:color w:val="auto"/>
        </w:rPr>
        <w:t xml:space="preserve">help </w:t>
      </w:r>
      <w:r w:rsidR="3564DBB6" w:rsidRPr="48E0C549">
        <w:rPr>
          <w:rFonts w:eastAsiaTheme="minorEastAsia"/>
          <w:color w:val="auto"/>
        </w:rPr>
        <w:t xml:space="preserve">shape </w:t>
      </w:r>
      <w:r w:rsidR="2C419AAA" w:rsidRPr="48E0C549">
        <w:rPr>
          <w:rFonts w:eastAsiaTheme="minorEastAsia"/>
          <w:color w:val="auto"/>
        </w:rPr>
        <w:t>our plans and</w:t>
      </w:r>
      <w:r w:rsidR="311D4996" w:rsidRPr="48E0C549">
        <w:rPr>
          <w:rFonts w:eastAsiaTheme="minorEastAsia"/>
          <w:color w:val="auto"/>
        </w:rPr>
        <w:t xml:space="preserve"> </w:t>
      </w:r>
      <w:r w:rsidR="088D91D1" w:rsidRPr="48E0C549">
        <w:rPr>
          <w:rFonts w:eastAsiaTheme="minorEastAsia"/>
          <w:color w:val="auto"/>
        </w:rPr>
        <w:t>a</w:t>
      </w:r>
      <w:r w:rsidR="4ADD368A" w:rsidRPr="48E0C549">
        <w:rPr>
          <w:rFonts w:eastAsiaTheme="minorEastAsia"/>
          <w:color w:val="auto"/>
        </w:rPr>
        <w:t xml:space="preserve"> small grant</w:t>
      </w:r>
      <w:r w:rsidR="4A9954E9" w:rsidRPr="48E0C549">
        <w:rPr>
          <w:rFonts w:eastAsiaTheme="minorEastAsia"/>
          <w:color w:val="auto"/>
        </w:rPr>
        <w:t>s programme</w:t>
      </w:r>
      <w:r w:rsidR="4ADD368A" w:rsidRPr="48E0C549">
        <w:rPr>
          <w:rFonts w:eastAsiaTheme="minorEastAsia"/>
          <w:color w:val="auto"/>
        </w:rPr>
        <w:t xml:space="preserve"> </w:t>
      </w:r>
      <w:r w:rsidR="7971FE11" w:rsidRPr="48E0C549">
        <w:rPr>
          <w:rFonts w:eastAsiaTheme="minorEastAsia"/>
          <w:color w:val="auto"/>
        </w:rPr>
        <w:t>to support grass</w:t>
      </w:r>
      <w:r w:rsidR="1B1670E9" w:rsidRPr="48E0C549">
        <w:rPr>
          <w:rFonts w:eastAsiaTheme="minorEastAsia"/>
          <w:color w:val="auto"/>
        </w:rPr>
        <w:t>roots community</w:t>
      </w:r>
      <w:r w:rsidR="1310B211" w:rsidRPr="48E0C549">
        <w:rPr>
          <w:rFonts w:eastAsiaTheme="minorEastAsia"/>
          <w:color w:val="auto"/>
        </w:rPr>
        <w:t xml:space="preserve">-led </w:t>
      </w:r>
      <w:r w:rsidR="5DFC8D4D" w:rsidRPr="48E0C549">
        <w:rPr>
          <w:rFonts w:eastAsiaTheme="minorEastAsia"/>
          <w:color w:val="auto"/>
        </w:rPr>
        <w:t>projects and charities</w:t>
      </w:r>
      <w:r w:rsidR="5E364A7D" w:rsidRPr="48E0C549">
        <w:rPr>
          <w:rFonts w:eastAsiaTheme="minorEastAsia"/>
          <w:color w:val="auto"/>
        </w:rPr>
        <w:t xml:space="preserve"> </w:t>
      </w:r>
      <w:r w:rsidR="3C54B7DB" w:rsidRPr="48E0C549">
        <w:rPr>
          <w:rFonts w:eastAsiaTheme="minorEastAsia"/>
          <w:color w:val="auto"/>
        </w:rPr>
        <w:t>reaching over 45,000 benefici</w:t>
      </w:r>
      <w:r w:rsidR="53ED97C8" w:rsidRPr="48E0C549">
        <w:rPr>
          <w:rFonts w:eastAsiaTheme="minorEastAsia"/>
          <w:color w:val="auto"/>
        </w:rPr>
        <w:t>aries.</w:t>
      </w:r>
    </w:p>
    <w:p w14:paraId="3DB34A6D" w14:textId="17DF5B6D" w:rsidR="00C34957" w:rsidRPr="006C052D" w:rsidRDefault="53E233C2" w:rsidP="003B6A3E">
      <w:pPr>
        <w:pStyle w:val="ListParagraph"/>
        <w:keepNext/>
        <w:numPr>
          <w:ilvl w:val="0"/>
          <w:numId w:val="29"/>
        </w:numPr>
        <w:shd w:val="clear" w:color="auto" w:fill="FFFFFF" w:themeFill="background1"/>
        <w:spacing w:before="240" w:after="60"/>
        <w:jc w:val="both"/>
        <w:rPr>
          <w:rStyle w:val="normaltextrun"/>
          <w:b/>
          <w:bCs/>
          <w:color w:val="auto"/>
          <w:sz w:val="32"/>
          <w:szCs w:val="32"/>
        </w:rPr>
      </w:pPr>
      <w:r w:rsidRPr="006C052D">
        <w:rPr>
          <w:rStyle w:val="normaltextrun"/>
          <w:b/>
          <w:bCs/>
          <w:color w:val="auto"/>
          <w:sz w:val="32"/>
          <w:szCs w:val="32"/>
        </w:rPr>
        <w:t>Key deliverables</w:t>
      </w:r>
      <w:r w:rsidR="64D62B59" w:rsidRPr="006C052D">
        <w:rPr>
          <w:rStyle w:val="normaltextrun"/>
          <w:b/>
          <w:bCs/>
          <w:color w:val="auto"/>
          <w:sz w:val="32"/>
          <w:szCs w:val="32"/>
        </w:rPr>
        <w:t xml:space="preserve"> in 2025-26</w:t>
      </w:r>
    </w:p>
    <w:p w14:paraId="5D5C3C14" w14:textId="3936EBA9" w:rsidR="49996C8F" w:rsidRDefault="49996C8F" w:rsidP="49996C8F">
      <w:pPr>
        <w:pStyle w:val="ListParagraph"/>
        <w:keepNext/>
        <w:shd w:val="clear" w:color="auto" w:fill="FFFFFF" w:themeFill="background1"/>
        <w:spacing w:before="240" w:after="60"/>
        <w:ind w:left="360"/>
        <w:jc w:val="both"/>
        <w:rPr>
          <w:rStyle w:val="normaltextrun"/>
          <w:b/>
          <w:bCs/>
          <w:color w:val="auto"/>
          <w:sz w:val="28"/>
          <w:szCs w:val="28"/>
        </w:rPr>
      </w:pPr>
    </w:p>
    <w:p w14:paraId="25D97C90" w14:textId="030F4BD0" w:rsidR="5361B47E" w:rsidRPr="00D110E1" w:rsidRDefault="56AE9C4B" w:rsidP="003B6A3E">
      <w:pPr>
        <w:pStyle w:val="ListParagraph"/>
        <w:numPr>
          <w:ilvl w:val="0"/>
          <w:numId w:val="34"/>
        </w:numPr>
        <w:jc w:val="both"/>
        <w:rPr>
          <w:rFonts w:eastAsiaTheme="minorEastAsia"/>
          <w:color w:val="auto"/>
        </w:rPr>
      </w:pPr>
      <w:r w:rsidRPr="57EA1165">
        <w:rPr>
          <w:rFonts w:eastAsiaTheme="minorEastAsia"/>
          <w:color w:val="auto"/>
        </w:rPr>
        <w:t>Our key priorities and deliverables for 2025-26 are as follows:</w:t>
      </w:r>
    </w:p>
    <w:p w14:paraId="52F0E72F" w14:textId="7902DBB6" w:rsidR="16D436CC" w:rsidRPr="00D110E1" w:rsidRDefault="16D436CC" w:rsidP="49996C8F">
      <w:pPr>
        <w:pStyle w:val="ListParagraph"/>
        <w:ind w:left="360"/>
        <w:jc w:val="both"/>
        <w:rPr>
          <w:rFonts w:eastAsia="Arial" w:cs="Arial"/>
          <w:b/>
          <w:bCs/>
          <w:color w:val="000000" w:themeColor="text1"/>
        </w:rPr>
      </w:pPr>
    </w:p>
    <w:p w14:paraId="582502A3" w14:textId="696AB8E3" w:rsidR="5361B47E" w:rsidRPr="00D110E1" w:rsidRDefault="56AE9C4B" w:rsidP="00555085">
      <w:pPr>
        <w:ind w:left="680"/>
        <w:jc w:val="both"/>
        <w:rPr>
          <w:rFonts w:eastAsia="Arial" w:cs="Arial"/>
          <w:b/>
          <w:bCs/>
          <w:color w:val="000000" w:themeColor="text1"/>
        </w:rPr>
      </w:pPr>
      <w:r w:rsidRPr="00D110E1">
        <w:rPr>
          <w:rFonts w:eastAsia="Arial" w:cs="Arial"/>
          <w:b/>
          <w:bCs/>
          <w:color w:val="auto"/>
        </w:rPr>
        <w:t>Delivery</w:t>
      </w:r>
    </w:p>
    <w:p w14:paraId="0FC4C3CB" w14:textId="5F71B43C" w:rsidR="7BCCF5D1" w:rsidRPr="00D110E1" w:rsidRDefault="7E6DFF61" w:rsidP="6D2246B4">
      <w:pPr>
        <w:pStyle w:val="Normal21"/>
        <w:spacing w:after="0"/>
        <w:ind w:left="680"/>
        <w:jc w:val="both"/>
        <w:rPr>
          <w:rFonts w:eastAsiaTheme="minorEastAsia"/>
          <w:lang w:val="en-US"/>
        </w:rPr>
      </w:pPr>
      <w:r w:rsidRPr="6D2246B4">
        <w:rPr>
          <w:rFonts w:eastAsiaTheme="minorEastAsia"/>
          <w:lang w:val="en-US"/>
        </w:rPr>
        <w:t xml:space="preserve">The Delivery </w:t>
      </w:r>
      <w:r w:rsidR="31AB71CD" w:rsidRPr="6D2246B4">
        <w:rPr>
          <w:rFonts w:eastAsiaTheme="minorEastAsia"/>
          <w:lang w:val="en-US"/>
        </w:rPr>
        <w:t>D</w:t>
      </w:r>
      <w:r w:rsidR="0D41EDEC" w:rsidRPr="6D2246B4">
        <w:rPr>
          <w:rFonts w:eastAsiaTheme="minorEastAsia"/>
          <w:lang w:val="en-US"/>
        </w:rPr>
        <w:t>irectorate</w:t>
      </w:r>
      <w:r w:rsidR="65BC91BB" w:rsidRPr="6D2246B4">
        <w:rPr>
          <w:rFonts w:eastAsiaTheme="minorEastAsia"/>
          <w:lang w:val="en-US"/>
        </w:rPr>
        <w:t>’s princip</w:t>
      </w:r>
      <w:r w:rsidR="341051F6" w:rsidRPr="6D2246B4">
        <w:rPr>
          <w:rFonts w:eastAsiaTheme="minorEastAsia"/>
          <w:lang w:val="en-US"/>
        </w:rPr>
        <w:t>al</w:t>
      </w:r>
      <w:r w:rsidR="65BC91BB" w:rsidRPr="6D2246B4">
        <w:rPr>
          <w:rFonts w:eastAsiaTheme="minorEastAsia"/>
          <w:lang w:val="en-US"/>
        </w:rPr>
        <w:t xml:space="preserve"> focus</w:t>
      </w:r>
      <w:r w:rsidR="0D41EDEC" w:rsidRPr="6D2246B4">
        <w:rPr>
          <w:rFonts w:eastAsiaTheme="minorEastAsia"/>
          <w:lang w:val="en-US"/>
        </w:rPr>
        <w:t xml:space="preserve"> </w:t>
      </w:r>
      <w:r w:rsidR="495BC5F9" w:rsidRPr="6D2246B4">
        <w:rPr>
          <w:rFonts w:eastAsiaTheme="minorEastAsia"/>
          <w:lang w:val="en-US"/>
        </w:rPr>
        <w:t>is</w:t>
      </w:r>
      <w:r w:rsidR="619D2A4E" w:rsidRPr="6D2246B4">
        <w:rPr>
          <w:rFonts w:eastAsiaTheme="minorEastAsia"/>
          <w:lang w:val="en-US"/>
        </w:rPr>
        <w:t xml:space="preserve"> to </w:t>
      </w:r>
      <w:r w:rsidR="495BC5F9" w:rsidRPr="6D2246B4">
        <w:rPr>
          <w:rFonts w:eastAsiaTheme="minorEastAsia"/>
          <w:lang w:val="en-US"/>
        </w:rPr>
        <w:t>bring forward</w:t>
      </w:r>
      <w:r w:rsidR="6A0AB161" w:rsidRPr="6D2246B4">
        <w:rPr>
          <w:rFonts w:eastAsiaTheme="minorEastAsia"/>
          <w:lang w:val="en-US"/>
        </w:rPr>
        <w:t xml:space="preserve"> </w:t>
      </w:r>
      <w:r w:rsidR="6A0AB161">
        <w:t xml:space="preserve">regeneration and development at </w:t>
      </w:r>
      <w:r w:rsidR="6415D4F1">
        <w:t>O</w:t>
      </w:r>
      <w:r w:rsidR="0B6BC145">
        <w:t>ld Oak</w:t>
      </w:r>
      <w:r w:rsidR="6A0AB161">
        <w:t>. This includes:</w:t>
      </w:r>
      <w:r w:rsidR="619D2A4E" w:rsidRPr="6D2246B4">
        <w:rPr>
          <w:rFonts w:eastAsiaTheme="minorEastAsia"/>
          <w:lang w:val="en-US"/>
        </w:rPr>
        <w:t xml:space="preserve"> </w:t>
      </w:r>
    </w:p>
    <w:p w14:paraId="1749346F" w14:textId="7AB5AF55" w:rsidR="00E226A1" w:rsidRDefault="5E0160CC"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 xml:space="preserve">developing the scheme masterplan and </w:t>
      </w:r>
      <w:r w:rsidR="3706BA05" w:rsidRPr="48E0C549">
        <w:rPr>
          <w:rFonts w:eastAsiaTheme="minorEastAsia"/>
          <w:color w:val="auto"/>
        </w:rPr>
        <w:t>engaging with the Local Planning Authority</w:t>
      </w:r>
      <w:r w:rsidRPr="48E0C549">
        <w:rPr>
          <w:rFonts w:eastAsiaTheme="minorEastAsia"/>
          <w:color w:val="auto"/>
        </w:rPr>
        <w:t xml:space="preserve"> </w:t>
      </w:r>
      <w:r w:rsidR="0B7D92E8" w:rsidRPr="48E0C549">
        <w:rPr>
          <w:rFonts w:eastAsiaTheme="minorEastAsia"/>
          <w:color w:val="auto"/>
        </w:rPr>
        <w:t>ahead of a formal planning application</w:t>
      </w:r>
    </w:p>
    <w:p w14:paraId="1CB93C2D" w14:textId="67F2B085" w:rsidR="00F13F4A" w:rsidRPr="009D0809" w:rsidRDefault="52502269"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 xml:space="preserve">launching </w:t>
      </w:r>
      <w:r w:rsidR="4A7BBFD6" w:rsidRPr="48E0C549">
        <w:rPr>
          <w:rFonts w:eastAsiaTheme="minorEastAsia"/>
          <w:color w:val="auto"/>
        </w:rPr>
        <w:t>the procurement</w:t>
      </w:r>
      <w:r w:rsidR="58693E75" w:rsidRPr="48E0C549">
        <w:rPr>
          <w:rFonts w:eastAsiaTheme="minorEastAsia"/>
          <w:color w:val="auto"/>
        </w:rPr>
        <w:t xml:space="preserve"> process to</w:t>
      </w:r>
      <w:r w:rsidR="4DF20749" w:rsidRPr="48E0C549">
        <w:rPr>
          <w:rFonts w:eastAsiaTheme="minorEastAsia"/>
          <w:color w:val="auto"/>
        </w:rPr>
        <w:t xml:space="preserve"> </w:t>
      </w:r>
      <w:r w:rsidR="60505CF1" w:rsidRPr="48E0C549">
        <w:rPr>
          <w:rFonts w:eastAsiaTheme="minorEastAsia"/>
          <w:color w:val="auto"/>
        </w:rPr>
        <w:t xml:space="preserve">appoint our </w:t>
      </w:r>
      <w:r w:rsidR="4A7BBFD6" w:rsidRPr="48E0C549">
        <w:rPr>
          <w:rFonts w:eastAsiaTheme="minorEastAsia"/>
          <w:color w:val="auto"/>
        </w:rPr>
        <w:t xml:space="preserve">preferred </w:t>
      </w:r>
      <w:r w:rsidR="24D2FC09" w:rsidRPr="48E0C549">
        <w:rPr>
          <w:rFonts w:eastAsiaTheme="minorEastAsia"/>
          <w:color w:val="auto"/>
        </w:rPr>
        <w:t xml:space="preserve">investment and delivery </w:t>
      </w:r>
      <w:r w:rsidR="4A7BBFD6" w:rsidRPr="48E0C549">
        <w:rPr>
          <w:rFonts w:eastAsiaTheme="minorEastAsia"/>
          <w:color w:val="auto"/>
        </w:rPr>
        <w:t>partner</w:t>
      </w:r>
      <w:r w:rsidR="01CBA8DD" w:rsidRPr="48E0C549">
        <w:rPr>
          <w:rFonts w:eastAsiaTheme="minorEastAsia"/>
          <w:color w:val="auto"/>
        </w:rPr>
        <w:t>(</w:t>
      </w:r>
      <w:r w:rsidR="4A7BBFD6" w:rsidRPr="48E0C549">
        <w:rPr>
          <w:rFonts w:eastAsiaTheme="minorEastAsia"/>
          <w:color w:val="auto"/>
        </w:rPr>
        <w:t>s</w:t>
      </w:r>
      <w:r w:rsidR="01CBA8DD" w:rsidRPr="48E0C549">
        <w:rPr>
          <w:rFonts w:eastAsiaTheme="minorEastAsia"/>
          <w:color w:val="auto"/>
        </w:rPr>
        <w:t>)</w:t>
      </w:r>
      <w:r w:rsidR="4A7BBFD6" w:rsidRPr="48E0C549">
        <w:rPr>
          <w:rFonts w:eastAsiaTheme="minorEastAsia"/>
          <w:color w:val="auto"/>
        </w:rPr>
        <w:t xml:space="preserve"> </w:t>
      </w:r>
      <w:r w:rsidR="69F6DABD" w:rsidRPr="48E0C549">
        <w:rPr>
          <w:rFonts w:eastAsiaTheme="minorEastAsia"/>
          <w:color w:val="auto"/>
        </w:rPr>
        <w:t>for the Old Oak</w:t>
      </w:r>
      <w:r w:rsidR="1251869E" w:rsidRPr="48E0C549">
        <w:rPr>
          <w:rFonts w:eastAsiaTheme="minorEastAsia"/>
          <w:color w:val="auto"/>
        </w:rPr>
        <w:t xml:space="preserve"> </w:t>
      </w:r>
      <w:r w:rsidR="1FB206C9" w:rsidRPr="48E0C549">
        <w:rPr>
          <w:rFonts w:eastAsiaTheme="minorEastAsia"/>
          <w:color w:val="auto"/>
        </w:rPr>
        <w:t xml:space="preserve">regeneration </w:t>
      </w:r>
      <w:r w:rsidR="1251869E" w:rsidRPr="48E0C549">
        <w:rPr>
          <w:rFonts w:eastAsiaTheme="minorEastAsia"/>
          <w:color w:val="auto"/>
        </w:rPr>
        <w:t>scheme</w:t>
      </w:r>
    </w:p>
    <w:p w14:paraId="4963D0BC" w14:textId="16A237A4" w:rsidR="00D6100B" w:rsidRPr="009D0809" w:rsidRDefault="4A657B43"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c</w:t>
      </w:r>
      <w:r w:rsidR="349B0E6A" w:rsidRPr="48E0C549">
        <w:rPr>
          <w:rFonts w:eastAsiaTheme="minorEastAsia"/>
          <w:color w:val="auto"/>
        </w:rPr>
        <w:t>ontinu</w:t>
      </w:r>
      <w:r w:rsidR="0E218E91" w:rsidRPr="48E0C549">
        <w:rPr>
          <w:rFonts w:eastAsiaTheme="minorEastAsia"/>
          <w:color w:val="auto"/>
        </w:rPr>
        <w:t xml:space="preserve">ing to acquire </w:t>
      </w:r>
      <w:r w:rsidR="1D16ACD1" w:rsidRPr="48E0C549">
        <w:rPr>
          <w:rFonts w:eastAsiaTheme="minorEastAsia"/>
          <w:color w:val="auto"/>
        </w:rPr>
        <w:t xml:space="preserve">private land </w:t>
      </w:r>
      <w:r w:rsidR="11126221" w:rsidRPr="48E0C549">
        <w:rPr>
          <w:rFonts w:eastAsiaTheme="minorEastAsia"/>
          <w:color w:val="auto"/>
        </w:rPr>
        <w:t xml:space="preserve">sites within </w:t>
      </w:r>
      <w:r w:rsidR="27985254" w:rsidRPr="48E0C549">
        <w:rPr>
          <w:rFonts w:eastAsiaTheme="minorEastAsia"/>
          <w:color w:val="auto"/>
        </w:rPr>
        <w:t>Old Oak</w:t>
      </w:r>
      <w:r w:rsidR="1E16238E" w:rsidRPr="48E0C549">
        <w:rPr>
          <w:rFonts w:eastAsiaTheme="minorEastAsia"/>
          <w:color w:val="auto"/>
        </w:rPr>
        <w:t xml:space="preserve"> </w:t>
      </w:r>
      <w:r w:rsidR="36F8AF85" w:rsidRPr="48E0C549">
        <w:rPr>
          <w:rFonts w:eastAsiaTheme="minorEastAsia"/>
          <w:color w:val="auto"/>
        </w:rPr>
        <w:t xml:space="preserve">through </w:t>
      </w:r>
      <w:r w:rsidR="35399EA3" w:rsidRPr="48E0C549">
        <w:rPr>
          <w:rFonts w:eastAsiaTheme="minorEastAsia"/>
          <w:color w:val="auto"/>
        </w:rPr>
        <w:t xml:space="preserve">negotiation </w:t>
      </w:r>
      <w:r w:rsidR="5FC0E573" w:rsidRPr="48E0C549">
        <w:rPr>
          <w:rFonts w:eastAsiaTheme="minorEastAsia"/>
          <w:color w:val="auto"/>
        </w:rPr>
        <w:t>where</w:t>
      </w:r>
      <w:r w:rsidR="27985254" w:rsidRPr="48E0C549">
        <w:rPr>
          <w:rFonts w:eastAsiaTheme="minorEastAsia"/>
          <w:color w:val="auto"/>
        </w:rPr>
        <w:t>ver</w:t>
      </w:r>
      <w:r w:rsidR="35399EA3" w:rsidRPr="48E0C549">
        <w:rPr>
          <w:rFonts w:eastAsiaTheme="minorEastAsia"/>
          <w:color w:val="auto"/>
        </w:rPr>
        <w:t xml:space="preserve"> possible</w:t>
      </w:r>
      <w:r w:rsidR="423EAAE6" w:rsidRPr="48E0C549">
        <w:rPr>
          <w:rFonts w:eastAsiaTheme="minorEastAsia"/>
          <w:color w:val="auto"/>
        </w:rPr>
        <w:t xml:space="preserve"> to derisk the CPO process and </w:t>
      </w:r>
      <w:r w:rsidR="52E0028A" w:rsidRPr="48E0C549">
        <w:rPr>
          <w:rFonts w:eastAsiaTheme="minorEastAsia"/>
          <w:color w:val="auto"/>
        </w:rPr>
        <w:t xml:space="preserve">scheme </w:t>
      </w:r>
      <w:r w:rsidR="423EAAE6" w:rsidRPr="48E0C549">
        <w:rPr>
          <w:rFonts w:eastAsiaTheme="minorEastAsia"/>
          <w:color w:val="auto"/>
        </w:rPr>
        <w:t>delivery</w:t>
      </w:r>
    </w:p>
    <w:p w14:paraId="30A705EB" w14:textId="319504CA" w:rsidR="16D436CC" w:rsidRPr="009D0809" w:rsidRDefault="4A657B43"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s</w:t>
      </w:r>
      <w:r w:rsidR="03078B4D" w:rsidRPr="48E0C549">
        <w:rPr>
          <w:rFonts w:eastAsiaTheme="minorEastAsia"/>
          <w:color w:val="auto"/>
        </w:rPr>
        <w:t>ecur</w:t>
      </w:r>
      <w:r w:rsidR="18FCCDCD" w:rsidRPr="48E0C549">
        <w:rPr>
          <w:rFonts w:eastAsiaTheme="minorEastAsia"/>
          <w:color w:val="auto"/>
        </w:rPr>
        <w:t>ing</w:t>
      </w:r>
      <w:r w:rsidR="16FFC516" w:rsidRPr="48E0C549">
        <w:rPr>
          <w:rFonts w:eastAsiaTheme="minorEastAsia"/>
          <w:color w:val="auto"/>
        </w:rPr>
        <w:t xml:space="preserve"> </w:t>
      </w:r>
      <w:r w:rsidR="03078B4D" w:rsidRPr="48E0C549">
        <w:rPr>
          <w:rFonts w:eastAsiaTheme="minorEastAsia"/>
          <w:color w:val="auto"/>
        </w:rPr>
        <w:t xml:space="preserve">Mayoral consent to </w:t>
      </w:r>
      <w:r w:rsidR="35399EA3" w:rsidRPr="48E0C549">
        <w:rPr>
          <w:rFonts w:eastAsiaTheme="minorEastAsia"/>
          <w:color w:val="auto"/>
        </w:rPr>
        <w:t xml:space="preserve">begin the </w:t>
      </w:r>
      <w:r w:rsidR="03078B4D" w:rsidRPr="48E0C549">
        <w:rPr>
          <w:rFonts w:eastAsiaTheme="minorEastAsia"/>
          <w:color w:val="auto"/>
        </w:rPr>
        <w:t xml:space="preserve">Compulsory Purchase </w:t>
      </w:r>
      <w:r w:rsidR="1E269AC5" w:rsidRPr="48E0C549">
        <w:rPr>
          <w:rFonts w:eastAsiaTheme="minorEastAsia"/>
          <w:color w:val="auto"/>
        </w:rPr>
        <w:t xml:space="preserve">Order </w:t>
      </w:r>
      <w:r w:rsidR="5FC0E573" w:rsidRPr="48E0C549">
        <w:rPr>
          <w:rFonts w:eastAsiaTheme="minorEastAsia"/>
          <w:color w:val="auto"/>
        </w:rPr>
        <w:t>process</w:t>
      </w:r>
      <w:r w:rsidR="5A383182" w:rsidRPr="48E0C549">
        <w:rPr>
          <w:rFonts w:eastAsiaTheme="minorEastAsia"/>
          <w:color w:val="auto"/>
        </w:rPr>
        <w:t xml:space="preserve"> and progress towards a Public Inquiry</w:t>
      </w:r>
    </w:p>
    <w:p w14:paraId="51F54A31" w14:textId="0A60FB43" w:rsidR="00F931E3" w:rsidRPr="009D0809" w:rsidRDefault="0ACBA474"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 xml:space="preserve">Leading, as approved agent, on pooling </w:t>
      </w:r>
      <w:r w:rsidR="513B7A8E" w:rsidRPr="48E0C549">
        <w:rPr>
          <w:rFonts w:eastAsiaTheme="minorEastAsia"/>
          <w:color w:val="auto"/>
        </w:rPr>
        <w:t xml:space="preserve">arrangement of </w:t>
      </w:r>
      <w:r w:rsidR="40039712" w:rsidRPr="48E0C549">
        <w:rPr>
          <w:rFonts w:eastAsiaTheme="minorEastAsia"/>
          <w:color w:val="auto"/>
        </w:rPr>
        <w:t xml:space="preserve">all </w:t>
      </w:r>
      <w:r w:rsidR="35399EA3" w:rsidRPr="48E0C549">
        <w:rPr>
          <w:rFonts w:eastAsiaTheme="minorEastAsia"/>
          <w:color w:val="auto"/>
        </w:rPr>
        <w:t xml:space="preserve">public </w:t>
      </w:r>
      <w:r w:rsidR="023D62A8" w:rsidRPr="48E0C549">
        <w:rPr>
          <w:rFonts w:eastAsiaTheme="minorEastAsia"/>
          <w:color w:val="auto"/>
        </w:rPr>
        <w:t xml:space="preserve">brownfield </w:t>
      </w:r>
      <w:r w:rsidR="5FC0E573" w:rsidRPr="48E0C549">
        <w:rPr>
          <w:rFonts w:eastAsiaTheme="minorEastAsia"/>
          <w:color w:val="auto"/>
        </w:rPr>
        <w:t>land</w:t>
      </w:r>
      <w:r w:rsidR="023D62A8" w:rsidRPr="48E0C549">
        <w:rPr>
          <w:rFonts w:eastAsiaTheme="minorEastAsia"/>
          <w:color w:val="auto"/>
        </w:rPr>
        <w:t xml:space="preserve"> </w:t>
      </w:r>
      <w:r w:rsidR="40039712" w:rsidRPr="48E0C549">
        <w:rPr>
          <w:rFonts w:eastAsiaTheme="minorEastAsia"/>
          <w:color w:val="auto"/>
        </w:rPr>
        <w:t xml:space="preserve">necessary for </w:t>
      </w:r>
      <w:r w:rsidR="4D308D0A" w:rsidRPr="48E0C549">
        <w:rPr>
          <w:rFonts w:eastAsiaTheme="minorEastAsia"/>
          <w:color w:val="auto"/>
        </w:rPr>
        <w:t>the delivery of the</w:t>
      </w:r>
      <w:r w:rsidR="1A54C2E4" w:rsidRPr="48E0C549">
        <w:rPr>
          <w:rFonts w:eastAsiaTheme="minorEastAsia"/>
          <w:color w:val="auto"/>
        </w:rPr>
        <w:t xml:space="preserve"> </w:t>
      </w:r>
      <w:r w:rsidR="4D308D0A" w:rsidRPr="48E0C549">
        <w:rPr>
          <w:rFonts w:eastAsiaTheme="minorEastAsia"/>
          <w:color w:val="auto"/>
        </w:rPr>
        <w:t>scheme</w:t>
      </w:r>
      <w:r w:rsidR="37A2F501" w:rsidRPr="48E0C549">
        <w:rPr>
          <w:rFonts w:eastAsiaTheme="minorEastAsia"/>
          <w:color w:val="auto"/>
        </w:rPr>
        <w:t xml:space="preserve"> to derisk delivery and provide confidence to the market</w:t>
      </w:r>
    </w:p>
    <w:p w14:paraId="13B48A71" w14:textId="76FC7CF8" w:rsidR="16D436CC" w:rsidRPr="009D0809" w:rsidRDefault="531252F0" w:rsidP="48E0C549">
      <w:pPr>
        <w:pStyle w:val="ListParagraph"/>
        <w:numPr>
          <w:ilvl w:val="0"/>
          <w:numId w:val="42"/>
        </w:numPr>
        <w:spacing w:before="120" w:after="120" w:line="259" w:lineRule="auto"/>
        <w:jc w:val="both"/>
        <w:rPr>
          <w:rFonts w:eastAsiaTheme="minorEastAsia"/>
          <w:color w:val="auto"/>
        </w:rPr>
      </w:pPr>
      <w:proofErr w:type="gramStart"/>
      <w:r w:rsidRPr="48E0C549">
        <w:rPr>
          <w:rFonts w:eastAsiaTheme="minorEastAsia"/>
          <w:color w:val="auto"/>
        </w:rPr>
        <w:t>entering into</w:t>
      </w:r>
      <w:proofErr w:type="gramEnd"/>
      <w:r w:rsidRPr="48E0C549">
        <w:rPr>
          <w:rFonts w:eastAsiaTheme="minorEastAsia"/>
          <w:color w:val="auto"/>
        </w:rPr>
        <w:t xml:space="preserve"> the finalised contract </w:t>
      </w:r>
      <w:r w:rsidR="5D063969" w:rsidRPr="48E0C549">
        <w:rPr>
          <w:rFonts w:eastAsiaTheme="minorEastAsia"/>
          <w:color w:val="auto"/>
        </w:rPr>
        <w:t>with a commercial partner to deliver</w:t>
      </w:r>
      <w:r w:rsidRPr="48E0C549">
        <w:rPr>
          <w:rFonts w:eastAsiaTheme="minorEastAsia"/>
          <w:color w:val="auto"/>
        </w:rPr>
        <w:t xml:space="preserve"> the heat network </w:t>
      </w:r>
      <w:r w:rsidR="743E6DDC" w:rsidRPr="48E0C549">
        <w:rPr>
          <w:rFonts w:eastAsiaTheme="minorEastAsia"/>
          <w:color w:val="auto"/>
        </w:rPr>
        <w:t>by the end of 2025</w:t>
      </w:r>
    </w:p>
    <w:p w14:paraId="788FE435" w14:textId="7BB819C2" w:rsidR="0074574E" w:rsidRPr="009D0809" w:rsidRDefault="55B46C80"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p</w:t>
      </w:r>
      <w:r w:rsidR="7A4AC4BC" w:rsidRPr="48E0C549">
        <w:rPr>
          <w:rFonts w:eastAsiaTheme="minorEastAsia"/>
          <w:color w:val="auto"/>
        </w:rPr>
        <w:t>roviding</w:t>
      </w:r>
      <w:r w:rsidR="4220BA37" w:rsidRPr="48E0C549">
        <w:rPr>
          <w:rFonts w:eastAsiaTheme="minorEastAsia"/>
          <w:color w:val="auto"/>
        </w:rPr>
        <w:t xml:space="preserve"> </w:t>
      </w:r>
      <w:r w:rsidR="5038A4BF" w:rsidRPr="48E0C549">
        <w:rPr>
          <w:rFonts w:eastAsiaTheme="minorEastAsia"/>
          <w:color w:val="auto"/>
        </w:rPr>
        <w:t xml:space="preserve">support to </w:t>
      </w:r>
      <w:proofErr w:type="gramStart"/>
      <w:r w:rsidR="5038A4BF" w:rsidRPr="48E0C549">
        <w:rPr>
          <w:rFonts w:eastAsiaTheme="minorEastAsia"/>
          <w:color w:val="auto"/>
        </w:rPr>
        <w:t>local residents</w:t>
      </w:r>
      <w:proofErr w:type="gramEnd"/>
      <w:r w:rsidR="5038A4BF" w:rsidRPr="48E0C549">
        <w:rPr>
          <w:rFonts w:eastAsiaTheme="minorEastAsia"/>
          <w:color w:val="auto"/>
        </w:rPr>
        <w:t>, communities and businesses to promote economic growth</w:t>
      </w:r>
      <w:r w:rsidR="30FEA201" w:rsidRPr="48E0C549">
        <w:rPr>
          <w:rFonts w:eastAsiaTheme="minorEastAsia"/>
          <w:color w:val="auto"/>
        </w:rPr>
        <w:t xml:space="preserve"> e.g. through provision of finance to local micro and small businesses </w:t>
      </w:r>
    </w:p>
    <w:p w14:paraId="6FB3C7BF" w14:textId="7E5D7CAF" w:rsidR="4DBA84C1" w:rsidRPr="009D0809" w:rsidRDefault="18FE23EC" w:rsidP="48E0C549">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m</w:t>
      </w:r>
      <w:r w:rsidR="75549FA9" w:rsidRPr="48E0C549">
        <w:rPr>
          <w:rFonts w:eastAsiaTheme="minorEastAsia"/>
          <w:color w:val="auto"/>
        </w:rPr>
        <w:t>anaging a</w:t>
      </w:r>
      <w:r w:rsidR="152C310D" w:rsidRPr="48E0C549">
        <w:rPr>
          <w:rFonts w:eastAsiaTheme="minorEastAsia"/>
          <w:color w:val="auto"/>
        </w:rPr>
        <w:t xml:space="preserve"> growing </w:t>
      </w:r>
      <w:r w:rsidR="34133A95" w:rsidRPr="48E0C549">
        <w:rPr>
          <w:rFonts w:eastAsiaTheme="minorEastAsia"/>
          <w:color w:val="auto"/>
        </w:rPr>
        <w:t>asset portfolio</w:t>
      </w:r>
      <w:r w:rsidR="7D8F40F6" w:rsidRPr="48E0C549">
        <w:rPr>
          <w:rFonts w:eastAsiaTheme="minorEastAsia"/>
          <w:color w:val="auto"/>
        </w:rPr>
        <w:t xml:space="preserve"> </w:t>
      </w:r>
      <w:r w:rsidR="453A72FA" w:rsidRPr="48E0C549">
        <w:rPr>
          <w:rFonts w:eastAsiaTheme="minorEastAsia"/>
          <w:color w:val="auto"/>
        </w:rPr>
        <w:t xml:space="preserve">and supporting the businesses </w:t>
      </w:r>
      <w:r w:rsidR="315D8283" w:rsidRPr="48E0C549">
        <w:rPr>
          <w:rFonts w:eastAsiaTheme="minorEastAsia"/>
          <w:color w:val="auto"/>
        </w:rPr>
        <w:t>operating</w:t>
      </w:r>
      <w:r w:rsidR="453A72FA" w:rsidRPr="48E0C549">
        <w:rPr>
          <w:rFonts w:eastAsiaTheme="minorEastAsia"/>
          <w:color w:val="auto"/>
        </w:rPr>
        <w:t xml:space="preserve"> within </w:t>
      </w:r>
      <w:r w:rsidR="315D8283" w:rsidRPr="48E0C549">
        <w:rPr>
          <w:rFonts w:eastAsiaTheme="minorEastAsia"/>
          <w:color w:val="auto"/>
        </w:rPr>
        <w:t>our landholdings</w:t>
      </w:r>
      <w:r w:rsidR="59CD3633" w:rsidRPr="48E0C549">
        <w:rPr>
          <w:rFonts w:eastAsiaTheme="minorEastAsia"/>
          <w:color w:val="auto"/>
        </w:rPr>
        <w:t xml:space="preserve"> to build and maintain a revenue stream ahead of these being vacated for scheme delivery over the medium to long term</w:t>
      </w:r>
      <w:r w:rsidR="00A6EAA4" w:rsidRPr="48E0C549">
        <w:rPr>
          <w:rFonts w:eastAsiaTheme="minorEastAsia"/>
          <w:color w:val="auto"/>
        </w:rPr>
        <w:t xml:space="preserve"> </w:t>
      </w:r>
    </w:p>
    <w:p w14:paraId="71A78D1C" w14:textId="56F3367F" w:rsidR="2FAC567C" w:rsidRPr="00D110E1" w:rsidRDefault="241BC6CE" w:rsidP="00D110E1">
      <w:pPr>
        <w:pStyle w:val="Normal21"/>
        <w:spacing w:after="0"/>
        <w:ind w:left="680"/>
        <w:jc w:val="both"/>
        <w:rPr>
          <w:rFonts w:eastAsiaTheme="minorEastAsia"/>
          <w:b/>
          <w:bCs/>
        </w:rPr>
      </w:pPr>
      <w:r w:rsidRPr="00D110E1">
        <w:rPr>
          <w:rFonts w:eastAsiaTheme="minorEastAsia"/>
          <w:b/>
          <w:bCs/>
        </w:rPr>
        <w:t>Planning</w:t>
      </w:r>
    </w:p>
    <w:p w14:paraId="11443D32" w14:textId="2133B687" w:rsidR="432823AD" w:rsidRPr="00D110E1" w:rsidRDefault="03B66160" w:rsidP="003B6A3E">
      <w:pPr>
        <w:pStyle w:val="Normal21"/>
        <w:numPr>
          <w:ilvl w:val="0"/>
          <w:numId w:val="34"/>
        </w:numPr>
        <w:spacing w:after="0"/>
        <w:jc w:val="both"/>
      </w:pPr>
      <w:r w:rsidRPr="00D110E1">
        <w:t>The Planning Directorate will operate its statutory function as local planning authority. This includes:</w:t>
      </w:r>
    </w:p>
    <w:p w14:paraId="42118FC7" w14:textId="7E034979" w:rsidR="00231806" w:rsidRPr="002361CF" w:rsidRDefault="00AE5EBC"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lastRenderedPageBreak/>
        <w:t>o</w:t>
      </w:r>
      <w:r w:rsidR="16E9C59A" w:rsidRPr="48E0C549">
        <w:rPr>
          <w:rFonts w:eastAsiaTheme="minorEastAsia"/>
          <w:color w:val="auto"/>
        </w:rPr>
        <w:t>verseeing the determination of an 8,000-home pipeline of planning applications</w:t>
      </w:r>
      <w:r w:rsidR="1A2A5338" w:rsidRPr="48E0C549">
        <w:rPr>
          <w:rFonts w:eastAsiaTheme="minorEastAsia"/>
          <w:color w:val="auto"/>
        </w:rPr>
        <w:t xml:space="preserve">, maximising the delivery of affordable homes, </w:t>
      </w:r>
      <w:proofErr w:type="gramStart"/>
      <w:r w:rsidR="1A2A5338" w:rsidRPr="48E0C549">
        <w:rPr>
          <w:rFonts w:eastAsiaTheme="minorEastAsia"/>
          <w:color w:val="auto"/>
        </w:rPr>
        <w:t>jobs</w:t>
      </w:r>
      <w:proofErr w:type="gramEnd"/>
      <w:r w:rsidR="1A2A5338" w:rsidRPr="48E0C549">
        <w:rPr>
          <w:rFonts w:eastAsiaTheme="minorEastAsia"/>
          <w:color w:val="auto"/>
        </w:rPr>
        <w:t xml:space="preserve"> and new and improved infrastructure</w:t>
      </w:r>
    </w:p>
    <w:p w14:paraId="3EA938D1" w14:textId="68A0D07E" w:rsidR="332DC0EA" w:rsidRPr="00E9531F" w:rsidRDefault="25EA61E8"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a</w:t>
      </w:r>
      <w:r w:rsidR="332DC0EA" w:rsidRPr="48E0C549">
        <w:rPr>
          <w:rFonts w:eastAsiaTheme="minorEastAsia"/>
          <w:color w:val="auto"/>
        </w:rPr>
        <w:t xml:space="preserve">ccelerating allocation and </w:t>
      </w:r>
      <w:r w:rsidR="00BC6288" w:rsidRPr="48E0C549">
        <w:rPr>
          <w:rFonts w:eastAsiaTheme="minorEastAsia"/>
          <w:color w:val="auto"/>
        </w:rPr>
        <w:t>expenditure</w:t>
      </w:r>
      <w:r w:rsidR="332DC0EA" w:rsidRPr="48E0C549">
        <w:rPr>
          <w:rFonts w:eastAsiaTheme="minorEastAsia"/>
          <w:color w:val="auto"/>
        </w:rPr>
        <w:t xml:space="preserve"> of Section 106 contributions and Community Infrastructure Levy</w:t>
      </w:r>
    </w:p>
    <w:p w14:paraId="4F8E9334" w14:textId="5BFD847C" w:rsidR="00D66FD7" w:rsidRDefault="00D66FD7"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i</w:t>
      </w:r>
      <w:r w:rsidR="1EE6E49D" w:rsidRPr="48E0C549">
        <w:rPr>
          <w:rFonts w:eastAsiaTheme="minorEastAsia"/>
          <w:color w:val="auto"/>
        </w:rPr>
        <w:t xml:space="preserve">mplementing </w:t>
      </w:r>
      <w:r w:rsidRPr="48E0C549">
        <w:rPr>
          <w:rFonts w:eastAsiaTheme="minorEastAsia"/>
          <w:color w:val="auto"/>
        </w:rPr>
        <w:t>the</w:t>
      </w:r>
      <w:r w:rsidR="1EE6E49D" w:rsidRPr="48E0C549">
        <w:rPr>
          <w:rFonts w:eastAsiaTheme="minorEastAsia"/>
          <w:color w:val="auto"/>
        </w:rPr>
        <w:t xml:space="preserve"> policies </w:t>
      </w:r>
      <w:r w:rsidRPr="48E0C549">
        <w:rPr>
          <w:rFonts w:eastAsiaTheme="minorEastAsia"/>
          <w:color w:val="auto"/>
        </w:rPr>
        <w:t>set out in our</w:t>
      </w:r>
      <w:r w:rsidR="1EE6E49D" w:rsidRPr="48E0C549">
        <w:rPr>
          <w:rFonts w:eastAsiaTheme="minorEastAsia"/>
          <w:color w:val="auto"/>
        </w:rPr>
        <w:t xml:space="preserve"> Local Plan </w:t>
      </w:r>
    </w:p>
    <w:p w14:paraId="23A51FAB" w14:textId="3A19B0BE" w:rsidR="009F4206" w:rsidRPr="009A397C" w:rsidRDefault="00AE5EBC"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p</w:t>
      </w:r>
      <w:r w:rsidR="71F5EBD4" w:rsidRPr="48E0C549">
        <w:rPr>
          <w:rFonts w:eastAsiaTheme="minorEastAsia"/>
          <w:color w:val="auto"/>
        </w:rPr>
        <w:t xml:space="preserve">rogressing </w:t>
      </w:r>
      <w:r w:rsidR="1A8F73E0" w:rsidRPr="48E0C549">
        <w:rPr>
          <w:rFonts w:eastAsiaTheme="minorEastAsia"/>
          <w:color w:val="auto"/>
        </w:rPr>
        <w:t xml:space="preserve">the </w:t>
      </w:r>
      <w:r w:rsidR="71F5EBD4" w:rsidRPr="48E0C549">
        <w:rPr>
          <w:rFonts w:eastAsiaTheme="minorEastAsia"/>
          <w:color w:val="auto"/>
        </w:rPr>
        <w:t xml:space="preserve">Local Plan Review and </w:t>
      </w:r>
      <w:r w:rsidR="4A588C31" w:rsidRPr="48E0C549">
        <w:rPr>
          <w:rFonts w:eastAsiaTheme="minorEastAsia"/>
          <w:color w:val="auto"/>
        </w:rPr>
        <w:t xml:space="preserve">developing a detailed programme for the commissioning of evidence, </w:t>
      </w:r>
      <w:proofErr w:type="gramStart"/>
      <w:r w:rsidR="4A588C31" w:rsidRPr="48E0C549">
        <w:rPr>
          <w:rFonts w:eastAsiaTheme="minorEastAsia"/>
          <w:color w:val="auto"/>
        </w:rPr>
        <w:t>consultation</w:t>
      </w:r>
      <w:proofErr w:type="gramEnd"/>
      <w:r w:rsidR="4A588C31" w:rsidRPr="48E0C549">
        <w:rPr>
          <w:rFonts w:eastAsiaTheme="minorEastAsia"/>
          <w:color w:val="auto"/>
        </w:rPr>
        <w:t xml:space="preserve"> and engagement to review the Local Plan</w:t>
      </w:r>
      <w:r w:rsidR="009B1A8D" w:rsidRPr="48E0C549">
        <w:rPr>
          <w:rFonts w:eastAsiaTheme="minorEastAsia"/>
          <w:color w:val="auto"/>
        </w:rPr>
        <w:t xml:space="preserve"> following the </w:t>
      </w:r>
      <w:r w:rsidR="00DA0D05" w:rsidRPr="48E0C549">
        <w:rPr>
          <w:rFonts w:eastAsiaTheme="minorEastAsia"/>
          <w:color w:val="auto"/>
        </w:rPr>
        <w:t xml:space="preserve">government’s confirmation of </w:t>
      </w:r>
      <w:r w:rsidR="009B1A8D" w:rsidRPr="48E0C549">
        <w:rPr>
          <w:rFonts w:eastAsiaTheme="minorEastAsia"/>
          <w:color w:val="auto"/>
        </w:rPr>
        <w:t xml:space="preserve">planning reforms </w:t>
      </w:r>
    </w:p>
    <w:p w14:paraId="13A22180" w14:textId="71B95943" w:rsidR="00F055EE" w:rsidRPr="009D0809" w:rsidRDefault="4A657B43"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e</w:t>
      </w:r>
      <w:r w:rsidR="602ED0BA" w:rsidRPr="48E0C549">
        <w:rPr>
          <w:rFonts w:eastAsiaTheme="minorEastAsia"/>
          <w:color w:val="auto"/>
        </w:rPr>
        <w:t xml:space="preserve">stablishing a Code of Construction Practice for the OPDC area </w:t>
      </w:r>
      <w:r w:rsidR="4E40D680" w:rsidRPr="48E0C549">
        <w:rPr>
          <w:rFonts w:eastAsiaTheme="minorEastAsia"/>
          <w:color w:val="auto"/>
        </w:rPr>
        <w:t>in partnership</w:t>
      </w:r>
      <w:r w:rsidR="602ED0BA" w:rsidRPr="48E0C549">
        <w:rPr>
          <w:rFonts w:eastAsiaTheme="minorEastAsia"/>
          <w:color w:val="auto"/>
        </w:rPr>
        <w:t xml:space="preserve"> with the host boroughs</w:t>
      </w:r>
      <w:r w:rsidR="2AA8F0B2" w:rsidRPr="48E0C549">
        <w:rPr>
          <w:rFonts w:eastAsiaTheme="minorEastAsia"/>
          <w:color w:val="auto"/>
        </w:rPr>
        <w:t>,</w:t>
      </w:r>
      <w:r w:rsidR="602ED0BA" w:rsidRPr="48E0C549">
        <w:rPr>
          <w:rFonts w:eastAsiaTheme="minorEastAsia"/>
          <w:color w:val="auto"/>
        </w:rPr>
        <w:t xml:space="preserve"> and expanding enforcement capacity </w:t>
      </w:r>
      <w:r w:rsidR="2222CBA3" w:rsidRPr="48E0C549">
        <w:rPr>
          <w:rFonts w:eastAsiaTheme="minorEastAsia"/>
          <w:color w:val="auto"/>
        </w:rPr>
        <w:t>especially</w:t>
      </w:r>
      <w:r w:rsidR="602ED0BA" w:rsidRPr="48E0C549">
        <w:rPr>
          <w:rFonts w:eastAsiaTheme="minorEastAsia"/>
          <w:color w:val="auto"/>
        </w:rPr>
        <w:t xml:space="preserve"> in relation to Construction Management</w:t>
      </w:r>
    </w:p>
    <w:p w14:paraId="416FE6AD" w14:textId="5C837DC4" w:rsidR="000B6323" w:rsidRPr="009D0809" w:rsidRDefault="00AE5EBC"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a</w:t>
      </w:r>
      <w:r w:rsidR="65C1B109" w:rsidRPr="48E0C549">
        <w:rPr>
          <w:rFonts w:eastAsiaTheme="minorEastAsia"/>
          <w:color w:val="auto"/>
        </w:rPr>
        <w:t>ddressing unauthorised development to protect the amenity of residents and businesses and ensure industrial land supply is protected and used intensively and efficiently</w:t>
      </w:r>
      <w:r w:rsidR="34648ECE" w:rsidRPr="48E0C549">
        <w:rPr>
          <w:rFonts w:eastAsiaTheme="minorEastAsia"/>
          <w:color w:val="auto"/>
        </w:rPr>
        <w:t>.</w:t>
      </w:r>
    </w:p>
    <w:p w14:paraId="7C28F421" w14:textId="77777777" w:rsidR="00D110E1" w:rsidRPr="00D110E1" w:rsidRDefault="6D67CB88" w:rsidP="00D110E1">
      <w:pPr>
        <w:pStyle w:val="Normal21"/>
        <w:spacing w:after="0"/>
        <w:ind w:left="680"/>
        <w:rPr>
          <w:rFonts w:eastAsiaTheme="minorEastAsia"/>
          <w:b/>
          <w:bCs/>
        </w:rPr>
      </w:pPr>
      <w:r w:rsidRPr="00D110E1">
        <w:rPr>
          <w:rFonts w:eastAsiaTheme="minorEastAsia"/>
          <w:b/>
          <w:bCs/>
        </w:rPr>
        <w:t>Corporate Operations &amp; Finance</w:t>
      </w:r>
    </w:p>
    <w:p w14:paraId="0FFD0136" w14:textId="183B0E9B" w:rsidR="00D42C32" w:rsidRPr="00D110E1" w:rsidRDefault="585260EA" w:rsidP="003B6A3E">
      <w:pPr>
        <w:pStyle w:val="Normal21"/>
        <w:numPr>
          <w:ilvl w:val="0"/>
          <w:numId w:val="34"/>
        </w:numPr>
        <w:spacing w:after="0"/>
        <w:rPr>
          <w:rFonts w:eastAsiaTheme="minorEastAsia"/>
        </w:rPr>
      </w:pPr>
      <w:r w:rsidRPr="00D110E1">
        <w:t xml:space="preserve">The Corporate Operations &amp; Finance function will ensure </w:t>
      </w:r>
      <w:r w:rsidR="003C2363">
        <w:t>the corporation is operating effectively and efficie</w:t>
      </w:r>
      <w:r w:rsidR="002D77D3">
        <w:t>ntly to meet our</w:t>
      </w:r>
      <w:r w:rsidRPr="00D110E1">
        <w:t xml:space="preserve"> delivery </w:t>
      </w:r>
      <w:r w:rsidR="002D77D3">
        <w:t>objectives</w:t>
      </w:r>
      <w:r w:rsidRPr="00D110E1">
        <w:t>. This includes:</w:t>
      </w:r>
      <w:r w:rsidRPr="00D110E1">
        <w:rPr>
          <w:rFonts w:eastAsiaTheme="minorEastAsia"/>
        </w:rPr>
        <w:t xml:space="preserve"> </w:t>
      </w:r>
    </w:p>
    <w:p w14:paraId="66F0EE48" w14:textId="7A83B56B" w:rsidR="005C2008" w:rsidRPr="00EB5544" w:rsidRDefault="00AE5EBC"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b</w:t>
      </w:r>
      <w:r w:rsidR="24745E0F" w:rsidRPr="48E0C549">
        <w:rPr>
          <w:rFonts w:eastAsiaTheme="minorEastAsia"/>
          <w:color w:val="auto"/>
        </w:rPr>
        <w:t xml:space="preserve">uilding capacity and </w:t>
      </w:r>
      <w:r w:rsidR="2082A1B9" w:rsidRPr="48E0C549">
        <w:rPr>
          <w:rFonts w:eastAsiaTheme="minorEastAsia"/>
          <w:color w:val="auto"/>
        </w:rPr>
        <w:t xml:space="preserve">skills </w:t>
      </w:r>
      <w:r w:rsidR="579FC33B" w:rsidRPr="48E0C549">
        <w:rPr>
          <w:rFonts w:eastAsiaTheme="minorEastAsia"/>
          <w:color w:val="auto"/>
        </w:rPr>
        <w:t>in finance</w:t>
      </w:r>
      <w:r w:rsidR="009203DB" w:rsidRPr="48E0C549">
        <w:rPr>
          <w:rFonts w:eastAsiaTheme="minorEastAsia"/>
          <w:color w:val="auto"/>
        </w:rPr>
        <w:t xml:space="preserve"> as </w:t>
      </w:r>
      <w:r w:rsidR="00950828" w:rsidRPr="48E0C549">
        <w:rPr>
          <w:rFonts w:eastAsiaTheme="minorEastAsia"/>
          <w:color w:val="auto"/>
        </w:rPr>
        <w:t>OPDC’s</w:t>
      </w:r>
      <w:r w:rsidR="009203DB" w:rsidRPr="48E0C549">
        <w:rPr>
          <w:rFonts w:eastAsiaTheme="minorEastAsia"/>
          <w:color w:val="auto"/>
        </w:rPr>
        <w:t xml:space="preserve"> asset </w:t>
      </w:r>
      <w:r w:rsidR="00C31C6C" w:rsidRPr="48E0C549">
        <w:rPr>
          <w:rFonts w:eastAsiaTheme="minorEastAsia"/>
          <w:color w:val="auto"/>
        </w:rPr>
        <w:t>portfolio grows</w:t>
      </w:r>
      <w:r w:rsidR="579FC33B" w:rsidRPr="48E0C549">
        <w:rPr>
          <w:rFonts w:eastAsiaTheme="minorEastAsia"/>
          <w:color w:val="auto"/>
        </w:rPr>
        <w:t xml:space="preserve"> </w:t>
      </w:r>
      <w:r w:rsidR="2BB62C13" w:rsidRPr="48E0C549">
        <w:rPr>
          <w:rFonts w:eastAsiaTheme="minorEastAsia"/>
          <w:color w:val="auto"/>
        </w:rPr>
        <w:t>t</w:t>
      </w:r>
      <w:r w:rsidR="5D7109AD" w:rsidRPr="48E0C549">
        <w:rPr>
          <w:rFonts w:eastAsiaTheme="minorEastAsia"/>
          <w:color w:val="auto"/>
        </w:rPr>
        <w:t xml:space="preserve">o </w:t>
      </w:r>
      <w:r w:rsidR="5B1EF37A" w:rsidRPr="48E0C549">
        <w:rPr>
          <w:rFonts w:eastAsiaTheme="minorEastAsia"/>
          <w:color w:val="auto"/>
        </w:rPr>
        <w:t xml:space="preserve">ensure </w:t>
      </w:r>
      <w:r w:rsidR="0027E4E7" w:rsidRPr="48E0C549">
        <w:rPr>
          <w:rFonts w:eastAsiaTheme="minorEastAsia"/>
          <w:color w:val="auto"/>
        </w:rPr>
        <w:t xml:space="preserve">assurance and </w:t>
      </w:r>
      <w:r w:rsidR="5B1EF37A" w:rsidRPr="48E0C549">
        <w:rPr>
          <w:rFonts w:eastAsiaTheme="minorEastAsia"/>
          <w:color w:val="auto"/>
        </w:rPr>
        <w:t>complia</w:t>
      </w:r>
      <w:r w:rsidR="3940F9D7" w:rsidRPr="48E0C549">
        <w:rPr>
          <w:rFonts w:eastAsiaTheme="minorEastAsia"/>
          <w:color w:val="auto"/>
        </w:rPr>
        <w:t>nce</w:t>
      </w:r>
      <w:r w:rsidR="223A04E7" w:rsidRPr="48E0C549">
        <w:rPr>
          <w:rFonts w:eastAsiaTheme="minorEastAsia"/>
          <w:color w:val="auto"/>
        </w:rPr>
        <w:t xml:space="preserve"> to</w:t>
      </w:r>
      <w:r w:rsidR="2BB62C13" w:rsidRPr="48E0C549">
        <w:rPr>
          <w:rFonts w:eastAsiaTheme="minorEastAsia"/>
          <w:color w:val="auto"/>
        </w:rPr>
        <w:t xml:space="preserve"> statutory </w:t>
      </w:r>
      <w:r w:rsidR="00F340CC" w:rsidRPr="48E0C549">
        <w:rPr>
          <w:rFonts w:eastAsiaTheme="minorEastAsia"/>
          <w:color w:val="auto"/>
        </w:rPr>
        <w:t xml:space="preserve">obligations </w:t>
      </w:r>
      <w:r w:rsidR="2BB62C13" w:rsidRPr="48E0C549">
        <w:rPr>
          <w:rFonts w:eastAsiaTheme="minorEastAsia"/>
          <w:color w:val="auto"/>
        </w:rPr>
        <w:t xml:space="preserve">and group reporting </w:t>
      </w:r>
    </w:p>
    <w:p w14:paraId="31EFF3AE" w14:textId="29D3C43B" w:rsidR="005F5D5E" w:rsidRPr="00EB5544" w:rsidRDefault="00AE5EBC" w:rsidP="004C28A3">
      <w:pPr>
        <w:pStyle w:val="ListParagraph"/>
        <w:numPr>
          <w:ilvl w:val="0"/>
          <w:numId w:val="42"/>
        </w:numPr>
        <w:spacing w:before="120" w:after="120" w:line="259" w:lineRule="auto"/>
        <w:jc w:val="both"/>
        <w:rPr>
          <w:rFonts w:eastAsiaTheme="minorEastAsia"/>
          <w:color w:val="auto"/>
        </w:rPr>
      </w:pPr>
      <w:r w:rsidRPr="48E0C549">
        <w:rPr>
          <w:rFonts w:eastAsiaTheme="minorEastAsia"/>
          <w:color w:val="auto"/>
        </w:rPr>
        <w:t>e</w:t>
      </w:r>
      <w:r w:rsidR="14904BE3" w:rsidRPr="48E0C549">
        <w:rPr>
          <w:rFonts w:eastAsiaTheme="minorEastAsia"/>
          <w:color w:val="auto"/>
        </w:rPr>
        <w:t xml:space="preserve">nsuring </w:t>
      </w:r>
      <w:r w:rsidR="018B8405" w:rsidRPr="48E0C549">
        <w:rPr>
          <w:rFonts w:eastAsiaTheme="minorEastAsia"/>
          <w:color w:val="auto"/>
        </w:rPr>
        <w:t>appropriate resourc</w:t>
      </w:r>
      <w:r w:rsidR="4DDAA21E" w:rsidRPr="48E0C549">
        <w:rPr>
          <w:rFonts w:eastAsiaTheme="minorEastAsia"/>
          <w:color w:val="auto"/>
        </w:rPr>
        <w:t xml:space="preserve">es in </w:t>
      </w:r>
      <w:r w:rsidR="65F3D40C" w:rsidRPr="48E0C549">
        <w:rPr>
          <w:rFonts w:eastAsiaTheme="minorEastAsia"/>
          <w:color w:val="auto"/>
        </w:rPr>
        <w:t>g</w:t>
      </w:r>
      <w:r w:rsidR="70C94307" w:rsidRPr="48E0C549">
        <w:rPr>
          <w:rFonts w:eastAsiaTheme="minorEastAsia"/>
          <w:color w:val="auto"/>
        </w:rPr>
        <w:t xml:space="preserve">overnance and HR </w:t>
      </w:r>
      <w:r w:rsidR="28BD6EC5" w:rsidRPr="48E0C549">
        <w:rPr>
          <w:rFonts w:eastAsiaTheme="minorEastAsia"/>
          <w:color w:val="auto"/>
        </w:rPr>
        <w:t xml:space="preserve">to support </w:t>
      </w:r>
      <w:r w:rsidR="40776445" w:rsidRPr="48E0C549">
        <w:rPr>
          <w:rFonts w:eastAsiaTheme="minorEastAsia"/>
          <w:color w:val="auto"/>
        </w:rPr>
        <w:t>an expanding and more complex organisation</w:t>
      </w:r>
      <w:r w:rsidR="000F6438" w:rsidRPr="48E0C549">
        <w:rPr>
          <w:rFonts w:eastAsiaTheme="minorEastAsia"/>
          <w:color w:val="auto"/>
        </w:rPr>
        <w:t xml:space="preserve"> through effective business partnering</w:t>
      </w:r>
    </w:p>
    <w:p w14:paraId="2FB031E3" w14:textId="1309D932" w:rsidR="000C62CE" w:rsidRPr="00EB5544" w:rsidRDefault="00AE5EBC" w:rsidP="004C28A3">
      <w:pPr>
        <w:pStyle w:val="ListParagraph"/>
        <w:numPr>
          <w:ilvl w:val="0"/>
          <w:numId w:val="42"/>
        </w:numPr>
        <w:spacing w:before="120" w:after="120" w:line="259" w:lineRule="auto"/>
        <w:jc w:val="both"/>
        <w:rPr>
          <w:rFonts w:eastAsiaTheme="minorEastAsia"/>
          <w:color w:val="auto"/>
        </w:rPr>
      </w:pPr>
      <w:r w:rsidRPr="48E0C549">
        <w:rPr>
          <w:color w:val="auto"/>
        </w:rPr>
        <w:t>d</w:t>
      </w:r>
      <w:r w:rsidR="52FC6E22" w:rsidRPr="48E0C549">
        <w:rPr>
          <w:color w:val="auto"/>
        </w:rPr>
        <w:t xml:space="preserve">esigning </w:t>
      </w:r>
      <w:r w:rsidR="6ED41E44" w:rsidRPr="48E0C549">
        <w:rPr>
          <w:color w:val="auto"/>
        </w:rPr>
        <w:t xml:space="preserve">the new office space </w:t>
      </w:r>
      <w:r w:rsidR="00080876" w:rsidRPr="48E0C549">
        <w:rPr>
          <w:color w:val="auto"/>
        </w:rPr>
        <w:t>in OPDC’s regeneration area</w:t>
      </w:r>
      <w:r w:rsidR="6ED41E44" w:rsidRPr="48E0C549">
        <w:rPr>
          <w:color w:val="auto"/>
        </w:rPr>
        <w:t xml:space="preserve"> </w:t>
      </w:r>
      <w:r w:rsidR="4E02AAE4" w:rsidRPr="48E0C549">
        <w:rPr>
          <w:color w:val="auto"/>
        </w:rPr>
        <w:t xml:space="preserve">to a modern </w:t>
      </w:r>
      <w:r w:rsidR="1A0A9E3F" w:rsidRPr="48E0C549">
        <w:rPr>
          <w:color w:val="auto"/>
        </w:rPr>
        <w:t xml:space="preserve">specification </w:t>
      </w:r>
      <w:r w:rsidR="6ED41E44" w:rsidRPr="48E0C549">
        <w:rPr>
          <w:color w:val="auto"/>
        </w:rPr>
        <w:t xml:space="preserve">in line with GLA </w:t>
      </w:r>
      <w:r w:rsidR="0B61CCC0" w:rsidRPr="48E0C549">
        <w:rPr>
          <w:color w:val="auto"/>
        </w:rPr>
        <w:t>standards</w:t>
      </w:r>
    </w:p>
    <w:p w14:paraId="783883F7" w14:textId="7BDE000B" w:rsidR="009C5FCE" w:rsidRPr="00EB5544" w:rsidRDefault="00AE5EBC" w:rsidP="004C28A3">
      <w:pPr>
        <w:pStyle w:val="ListParagraph"/>
        <w:numPr>
          <w:ilvl w:val="0"/>
          <w:numId w:val="42"/>
        </w:numPr>
        <w:spacing w:before="120" w:after="120" w:line="259" w:lineRule="auto"/>
        <w:jc w:val="both"/>
        <w:rPr>
          <w:rFonts w:eastAsiaTheme="minorEastAsia"/>
          <w:color w:val="auto"/>
        </w:rPr>
      </w:pPr>
      <w:r w:rsidRPr="48E0C549">
        <w:rPr>
          <w:color w:val="auto"/>
        </w:rPr>
        <w:t>w</w:t>
      </w:r>
      <w:r w:rsidR="2C2992CA" w:rsidRPr="48E0C549">
        <w:rPr>
          <w:color w:val="auto"/>
        </w:rPr>
        <w:t>orking in partnership with GLA Group Collaboration Board to leverage best practise and drive value for money through our shared service arrangements with the wider group</w:t>
      </w:r>
    </w:p>
    <w:p w14:paraId="136AC2A4" w14:textId="7AC7921C" w:rsidR="001E7C2C" w:rsidRPr="00EB5544" w:rsidRDefault="00AE5EBC" w:rsidP="004C28A3">
      <w:pPr>
        <w:pStyle w:val="ListParagraph"/>
        <w:numPr>
          <w:ilvl w:val="0"/>
          <w:numId w:val="42"/>
        </w:numPr>
        <w:spacing w:before="120" w:after="120" w:line="259" w:lineRule="auto"/>
        <w:jc w:val="both"/>
        <w:rPr>
          <w:rFonts w:eastAsiaTheme="minorEastAsia"/>
          <w:color w:val="auto"/>
        </w:rPr>
      </w:pPr>
      <w:r w:rsidRPr="48E0C549">
        <w:rPr>
          <w:color w:val="auto"/>
        </w:rPr>
        <w:t>s</w:t>
      </w:r>
      <w:r w:rsidR="2C2992CA" w:rsidRPr="48E0C549">
        <w:rPr>
          <w:color w:val="auto"/>
        </w:rPr>
        <w:t>ound financial management and governance, entailing effective, accurate budget management and financial reporting</w:t>
      </w:r>
      <w:r w:rsidR="002E6D3D" w:rsidRPr="48E0C549">
        <w:rPr>
          <w:color w:val="auto"/>
        </w:rPr>
        <w:t>.</w:t>
      </w:r>
    </w:p>
    <w:p w14:paraId="153CD1FA" w14:textId="61804C6E" w:rsidR="2925DE9C" w:rsidRPr="00D110E1" w:rsidRDefault="4243A63E" w:rsidP="00D110E1">
      <w:pPr>
        <w:pStyle w:val="Normal21"/>
        <w:spacing w:after="0"/>
        <w:ind w:left="680"/>
        <w:jc w:val="both"/>
        <w:rPr>
          <w:rFonts w:eastAsiaTheme="minorEastAsia"/>
          <w:b/>
          <w:bCs/>
        </w:rPr>
      </w:pPr>
      <w:r w:rsidRPr="00D110E1">
        <w:rPr>
          <w:rFonts w:eastAsiaTheme="minorEastAsia"/>
          <w:b/>
          <w:bCs/>
        </w:rPr>
        <w:t xml:space="preserve">CEO Office, </w:t>
      </w:r>
      <w:r w:rsidR="3DDA5990" w:rsidRPr="00D110E1">
        <w:rPr>
          <w:rFonts w:eastAsiaTheme="minorEastAsia"/>
          <w:b/>
          <w:bCs/>
        </w:rPr>
        <w:t>Communications and Engagement</w:t>
      </w:r>
    </w:p>
    <w:p w14:paraId="08583BB8" w14:textId="0C4003B1" w:rsidR="16D436CC" w:rsidRPr="00D110E1" w:rsidRDefault="33F89B5E" w:rsidP="003B6A3E">
      <w:pPr>
        <w:pStyle w:val="Normal21"/>
        <w:numPr>
          <w:ilvl w:val="0"/>
          <w:numId w:val="34"/>
        </w:numPr>
        <w:spacing w:after="0"/>
        <w:jc w:val="both"/>
        <w:rPr>
          <w:rFonts w:eastAsiaTheme="minorEastAsia"/>
        </w:rPr>
      </w:pPr>
      <w:r w:rsidRPr="00D110E1">
        <w:t xml:space="preserve">The Communications and Engagement function will engage stakeholders, </w:t>
      </w:r>
      <w:proofErr w:type="gramStart"/>
      <w:r w:rsidRPr="00D110E1">
        <w:t>partners</w:t>
      </w:r>
      <w:proofErr w:type="gramEnd"/>
      <w:r w:rsidRPr="00D110E1">
        <w:t xml:space="preserve"> and communities, raising awareness, increasing participation and building advocacy to help shape regeneration. This includes:</w:t>
      </w:r>
    </w:p>
    <w:p w14:paraId="2377D697" w14:textId="532390D8" w:rsidR="00A5150D" w:rsidRPr="00D110E1" w:rsidRDefault="00AE5EBC" w:rsidP="003B6A3E">
      <w:pPr>
        <w:pStyle w:val="Normal21"/>
        <w:numPr>
          <w:ilvl w:val="0"/>
          <w:numId w:val="43"/>
        </w:numPr>
        <w:spacing w:after="0"/>
        <w:jc w:val="both"/>
        <w:rPr>
          <w:rFonts w:eastAsiaTheme="minorEastAsia"/>
        </w:rPr>
      </w:pPr>
      <w:r>
        <w:t>i</w:t>
      </w:r>
      <w:r w:rsidR="6CF8C295">
        <w:t xml:space="preserve">nclusive engagement, </w:t>
      </w:r>
      <w:proofErr w:type="gramStart"/>
      <w:r w:rsidR="6CF8C295">
        <w:t>consultation</w:t>
      </w:r>
      <w:proofErr w:type="gramEnd"/>
      <w:r w:rsidR="6CF8C295">
        <w:t xml:space="preserve"> and community relations to shape development</w:t>
      </w:r>
      <w:r w:rsidR="177B20D0">
        <w:t xml:space="preserve">, in particular, best practice engagement and consultation in support of the development of the </w:t>
      </w:r>
      <w:r w:rsidR="0D6D83FB">
        <w:t>emerging</w:t>
      </w:r>
      <w:r w:rsidR="177B20D0">
        <w:t xml:space="preserve"> Old Oak masterplan</w:t>
      </w:r>
    </w:p>
    <w:p w14:paraId="374FD2B8" w14:textId="2E7C6DF6" w:rsidR="00A5150D" w:rsidRPr="00D110E1" w:rsidRDefault="00AE5EBC" w:rsidP="003B6A3E">
      <w:pPr>
        <w:pStyle w:val="Normal21"/>
        <w:numPr>
          <w:ilvl w:val="0"/>
          <w:numId w:val="43"/>
        </w:numPr>
        <w:spacing w:after="0"/>
        <w:jc w:val="both"/>
        <w:rPr>
          <w:rFonts w:eastAsiaTheme="minorEastAsia"/>
        </w:rPr>
      </w:pPr>
      <w:r>
        <w:t>c</w:t>
      </w:r>
      <w:r w:rsidR="6CF8C295">
        <w:t xml:space="preserve">ommunity outreach and network building, particularly with those whose voices go unheard, through small grants, volunteering and </w:t>
      </w:r>
      <w:r w:rsidR="36A1356D">
        <w:t xml:space="preserve">meanwhile use </w:t>
      </w:r>
      <w:r w:rsidR="6CF8C295">
        <w:t>pro</w:t>
      </w:r>
      <w:r w:rsidR="00926658">
        <w:t>jects</w:t>
      </w:r>
      <w:r w:rsidR="36A1356D">
        <w:t>, including the roll-out of OPDC’s youth engagement programme</w:t>
      </w:r>
    </w:p>
    <w:p w14:paraId="253D00D9" w14:textId="7DDF5C66" w:rsidR="00A5150D" w:rsidRPr="00D110E1" w:rsidRDefault="00AE5EBC" w:rsidP="20DDCA07">
      <w:pPr>
        <w:pStyle w:val="Normal21"/>
        <w:numPr>
          <w:ilvl w:val="0"/>
          <w:numId w:val="43"/>
        </w:numPr>
        <w:spacing w:after="0"/>
        <w:jc w:val="both"/>
        <w:rPr>
          <w:rFonts w:eastAsiaTheme="minorEastAsia"/>
        </w:rPr>
      </w:pPr>
      <w:r>
        <w:t>p</w:t>
      </w:r>
      <w:r w:rsidR="6CF8C295">
        <w:t>romoting</w:t>
      </w:r>
      <w:r w:rsidR="36A1356D">
        <w:t xml:space="preserve"> the</w:t>
      </w:r>
      <w:r w:rsidR="6CF8C295">
        <w:t xml:space="preserve"> O</w:t>
      </w:r>
      <w:r w:rsidR="67470202">
        <w:t>ld Oak</w:t>
      </w:r>
      <w:r w:rsidR="68311623">
        <w:t xml:space="preserve"> </w:t>
      </w:r>
      <w:r w:rsidR="6FA5C404">
        <w:t xml:space="preserve">regeneration </w:t>
      </w:r>
      <w:r w:rsidR="68311623">
        <w:t>scheme</w:t>
      </w:r>
      <w:r w:rsidR="6CF8C295">
        <w:t xml:space="preserve"> across a wide range of audiences </w:t>
      </w:r>
      <w:r w:rsidR="00C4009B">
        <w:t>and channels</w:t>
      </w:r>
      <w:r w:rsidR="6CF8C295">
        <w:t xml:space="preserve"> through events, </w:t>
      </w:r>
      <w:r w:rsidR="00C4009B">
        <w:t xml:space="preserve">marketing, </w:t>
      </w:r>
      <w:r w:rsidR="6CF8C295">
        <w:t xml:space="preserve">research, </w:t>
      </w:r>
      <w:proofErr w:type="gramStart"/>
      <w:r w:rsidR="6CF8C295">
        <w:t>media</w:t>
      </w:r>
      <w:proofErr w:type="gramEnd"/>
      <w:r w:rsidR="6CF8C295">
        <w:t xml:space="preserve"> and stakeholder engagement opportunities</w:t>
      </w:r>
    </w:p>
    <w:p w14:paraId="2B4F369E" w14:textId="598704F7" w:rsidR="00DC1B77" w:rsidRDefault="00AE5EBC" w:rsidP="00CB7C74">
      <w:pPr>
        <w:pStyle w:val="Normal21"/>
        <w:numPr>
          <w:ilvl w:val="0"/>
          <w:numId w:val="22"/>
        </w:numPr>
        <w:spacing w:after="0"/>
        <w:jc w:val="both"/>
        <w:rPr>
          <w:rFonts w:eastAsiaTheme="minorEastAsia"/>
        </w:rPr>
      </w:pPr>
      <w:r>
        <w:t>i</w:t>
      </w:r>
      <w:r w:rsidR="07610427">
        <w:t xml:space="preserve">mplementing an updated Community Engagement Strategy, monitoring social value, </w:t>
      </w:r>
      <w:proofErr w:type="gramStart"/>
      <w:r w:rsidR="07610427">
        <w:t>diversity</w:t>
      </w:r>
      <w:proofErr w:type="gramEnd"/>
      <w:r w:rsidR="07610427">
        <w:t xml:space="preserve"> and community sentiments</w:t>
      </w:r>
      <w:r w:rsidR="00E86B41">
        <w:t>.</w:t>
      </w:r>
    </w:p>
    <w:p w14:paraId="04CBE345" w14:textId="24399F61" w:rsidR="002664D0" w:rsidRPr="006C4C6D" w:rsidRDefault="3AB37976" w:rsidP="006C4C6D">
      <w:pPr>
        <w:pStyle w:val="Heading1"/>
        <w:numPr>
          <w:ilvl w:val="0"/>
          <w:numId w:val="60"/>
        </w:numPr>
        <w:rPr>
          <w:rStyle w:val="normaltextrun"/>
          <w:rFonts w:cs="Times New Roman"/>
          <w:b w:val="0"/>
          <w:bCs w:val="0"/>
          <w:kern w:val="0"/>
          <w:sz w:val="24"/>
          <w:szCs w:val="24"/>
          <w:shd w:val="clear" w:color="auto" w:fill="auto"/>
        </w:rPr>
      </w:pPr>
      <w:bookmarkStart w:id="2" w:name="_Toc175895688"/>
      <w:r w:rsidRPr="6D2246B4">
        <w:rPr>
          <w:rStyle w:val="normaltextrun"/>
        </w:rPr>
        <w:t xml:space="preserve">Revenue Expenditure </w:t>
      </w:r>
      <w:r w:rsidR="7EF635B8" w:rsidRPr="6D2246B4">
        <w:rPr>
          <w:rStyle w:val="normaltextrun"/>
        </w:rPr>
        <w:t>and Funding</w:t>
      </w:r>
      <w:r w:rsidRPr="6D2246B4">
        <w:rPr>
          <w:rStyle w:val="normaltextrun"/>
        </w:rPr>
        <w:t xml:space="preserve"> Requirement</w:t>
      </w:r>
      <w:bookmarkEnd w:id="2"/>
      <w:r w:rsidR="2546CC6E" w:rsidRPr="6D2246B4">
        <w:rPr>
          <w:rStyle w:val="normaltextrun"/>
        </w:rPr>
        <w:t xml:space="preserve"> </w:t>
      </w:r>
      <w:r w:rsidR="45F0996C" w:rsidRPr="6D2246B4">
        <w:rPr>
          <w:rStyle w:val="normaltextrun"/>
        </w:rPr>
        <w:t xml:space="preserve"> </w:t>
      </w:r>
    </w:p>
    <w:p w14:paraId="0581CA09" w14:textId="77777777" w:rsidR="002664D0" w:rsidRPr="002664D0" w:rsidRDefault="002664D0" w:rsidP="002664D0">
      <w:pPr>
        <w:rPr>
          <w:color w:val="auto"/>
        </w:rPr>
      </w:pPr>
    </w:p>
    <w:p w14:paraId="4FE6419C" w14:textId="199DB776" w:rsidR="00101396" w:rsidRPr="00C27ABD" w:rsidRDefault="3F391733" w:rsidP="003B6A3E">
      <w:pPr>
        <w:pStyle w:val="LONBodyTextNumbered"/>
        <w:keepLines/>
        <w:numPr>
          <w:ilvl w:val="1"/>
          <w:numId w:val="29"/>
        </w:numPr>
        <w:spacing w:line="276" w:lineRule="auto"/>
        <w:jc w:val="both"/>
        <w:rPr>
          <w:color w:val="auto"/>
        </w:rPr>
      </w:pPr>
      <w:r w:rsidRPr="4F3AD3CC">
        <w:rPr>
          <w:color w:val="auto"/>
        </w:rPr>
        <w:t xml:space="preserve">OPDC’s 2025-26 </w:t>
      </w:r>
      <w:r w:rsidR="7D2638FD" w:rsidRPr="4F3AD3CC">
        <w:rPr>
          <w:color w:val="auto"/>
        </w:rPr>
        <w:t xml:space="preserve">revenue </w:t>
      </w:r>
      <w:r w:rsidRPr="4F3AD3CC">
        <w:rPr>
          <w:color w:val="auto"/>
        </w:rPr>
        <w:t xml:space="preserve">budget </w:t>
      </w:r>
      <w:r w:rsidR="5ACA5776" w:rsidRPr="4F3AD3CC">
        <w:rPr>
          <w:color w:val="auto"/>
        </w:rPr>
        <w:t xml:space="preserve">is a growth </w:t>
      </w:r>
      <w:r w:rsidR="49A3CC51" w:rsidRPr="4F3AD3CC">
        <w:rPr>
          <w:color w:val="auto"/>
        </w:rPr>
        <w:t xml:space="preserve">budget, as </w:t>
      </w:r>
      <w:r w:rsidR="40409463" w:rsidRPr="4F3AD3CC">
        <w:rPr>
          <w:color w:val="auto"/>
        </w:rPr>
        <w:t>acknowledged</w:t>
      </w:r>
      <w:r w:rsidR="49A3CC51" w:rsidRPr="4F3AD3CC">
        <w:rPr>
          <w:color w:val="auto"/>
        </w:rPr>
        <w:t xml:space="preserve"> in the Mayor’s </w:t>
      </w:r>
      <w:r w:rsidR="40409463" w:rsidRPr="4F3AD3CC">
        <w:rPr>
          <w:color w:val="auto"/>
        </w:rPr>
        <w:t>Budget Guidance,</w:t>
      </w:r>
      <w:r w:rsidR="3C2D84E0" w:rsidRPr="4F3AD3CC">
        <w:rPr>
          <w:color w:val="auto"/>
        </w:rPr>
        <w:t xml:space="preserve"> with</w:t>
      </w:r>
      <w:r w:rsidR="40409463" w:rsidRPr="4F3AD3CC">
        <w:rPr>
          <w:color w:val="auto"/>
        </w:rPr>
        <w:t xml:space="preserve"> </w:t>
      </w:r>
      <w:r w:rsidR="6EE806B8" w:rsidRPr="4F3AD3CC">
        <w:rPr>
          <w:color w:val="auto"/>
        </w:rPr>
        <w:t xml:space="preserve">net </w:t>
      </w:r>
      <w:r w:rsidR="048099A6" w:rsidRPr="4F3AD3CC">
        <w:rPr>
          <w:color w:val="auto"/>
        </w:rPr>
        <w:t>s</w:t>
      </w:r>
      <w:r w:rsidR="6EE806B8" w:rsidRPr="4F3AD3CC">
        <w:rPr>
          <w:color w:val="auto"/>
        </w:rPr>
        <w:t>ervice</w:t>
      </w:r>
      <w:r w:rsidR="048099A6" w:rsidRPr="4F3AD3CC">
        <w:rPr>
          <w:color w:val="auto"/>
        </w:rPr>
        <w:t xml:space="preserve"> expenditure </w:t>
      </w:r>
      <w:r w:rsidR="00E2791E" w:rsidRPr="4F3AD3CC">
        <w:rPr>
          <w:rFonts w:eastAsia="Arial"/>
          <w:color w:val="auto"/>
        </w:rPr>
        <w:t>of £14.</w:t>
      </w:r>
      <w:r w:rsidR="7E1A0D99" w:rsidRPr="4F3AD3CC">
        <w:rPr>
          <w:rFonts w:eastAsia="Arial"/>
          <w:color w:val="auto"/>
        </w:rPr>
        <w:t>2</w:t>
      </w:r>
      <w:r w:rsidR="00E2791E" w:rsidRPr="4F3AD3CC">
        <w:rPr>
          <w:rFonts w:eastAsia="Arial"/>
          <w:color w:val="auto"/>
        </w:rPr>
        <w:t xml:space="preserve"> million</w:t>
      </w:r>
      <w:r w:rsidR="27D39220" w:rsidRPr="4F3AD3CC">
        <w:rPr>
          <w:rFonts w:eastAsia="Arial"/>
          <w:color w:val="auto"/>
        </w:rPr>
        <w:t>;</w:t>
      </w:r>
      <w:r w:rsidR="1BE0F055" w:rsidRPr="4F3AD3CC">
        <w:rPr>
          <w:color w:val="auto"/>
        </w:rPr>
        <w:t xml:space="preserve"> </w:t>
      </w:r>
      <w:r w:rsidR="25353C70" w:rsidRPr="4F3AD3CC">
        <w:rPr>
          <w:color w:val="auto"/>
        </w:rPr>
        <w:t>this is an</w:t>
      </w:r>
      <w:r w:rsidR="048099A6" w:rsidRPr="4F3AD3CC">
        <w:rPr>
          <w:color w:val="auto"/>
        </w:rPr>
        <w:t xml:space="preserve"> increase </w:t>
      </w:r>
      <w:r w:rsidR="17C5BED1" w:rsidRPr="4F3AD3CC">
        <w:rPr>
          <w:color w:val="auto"/>
        </w:rPr>
        <w:t>of</w:t>
      </w:r>
      <w:r w:rsidR="048099A6" w:rsidRPr="4F3AD3CC">
        <w:rPr>
          <w:color w:val="auto"/>
        </w:rPr>
        <w:t xml:space="preserve"> £</w:t>
      </w:r>
      <w:r w:rsidR="1707D849" w:rsidRPr="4F3AD3CC">
        <w:rPr>
          <w:color w:val="auto"/>
        </w:rPr>
        <w:t>2.</w:t>
      </w:r>
      <w:r w:rsidR="2D110050" w:rsidRPr="4F3AD3CC">
        <w:rPr>
          <w:color w:val="auto"/>
        </w:rPr>
        <w:t>4</w:t>
      </w:r>
      <w:r w:rsidR="048099A6" w:rsidRPr="4F3AD3CC">
        <w:rPr>
          <w:color w:val="auto"/>
        </w:rPr>
        <w:t xml:space="preserve"> million between 2024-25 and 2025-26. </w:t>
      </w:r>
    </w:p>
    <w:p w14:paraId="5D2ADD08" w14:textId="750E3F9E" w:rsidR="31D53A37" w:rsidRPr="006D2370" w:rsidRDefault="298CDA69" w:rsidP="003B6A3E">
      <w:pPr>
        <w:pStyle w:val="LONBodyTextNumbered"/>
        <w:keepLines/>
        <w:numPr>
          <w:ilvl w:val="1"/>
          <w:numId w:val="29"/>
        </w:numPr>
        <w:spacing w:line="276" w:lineRule="auto"/>
        <w:jc w:val="both"/>
        <w:rPr>
          <w:rFonts w:eastAsia="Arial"/>
          <w:color w:val="auto"/>
        </w:rPr>
      </w:pPr>
      <w:r w:rsidRPr="18307BDE">
        <w:rPr>
          <w:color w:val="auto"/>
        </w:rPr>
        <w:lastRenderedPageBreak/>
        <w:t xml:space="preserve">The growth in </w:t>
      </w:r>
      <w:r w:rsidR="007E7AB7">
        <w:rPr>
          <w:color w:val="auto"/>
        </w:rPr>
        <w:t>OPDC’s spend</w:t>
      </w:r>
      <w:r w:rsidRPr="18307BDE">
        <w:rPr>
          <w:color w:val="auto"/>
        </w:rPr>
        <w:t xml:space="preserve"> has been</w:t>
      </w:r>
      <w:r w:rsidR="01D8C0D3" w:rsidRPr="18307BDE">
        <w:rPr>
          <w:color w:val="auto"/>
        </w:rPr>
        <w:t xml:space="preserve"> </w:t>
      </w:r>
      <w:r w:rsidR="4532C645" w:rsidRPr="18307BDE">
        <w:rPr>
          <w:color w:val="auto"/>
        </w:rPr>
        <w:t xml:space="preserve">partially </w:t>
      </w:r>
      <w:r w:rsidR="76AFD6D6" w:rsidRPr="18307BDE">
        <w:rPr>
          <w:color w:val="auto"/>
        </w:rPr>
        <w:t xml:space="preserve">mitigated </w:t>
      </w:r>
      <w:r w:rsidR="4532C645" w:rsidRPr="18307BDE">
        <w:rPr>
          <w:color w:val="auto"/>
        </w:rPr>
        <w:t>through</w:t>
      </w:r>
      <w:r w:rsidR="1399BBCD" w:rsidRPr="18307BDE">
        <w:rPr>
          <w:color w:val="auto"/>
        </w:rPr>
        <w:t xml:space="preserve"> increased </w:t>
      </w:r>
      <w:r w:rsidR="084AEBB2" w:rsidRPr="18307BDE">
        <w:rPr>
          <w:color w:val="auto"/>
        </w:rPr>
        <w:t xml:space="preserve">rental income, </w:t>
      </w:r>
      <w:r w:rsidR="3D5AEDC3" w:rsidRPr="18307BDE">
        <w:rPr>
          <w:color w:val="auto"/>
        </w:rPr>
        <w:t>planning fees</w:t>
      </w:r>
      <w:r w:rsidR="1399BBCD" w:rsidRPr="18307BDE">
        <w:rPr>
          <w:color w:val="auto"/>
        </w:rPr>
        <w:t xml:space="preserve"> and other </w:t>
      </w:r>
      <w:r w:rsidR="2465020B" w:rsidRPr="18307BDE">
        <w:rPr>
          <w:color w:val="auto"/>
        </w:rPr>
        <w:t>funding</w:t>
      </w:r>
      <w:r w:rsidR="26D8C396" w:rsidRPr="18307BDE">
        <w:rPr>
          <w:color w:val="auto"/>
        </w:rPr>
        <w:t>.</w:t>
      </w:r>
      <w:r w:rsidR="26D8C396" w:rsidRPr="18307BDE">
        <w:rPr>
          <w:rFonts w:eastAsia="Arial"/>
          <w:color w:val="auto"/>
        </w:rPr>
        <w:t xml:space="preserve"> </w:t>
      </w:r>
    </w:p>
    <w:p w14:paraId="39FA16C0" w14:textId="2503C419" w:rsidR="00587103" w:rsidRDefault="3C181FDD" w:rsidP="003B6A3E">
      <w:pPr>
        <w:pStyle w:val="LONBodyTextNumbered"/>
        <w:keepLines/>
        <w:numPr>
          <w:ilvl w:val="1"/>
          <w:numId w:val="29"/>
        </w:numPr>
        <w:spacing w:line="276" w:lineRule="auto"/>
        <w:jc w:val="both"/>
      </w:pPr>
      <w:r w:rsidRPr="07195704">
        <w:rPr>
          <w:color w:val="auto"/>
        </w:rPr>
        <w:t xml:space="preserve">The following table </w:t>
      </w:r>
      <w:r w:rsidR="5CF93C65" w:rsidRPr="07195704">
        <w:rPr>
          <w:color w:val="auto"/>
        </w:rPr>
        <w:t xml:space="preserve">(Table 1) </w:t>
      </w:r>
      <w:r w:rsidRPr="07195704">
        <w:rPr>
          <w:color w:val="auto"/>
        </w:rPr>
        <w:t xml:space="preserve">sets out </w:t>
      </w:r>
      <w:r w:rsidR="236FEFCA" w:rsidRPr="07195704">
        <w:rPr>
          <w:color w:val="auto"/>
        </w:rPr>
        <w:t>OPDC</w:t>
      </w:r>
      <w:r w:rsidRPr="07195704">
        <w:rPr>
          <w:color w:val="auto"/>
        </w:rPr>
        <w:t xml:space="preserve">’s budget on an objective basis. An explanation of each change is provided in section </w:t>
      </w:r>
      <w:r w:rsidR="6C25F1BD" w:rsidRPr="07195704">
        <w:rPr>
          <w:color w:val="auto"/>
        </w:rPr>
        <w:t>6</w:t>
      </w:r>
      <w:r w:rsidRPr="07195704">
        <w:rPr>
          <w:color w:val="auto"/>
        </w:rPr>
        <w:t>.</w:t>
      </w:r>
    </w:p>
    <w:p w14:paraId="245147A7" w14:textId="68558180" w:rsidR="001F37B7" w:rsidRPr="006C052D" w:rsidRDefault="25143601" w:rsidP="006C4C6D">
      <w:pPr>
        <w:pStyle w:val="Heading1"/>
        <w:rPr>
          <w:rStyle w:val="normaltextrun"/>
        </w:rPr>
      </w:pPr>
      <w:bookmarkStart w:id="3" w:name="_Toc175895689"/>
      <w:r w:rsidRPr="006C052D">
        <w:rPr>
          <w:rStyle w:val="normaltextrun"/>
        </w:rPr>
        <w:t>Explanation of Budget Changes</w:t>
      </w:r>
      <w:bookmarkEnd w:id="3"/>
      <w:r w:rsidR="4508AB03" w:rsidRPr="006C052D">
        <w:rPr>
          <w:rStyle w:val="normaltextrun"/>
        </w:rPr>
        <w:t xml:space="preserve"> </w:t>
      </w:r>
    </w:p>
    <w:p w14:paraId="18C4C118" w14:textId="77777777" w:rsidR="000954C3" w:rsidRPr="000954C3" w:rsidRDefault="000954C3" w:rsidP="07195704">
      <w:pPr>
        <w:rPr>
          <w:b/>
          <w:bCs/>
          <w:color w:val="auto"/>
        </w:rPr>
      </w:pPr>
    </w:p>
    <w:p w14:paraId="6D9C53F9" w14:textId="6FCEAF97" w:rsidR="001F37B7" w:rsidRDefault="1AC7D369" w:rsidP="00802095">
      <w:pPr>
        <w:keepLines/>
        <w:spacing w:line="276" w:lineRule="auto"/>
        <w:ind w:left="680"/>
        <w:rPr>
          <w:color w:val="auto"/>
        </w:rPr>
      </w:pPr>
      <w:r w:rsidRPr="18307BDE">
        <w:rPr>
          <w:b/>
          <w:bCs/>
          <w:color w:val="auto"/>
        </w:rPr>
        <w:t>Table 1:</w:t>
      </w:r>
      <w:r w:rsidR="1A5EEB3F" w:rsidRPr="18307BDE">
        <w:rPr>
          <w:b/>
          <w:bCs/>
          <w:color w:val="auto"/>
        </w:rPr>
        <w:t xml:space="preserve"> </w:t>
      </w:r>
      <w:r w:rsidR="012DE974" w:rsidRPr="18307BDE">
        <w:rPr>
          <w:b/>
          <w:bCs/>
          <w:color w:val="auto"/>
        </w:rPr>
        <w:t xml:space="preserve">OPDC - </w:t>
      </w:r>
      <w:r w:rsidR="1A5EEB3F" w:rsidRPr="18307BDE">
        <w:rPr>
          <w:b/>
          <w:bCs/>
          <w:color w:val="auto"/>
        </w:rPr>
        <w:t>Objective Basis</w:t>
      </w:r>
    </w:p>
    <w:p w14:paraId="25209723" w14:textId="1261D5C5" w:rsidR="001F37B7" w:rsidRDefault="001F37B7" w:rsidP="18307BDE">
      <w:pPr>
        <w:pStyle w:val="ListParagraph"/>
        <w:keepLines/>
        <w:spacing w:line="276" w:lineRule="auto"/>
        <w:ind w:left="680"/>
        <w:rPr>
          <w:color w:val="auto"/>
        </w:rPr>
      </w:pPr>
    </w:p>
    <w:p w14:paraId="7699BD1A" w14:textId="0ACF276D" w:rsidR="00E05DA1" w:rsidRPr="002B12E4" w:rsidRDefault="6FCF4896" w:rsidP="002B12E4">
      <w:pPr>
        <w:pStyle w:val="ListParagraph"/>
        <w:keepLines/>
        <w:numPr>
          <w:ilvl w:val="0"/>
          <w:numId w:val="1"/>
        </w:numPr>
        <w:spacing w:line="276" w:lineRule="auto"/>
        <w:rPr>
          <w:color w:val="auto"/>
        </w:rPr>
      </w:pPr>
      <w:r w:rsidRPr="4F3AD3CC">
        <w:rPr>
          <w:color w:val="auto"/>
        </w:rPr>
        <w:t xml:space="preserve">An analysis of the year-on-year movement for </w:t>
      </w:r>
      <w:r w:rsidR="2614235D" w:rsidRPr="4F3AD3CC">
        <w:rPr>
          <w:color w:val="auto"/>
        </w:rPr>
        <w:t xml:space="preserve">OPDC </w:t>
      </w:r>
      <w:r w:rsidRPr="4F3AD3CC">
        <w:rPr>
          <w:color w:val="auto"/>
        </w:rPr>
        <w:t xml:space="preserve">compared to the revised budget for </w:t>
      </w:r>
      <w:r w:rsidR="21A6DEBB" w:rsidRPr="4F3AD3CC">
        <w:rPr>
          <w:color w:val="auto"/>
        </w:rPr>
        <w:t>2024-25</w:t>
      </w:r>
      <w:r w:rsidRPr="4F3AD3CC">
        <w:rPr>
          <w:color w:val="auto"/>
        </w:rPr>
        <w:t xml:space="preserve"> is set out </w:t>
      </w:r>
      <w:r w:rsidR="53F86F45" w:rsidRPr="4F3AD3CC">
        <w:rPr>
          <w:color w:val="auto"/>
        </w:rPr>
        <w:t xml:space="preserve">in the objective analysis table </w:t>
      </w:r>
      <w:r w:rsidRPr="4F3AD3CC">
        <w:rPr>
          <w:color w:val="auto"/>
        </w:rPr>
        <w:t>below</w:t>
      </w:r>
      <w:r w:rsidR="1CA7987F" w:rsidRPr="4F3AD3CC">
        <w:rPr>
          <w:color w:val="auto"/>
        </w:rPr>
        <w:t>, with commentary thereafter</w:t>
      </w:r>
      <w:r w:rsidRPr="4F3AD3CC">
        <w:rPr>
          <w:color w:val="auto"/>
        </w:rPr>
        <w:t xml:space="preserve">.  </w:t>
      </w:r>
    </w:p>
    <w:p w14:paraId="6229C6FD" w14:textId="2E3BB336" w:rsidR="4F3AD3CC" w:rsidRDefault="4F3AD3CC" w:rsidP="00587E59">
      <w:pPr>
        <w:tabs>
          <w:tab w:val="left" w:pos="567"/>
        </w:tabs>
        <w:ind w:left="567"/>
        <w:rPr>
          <w:rFonts w:eastAsia="Foundry Form Sans" w:cs="Foundry Form Sans"/>
          <w:color w:val="262626" w:themeColor="text1" w:themeTint="D9"/>
        </w:rPr>
      </w:pPr>
    </w:p>
    <w:tbl>
      <w:tblPr>
        <w:tblW w:w="0" w:type="auto"/>
        <w:tblInd w:w="135" w:type="dxa"/>
        <w:tblLayout w:type="fixed"/>
        <w:tblLook w:val="04A0" w:firstRow="1" w:lastRow="0" w:firstColumn="1" w:lastColumn="0" w:noHBand="0" w:noVBand="1"/>
      </w:tblPr>
      <w:tblGrid>
        <w:gridCol w:w="2490"/>
        <w:gridCol w:w="1545"/>
        <w:gridCol w:w="1142"/>
        <w:gridCol w:w="1231"/>
        <w:gridCol w:w="1145"/>
        <w:gridCol w:w="1119"/>
        <w:gridCol w:w="1075"/>
        <w:tblGridChange w:id="4">
          <w:tblGrid>
            <w:gridCol w:w="2490"/>
            <w:gridCol w:w="1545"/>
            <w:gridCol w:w="1142"/>
            <w:gridCol w:w="1231"/>
            <w:gridCol w:w="1145"/>
            <w:gridCol w:w="1119"/>
            <w:gridCol w:w="1075"/>
          </w:tblGrid>
        </w:tblGridChange>
      </w:tblGrid>
      <w:tr w:rsidR="0089657B" w14:paraId="05B3BE61" w14:textId="77777777" w:rsidTr="1FA2E292">
        <w:trPr>
          <w:trHeight w:val="300"/>
        </w:trPr>
        <w:tc>
          <w:tcPr>
            <w:tcW w:w="2490" w:type="dxa"/>
            <w:tcBorders>
              <w:top w:val="single" w:sz="8" w:space="0" w:color="A6A6A6" w:themeColor="background1" w:themeShade="A6"/>
              <w:left w:val="single" w:sz="8" w:space="0" w:color="FFFFFF" w:themeColor="background1"/>
              <w:bottom w:val="nil"/>
              <w:right w:val="nil"/>
            </w:tcBorders>
            <w:shd w:val="clear" w:color="auto" w:fill="FFFFFF" w:themeFill="background1"/>
            <w:tcMar>
              <w:left w:w="108" w:type="dxa"/>
              <w:right w:w="108" w:type="dxa"/>
            </w:tcMar>
            <w:vAlign w:val="center"/>
          </w:tcPr>
          <w:p w14:paraId="6EC8A924" w14:textId="487028F0"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Objective analysis</w:t>
            </w:r>
          </w:p>
        </w:tc>
        <w:tc>
          <w:tcPr>
            <w:tcW w:w="1545" w:type="dxa"/>
            <w:tcBorders>
              <w:top w:val="single" w:sz="8" w:space="0" w:color="A6A6A6" w:themeColor="background1" w:themeShade="A6"/>
              <w:left w:val="nil"/>
              <w:bottom w:val="nil"/>
              <w:right w:val="nil"/>
            </w:tcBorders>
            <w:shd w:val="clear" w:color="auto" w:fill="FFFFFF" w:themeFill="background1"/>
            <w:tcMar>
              <w:left w:w="108" w:type="dxa"/>
              <w:right w:w="108" w:type="dxa"/>
            </w:tcMar>
            <w:vAlign w:val="bottom"/>
          </w:tcPr>
          <w:p w14:paraId="78F2555C" w14:textId="15E25F44"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Revised budget</w:t>
            </w:r>
          </w:p>
        </w:tc>
        <w:tc>
          <w:tcPr>
            <w:tcW w:w="1142" w:type="dxa"/>
            <w:tcBorders>
              <w:top w:val="single" w:sz="8" w:space="0" w:color="A6A6A6" w:themeColor="background1" w:themeShade="A6"/>
              <w:left w:val="nil"/>
              <w:bottom w:val="nil"/>
              <w:right w:val="nil"/>
            </w:tcBorders>
            <w:tcMar>
              <w:left w:w="108" w:type="dxa"/>
              <w:right w:w="108" w:type="dxa"/>
            </w:tcMar>
            <w:vAlign w:val="bottom"/>
          </w:tcPr>
          <w:p w14:paraId="6A7D1660" w14:textId="5E1A471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Forecast outturn</w:t>
            </w:r>
          </w:p>
        </w:tc>
        <w:tc>
          <w:tcPr>
            <w:tcW w:w="1231"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vAlign w:val="bottom"/>
          </w:tcPr>
          <w:p w14:paraId="7C067A4A" w14:textId="6689F0EB"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Budget</w:t>
            </w:r>
          </w:p>
        </w:tc>
        <w:tc>
          <w:tcPr>
            <w:tcW w:w="1145"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vAlign w:val="bottom"/>
          </w:tcPr>
          <w:p w14:paraId="55BD744E" w14:textId="343642BF"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Change </w:t>
            </w:r>
            <w:r w:rsidRPr="4F3AD3CC">
              <w:rPr>
                <w:rFonts w:eastAsia="Foundry Form Sans" w:cs="Foundry Form Sans"/>
                <w:b/>
                <w:bCs/>
                <w:color w:val="000000" w:themeColor="text1"/>
                <w:sz w:val="20"/>
                <w:szCs w:val="20"/>
              </w:rPr>
              <w:t>(Revised</w:t>
            </w:r>
            <w:r w:rsidRPr="4F3AD3CC">
              <w:rPr>
                <w:rFonts w:eastAsia="Foundry Form Sans" w:cs="Foundry Form Sans"/>
                <w:b/>
                <w:bCs/>
                <w:color w:val="000000" w:themeColor="text1"/>
                <w:sz w:val="22"/>
                <w:szCs w:val="22"/>
              </w:rPr>
              <w:t xml:space="preserve"> </w:t>
            </w:r>
          </w:p>
        </w:tc>
        <w:tc>
          <w:tcPr>
            <w:tcW w:w="1119" w:type="dxa"/>
            <w:tcBorders>
              <w:top w:val="single" w:sz="8" w:space="0" w:color="A6A6A6" w:themeColor="background1" w:themeShade="A6"/>
              <w:left w:val="nil"/>
              <w:bottom w:val="nil"/>
              <w:right w:val="nil"/>
            </w:tcBorders>
            <w:shd w:val="clear" w:color="auto" w:fill="FFFFFF" w:themeFill="background1"/>
            <w:tcMar>
              <w:left w:w="108" w:type="dxa"/>
              <w:right w:w="108" w:type="dxa"/>
            </w:tcMar>
            <w:vAlign w:val="bottom"/>
          </w:tcPr>
          <w:p w14:paraId="1CE60EFA" w14:textId="52829199"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Plan</w:t>
            </w:r>
          </w:p>
        </w:tc>
        <w:tc>
          <w:tcPr>
            <w:tcW w:w="1075" w:type="dxa"/>
            <w:tcBorders>
              <w:top w:val="single" w:sz="8" w:space="0" w:color="A6A6A6" w:themeColor="background1" w:themeShade="A6"/>
              <w:left w:val="nil"/>
              <w:bottom w:val="nil"/>
              <w:right w:val="single" w:sz="8" w:space="0" w:color="FFFFFF" w:themeColor="background1"/>
            </w:tcBorders>
            <w:shd w:val="clear" w:color="auto" w:fill="FFFFFF" w:themeFill="background1"/>
            <w:tcMar>
              <w:left w:w="108" w:type="dxa"/>
              <w:right w:w="108" w:type="dxa"/>
            </w:tcMar>
            <w:vAlign w:val="bottom"/>
          </w:tcPr>
          <w:p w14:paraId="16BE2128" w14:textId="7C6DDD94"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Plan</w:t>
            </w:r>
          </w:p>
        </w:tc>
      </w:tr>
      <w:tr w:rsidR="0089657B" w14:paraId="647612F6" w14:textId="77777777" w:rsidTr="1FA2E292">
        <w:trPr>
          <w:trHeight w:val="300"/>
        </w:trPr>
        <w:tc>
          <w:tcPr>
            <w:tcW w:w="2490" w:type="dxa"/>
            <w:shd w:val="clear" w:color="auto" w:fill="FFFFFF" w:themeFill="background1"/>
            <w:tcMar>
              <w:left w:w="108" w:type="dxa"/>
              <w:right w:w="108" w:type="dxa"/>
            </w:tcMar>
            <w:vAlign w:val="center"/>
          </w:tcPr>
          <w:p w14:paraId="4501C614" w14:textId="19674B5D"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OPDC</w:t>
            </w:r>
          </w:p>
        </w:tc>
        <w:tc>
          <w:tcPr>
            <w:tcW w:w="1545" w:type="dxa"/>
            <w:shd w:val="clear" w:color="auto" w:fill="FFFFFF" w:themeFill="background1"/>
            <w:tcMar>
              <w:left w:w="108" w:type="dxa"/>
              <w:right w:w="108" w:type="dxa"/>
            </w:tcMar>
            <w:vAlign w:val="bottom"/>
          </w:tcPr>
          <w:p w14:paraId="380FD958" w14:textId="4FB77185"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2024-25</w:t>
            </w:r>
          </w:p>
        </w:tc>
        <w:tc>
          <w:tcPr>
            <w:tcW w:w="1142" w:type="dxa"/>
            <w:tcMar>
              <w:left w:w="108" w:type="dxa"/>
              <w:right w:w="108" w:type="dxa"/>
            </w:tcMar>
            <w:vAlign w:val="bottom"/>
          </w:tcPr>
          <w:p w14:paraId="51138290" w14:textId="7E30FD24"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2024-25</w:t>
            </w:r>
          </w:p>
        </w:tc>
        <w:tc>
          <w:tcPr>
            <w:tcW w:w="1231" w:type="dxa"/>
            <w:shd w:val="clear" w:color="auto" w:fill="D9D9D9" w:themeFill="background1" w:themeFillShade="D9"/>
            <w:tcMar>
              <w:left w:w="108" w:type="dxa"/>
              <w:right w:w="108" w:type="dxa"/>
            </w:tcMar>
            <w:vAlign w:val="bottom"/>
          </w:tcPr>
          <w:p w14:paraId="2EEDDDE6" w14:textId="1A4C81CF"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2025-26</w:t>
            </w:r>
          </w:p>
        </w:tc>
        <w:tc>
          <w:tcPr>
            <w:tcW w:w="1145" w:type="dxa"/>
            <w:shd w:val="clear" w:color="auto" w:fill="D9D9D9" w:themeFill="background1" w:themeFillShade="D9"/>
            <w:tcMar>
              <w:left w:w="108" w:type="dxa"/>
              <w:right w:w="108" w:type="dxa"/>
            </w:tcMar>
            <w:vAlign w:val="bottom"/>
          </w:tcPr>
          <w:p w14:paraId="773B4CEB" w14:textId="1B19AAAB" w:rsidR="4F3AD3CC" w:rsidRDefault="4F3AD3CC" w:rsidP="00587E59">
            <w:pPr>
              <w:jc w:val="right"/>
              <w:rPr>
                <w:rFonts w:eastAsia="Foundry Form Sans" w:cs="Foundry Form Sans"/>
                <w:b/>
                <w:bCs/>
                <w:color w:val="000000" w:themeColor="text1"/>
                <w:sz w:val="20"/>
                <w:szCs w:val="20"/>
              </w:rPr>
            </w:pPr>
            <w:r w:rsidRPr="4F3AD3CC">
              <w:rPr>
                <w:rFonts w:eastAsia="Foundry Form Sans" w:cs="Foundry Form Sans"/>
                <w:b/>
                <w:bCs/>
                <w:color w:val="000000" w:themeColor="text1"/>
                <w:sz w:val="20"/>
                <w:szCs w:val="20"/>
              </w:rPr>
              <w:t>budget to Budget)</w:t>
            </w:r>
          </w:p>
        </w:tc>
        <w:tc>
          <w:tcPr>
            <w:tcW w:w="1119" w:type="dxa"/>
            <w:shd w:val="clear" w:color="auto" w:fill="FFFFFF" w:themeFill="background1"/>
            <w:tcMar>
              <w:left w:w="108" w:type="dxa"/>
              <w:right w:w="108" w:type="dxa"/>
            </w:tcMar>
            <w:vAlign w:val="bottom"/>
          </w:tcPr>
          <w:p w14:paraId="6E673905" w14:textId="76EB3708"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2026-27</w:t>
            </w:r>
          </w:p>
        </w:tc>
        <w:tc>
          <w:tcPr>
            <w:tcW w:w="1075" w:type="dxa"/>
            <w:shd w:val="clear" w:color="auto" w:fill="FFFFFF" w:themeFill="background1"/>
            <w:tcMar>
              <w:left w:w="108" w:type="dxa"/>
              <w:right w:w="108" w:type="dxa"/>
            </w:tcMar>
            <w:vAlign w:val="bottom"/>
          </w:tcPr>
          <w:p w14:paraId="7B386704" w14:textId="0F5CA3A4"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2027-28</w:t>
            </w:r>
          </w:p>
        </w:tc>
      </w:tr>
      <w:tr w:rsidR="0089657B" w14:paraId="7AB3B236" w14:textId="77777777" w:rsidTr="1FA2E292">
        <w:trPr>
          <w:trHeight w:val="300"/>
        </w:trPr>
        <w:tc>
          <w:tcPr>
            <w:tcW w:w="2490" w:type="dxa"/>
            <w:tcBorders>
              <w:left w:val="nil"/>
              <w:bottom w:val="single" w:sz="8" w:space="0" w:color="A5A6A5"/>
              <w:right w:val="nil"/>
            </w:tcBorders>
            <w:shd w:val="clear" w:color="auto" w:fill="FFFFFF" w:themeFill="background1"/>
            <w:tcMar>
              <w:left w:w="108" w:type="dxa"/>
              <w:right w:w="108" w:type="dxa"/>
            </w:tcMar>
          </w:tcPr>
          <w:p w14:paraId="74F9BD70" w14:textId="17FA816D" w:rsidR="4F3AD3CC" w:rsidRDefault="4F3AD3CC">
            <w:pPr>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 </w:t>
            </w:r>
          </w:p>
        </w:tc>
        <w:tc>
          <w:tcPr>
            <w:tcW w:w="1545" w:type="dxa"/>
            <w:tcBorders>
              <w:left w:val="nil"/>
              <w:bottom w:val="single" w:sz="8" w:space="0" w:color="A5A6A5"/>
              <w:right w:val="nil"/>
            </w:tcBorders>
            <w:shd w:val="clear" w:color="auto" w:fill="FFFFFF" w:themeFill="background1"/>
            <w:tcMar>
              <w:left w:w="108" w:type="dxa"/>
              <w:right w:w="108" w:type="dxa"/>
            </w:tcMar>
            <w:vAlign w:val="bottom"/>
          </w:tcPr>
          <w:p w14:paraId="7570A0B0" w14:textId="48E7D14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c>
          <w:tcPr>
            <w:tcW w:w="1142" w:type="dxa"/>
            <w:tcBorders>
              <w:left w:val="nil"/>
              <w:bottom w:val="single" w:sz="8" w:space="0" w:color="A5A6A5"/>
              <w:right w:val="nil"/>
            </w:tcBorders>
            <w:tcMar>
              <w:left w:w="108" w:type="dxa"/>
              <w:right w:w="108" w:type="dxa"/>
            </w:tcMar>
            <w:vAlign w:val="bottom"/>
          </w:tcPr>
          <w:p w14:paraId="096F1E80" w14:textId="14186CB6"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c>
          <w:tcPr>
            <w:tcW w:w="1231" w:type="dxa"/>
            <w:tcBorders>
              <w:left w:val="nil"/>
              <w:bottom w:val="single" w:sz="8" w:space="0" w:color="A5A6A5"/>
              <w:right w:val="nil"/>
            </w:tcBorders>
            <w:shd w:val="clear" w:color="auto" w:fill="D9D9D9" w:themeFill="background1" w:themeFillShade="D9"/>
            <w:tcMar>
              <w:left w:w="108" w:type="dxa"/>
              <w:right w:w="108" w:type="dxa"/>
            </w:tcMar>
            <w:vAlign w:val="bottom"/>
          </w:tcPr>
          <w:p w14:paraId="4D7EC24F" w14:textId="5E71B1C0"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c>
          <w:tcPr>
            <w:tcW w:w="1145" w:type="dxa"/>
            <w:tcBorders>
              <w:left w:val="nil"/>
              <w:bottom w:val="single" w:sz="8" w:space="0" w:color="A5A6A5"/>
              <w:right w:val="nil"/>
            </w:tcBorders>
            <w:shd w:val="clear" w:color="auto" w:fill="D9D9D9" w:themeFill="background1" w:themeFillShade="D9"/>
            <w:tcMar>
              <w:left w:w="108" w:type="dxa"/>
              <w:right w:w="108" w:type="dxa"/>
            </w:tcMar>
            <w:vAlign w:val="bottom"/>
          </w:tcPr>
          <w:p w14:paraId="73A09384" w14:textId="22CB31B9"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c>
          <w:tcPr>
            <w:tcW w:w="1119" w:type="dxa"/>
            <w:tcBorders>
              <w:left w:val="nil"/>
              <w:bottom w:val="single" w:sz="8" w:space="0" w:color="A5A6A5"/>
              <w:right w:val="nil"/>
            </w:tcBorders>
            <w:shd w:val="clear" w:color="auto" w:fill="FFFFFF" w:themeFill="background1"/>
            <w:tcMar>
              <w:left w:w="108" w:type="dxa"/>
              <w:right w:w="108" w:type="dxa"/>
            </w:tcMar>
            <w:vAlign w:val="bottom"/>
          </w:tcPr>
          <w:p w14:paraId="423DA3CB" w14:textId="47FB0BA4"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c>
          <w:tcPr>
            <w:tcW w:w="1075" w:type="dxa"/>
            <w:tcBorders>
              <w:left w:val="nil"/>
              <w:bottom w:val="single" w:sz="8" w:space="0" w:color="A5A6A5"/>
              <w:right w:val="nil"/>
            </w:tcBorders>
            <w:shd w:val="clear" w:color="auto" w:fill="FFFFFF" w:themeFill="background1"/>
            <w:tcMar>
              <w:left w:w="108" w:type="dxa"/>
              <w:right w:w="108" w:type="dxa"/>
            </w:tcMar>
            <w:vAlign w:val="bottom"/>
          </w:tcPr>
          <w:p w14:paraId="64CFC528" w14:textId="6DED64A7"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£m</w:t>
            </w:r>
          </w:p>
        </w:tc>
      </w:tr>
      <w:tr w:rsidR="4F3AD3CC" w14:paraId="4310F6BC" w14:textId="77777777" w:rsidTr="00D15250">
        <w:trPr>
          <w:trHeight w:val="300"/>
        </w:trPr>
        <w:tc>
          <w:tcPr>
            <w:tcW w:w="2490" w:type="dxa"/>
            <w:tcMar>
              <w:left w:w="108" w:type="dxa"/>
              <w:right w:w="108" w:type="dxa"/>
            </w:tcMar>
          </w:tcPr>
          <w:p w14:paraId="414E9034" w14:textId="1BA064BD" w:rsidR="4F3AD3CC" w:rsidRDefault="4F3AD3CC">
            <w:pPr>
              <w:rPr>
                <w:rFonts w:eastAsia="Foundry Form Sans" w:cs="Foundry Form Sans"/>
                <w:sz w:val="22"/>
                <w:szCs w:val="22"/>
              </w:rPr>
            </w:pPr>
            <w:r w:rsidRPr="4F3AD3CC">
              <w:rPr>
                <w:rFonts w:eastAsia="Foundry Form Sans" w:cs="Foundry Form Sans"/>
                <w:sz w:val="22"/>
                <w:szCs w:val="22"/>
              </w:rPr>
              <w:t>CEO Office</w:t>
            </w:r>
          </w:p>
        </w:tc>
        <w:tc>
          <w:tcPr>
            <w:tcW w:w="1545" w:type="dxa"/>
            <w:shd w:val="clear" w:color="auto" w:fill="FFFFFF" w:themeFill="background1"/>
            <w:tcMar>
              <w:left w:w="108" w:type="dxa"/>
              <w:right w:w="108" w:type="dxa"/>
            </w:tcMar>
          </w:tcPr>
          <w:p w14:paraId="3A730909" w14:textId="6500F6D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1.1 </w:t>
            </w:r>
          </w:p>
        </w:tc>
        <w:tc>
          <w:tcPr>
            <w:tcW w:w="1142" w:type="dxa"/>
            <w:tcMar>
              <w:left w:w="108" w:type="dxa"/>
              <w:right w:w="108" w:type="dxa"/>
            </w:tcMar>
          </w:tcPr>
          <w:p w14:paraId="543D00F3" w14:textId="7C2ED6C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1.1 </w:t>
            </w:r>
          </w:p>
        </w:tc>
        <w:tc>
          <w:tcPr>
            <w:tcW w:w="1231" w:type="dxa"/>
            <w:shd w:val="clear" w:color="auto" w:fill="D9D9D9" w:themeFill="background1" w:themeFillShade="D9"/>
            <w:tcMar>
              <w:left w:w="108" w:type="dxa"/>
              <w:right w:w="108" w:type="dxa"/>
            </w:tcMar>
          </w:tcPr>
          <w:p w14:paraId="40D31AC6" w14:textId="0981E47F"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1.3 </w:t>
            </w:r>
          </w:p>
        </w:tc>
        <w:tc>
          <w:tcPr>
            <w:tcW w:w="1145" w:type="dxa"/>
            <w:shd w:val="clear" w:color="auto" w:fill="D9D9D9" w:themeFill="background1" w:themeFillShade="D9"/>
            <w:tcMar>
              <w:left w:w="108" w:type="dxa"/>
              <w:right w:w="108" w:type="dxa"/>
            </w:tcMar>
          </w:tcPr>
          <w:p w14:paraId="21C9BF95" w14:textId="6049B91B"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0.2 </w:t>
            </w:r>
          </w:p>
        </w:tc>
        <w:tc>
          <w:tcPr>
            <w:tcW w:w="1119" w:type="dxa"/>
            <w:tcMar>
              <w:left w:w="108" w:type="dxa"/>
              <w:right w:w="108" w:type="dxa"/>
            </w:tcMar>
          </w:tcPr>
          <w:p w14:paraId="682C57C0" w14:textId="6A51754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1.2 </w:t>
            </w:r>
          </w:p>
        </w:tc>
        <w:tc>
          <w:tcPr>
            <w:tcW w:w="1075" w:type="dxa"/>
            <w:tcMar>
              <w:left w:w="108" w:type="dxa"/>
              <w:right w:w="108" w:type="dxa"/>
            </w:tcMar>
          </w:tcPr>
          <w:p w14:paraId="56D56961" w14:textId="1211FD6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1.2 </w:t>
            </w:r>
          </w:p>
        </w:tc>
      </w:tr>
      <w:tr w:rsidR="4F3AD3CC" w14:paraId="5F81E2CC" w14:textId="77777777" w:rsidTr="00D15250">
        <w:trPr>
          <w:trHeight w:val="300"/>
        </w:trPr>
        <w:tc>
          <w:tcPr>
            <w:tcW w:w="2490" w:type="dxa"/>
            <w:tcMar>
              <w:left w:w="108" w:type="dxa"/>
              <w:right w:w="108" w:type="dxa"/>
            </w:tcMar>
          </w:tcPr>
          <w:p w14:paraId="1970A232" w14:textId="1C9F5D83" w:rsidR="4F3AD3CC" w:rsidRDefault="4F3AD3CC">
            <w:pPr>
              <w:rPr>
                <w:rFonts w:eastAsia="Foundry Form Sans" w:cs="Foundry Form Sans"/>
                <w:sz w:val="22"/>
                <w:szCs w:val="22"/>
              </w:rPr>
            </w:pPr>
            <w:r w:rsidRPr="4F3AD3CC">
              <w:rPr>
                <w:rFonts w:eastAsia="Foundry Form Sans" w:cs="Foundry Form Sans"/>
                <w:sz w:val="22"/>
                <w:szCs w:val="22"/>
              </w:rPr>
              <w:t>Planning</w:t>
            </w:r>
          </w:p>
        </w:tc>
        <w:tc>
          <w:tcPr>
            <w:tcW w:w="1545" w:type="dxa"/>
            <w:tcMar>
              <w:left w:w="108" w:type="dxa"/>
              <w:right w:w="108" w:type="dxa"/>
            </w:tcMar>
          </w:tcPr>
          <w:p w14:paraId="4C95188A" w14:textId="148EC626"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1.0 </w:t>
            </w:r>
          </w:p>
        </w:tc>
        <w:tc>
          <w:tcPr>
            <w:tcW w:w="1142" w:type="dxa"/>
            <w:tcMar>
              <w:left w:w="108" w:type="dxa"/>
              <w:right w:w="108" w:type="dxa"/>
            </w:tcMar>
          </w:tcPr>
          <w:p w14:paraId="7FC8A9FB" w14:textId="45A2CC9A"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0.9 </w:t>
            </w:r>
          </w:p>
        </w:tc>
        <w:tc>
          <w:tcPr>
            <w:tcW w:w="1231" w:type="dxa"/>
            <w:shd w:val="clear" w:color="auto" w:fill="D9D9D9" w:themeFill="background1" w:themeFillShade="D9"/>
            <w:tcMar>
              <w:left w:w="108" w:type="dxa"/>
              <w:right w:w="108" w:type="dxa"/>
            </w:tcMar>
          </w:tcPr>
          <w:p w14:paraId="28EE8873" w14:textId="57282B65"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1.0 </w:t>
            </w:r>
          </w:p>
        </w:tc>
        <w:tc>
          <w:tcPr>
            <w:tcW w:w="1145" w:type="dxa"/>
            <w:shd w:val="clear" w:color="auto" w:fill="D9D9D9" w:themeFill="background1" w:themeFillShade="D9"/>
            <w:tcMar>
              <w:left w:w="108" w:type="dxa"/>
              <w:right w:w="108" w:type="dxa"/>
            </w:tcMar>
          </w:tcPr>
          <w:p w14:paraId="5C9CA55A" w14:textId="1B73D97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19" w:type="dxa"/>
            <w:tcMar>
              <w:left w:w="108" w:type="dxa"/>
              <w:right w:w="108" w:type="dxa"/>
            </w:tcMar>
          </w:tcPr>
          <w:p w14:paraId="3CC990D5" w14:textId="7A7EADEF"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1.0 </w:t>
            </w:r>
          </w:p>
        </w:tc>
        <w:tc>
          <w:tcPr>
            <w:tcW w:w="1075" w:type="dxa"/>
            <w:tcMar>
              <w:left w:w="108" w:type="dxa"/>
              <w:right w:w="108" w:type="dxa"/>
            </w:tcMar>
          </w:tcPr>
          <w:p w14:paraId="3F1E8CE3" w14:textId="2CB21FA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1.0 </w:t>
            </w:r>
          </w:p>
        </w:tc>
      </w:tr>
      <w:tr w:rsidR="4F3AD3CC" w14:paraId="76134FD5" w14:textId="77777777" w:rsidTr="00D15250">
        <w:trPr>
          <w:trHeight w:val="300"/>
        </w:trPr>
        <w:tc>
          <w:tcPr>
            <w:tcW w:w="2490" w:type="dxa"/>
            <w:tcMar>
              <w:left w:w="108" w:type="dxa"/>
              <w:right w:w="108" w:type="dxa"/>
            </w:tcMar>
          </w:tcPr>
          <w:p w14:paraId="740CA55E" w14:textId="1A014A49" w:rsidR="4F3AD3CC" w:rsidRDefault="4F3AD3CC">
            <w:pPr>
              <w:rPr>
                <w:rFonts w:eastAsia="Foundry Form Sans" w:cs="Foundry Form Sans"/>
                <w:sz w:val="22"/>
                <w:szCs w:val="22"/>
              </w:rPr>
            </w:pPr>
            <w:r w:rsidRPr="4F3AD3CC">
              <w:rPr>
                <w:rFonts w:eastAsia="Foundry Form Sans" w:cs="Foundry Form Sans"/>
                <w:sz w:val="22"/>
                <w:szCs w:val="22"/>
              </w:rPr>
              <w:t>Delivery</w:t>
            </w:r>
          </w:p>
        </w:tc>
        <w:tc>
          <w:tcPr>
            <w:tcW w:w="1545" w:type="dxa"/>
            <w:tcMar>
              <w:left w:w="108" w:type="dxa"/>
              <w:right w:w="108" w:type="dxa"/>
            </w:tcMar>
          </w:tcPr>
          <w:p w14:paraId="775C3719" w14:textId="7C63E33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6.7 </w:t>
            </w:r>
          </w:p>
        </w:tc>
        <w:tc>
          <w:tcPr>
            <w:tcW w:w="1142" w:type="dxa"/>
            <w:tcMar>
              <w:left w:w="108" w:type="dxa"/>
              <w:right w:w="108" w:type="dxa"/>
            </w:tcMar>
          </w:tcPr>
          <w:p w14:paraId="416B0F15" w14:textId="430294C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7.1 </w:t>
            </w:r>
          </w:p>
        </w:tc>
        <w:tc>
          <w:tcPr>
            <w:tcW w:w="1231" w:type="dxa"/>
            <w:shd w:val="clear" w:color="auto" w:fill="D9D9D9" w:themeFill="background1" w:themeFillShade="D9"/>
            <w:tcMar>
              <w:left w:w="108" w:type="dxa"/>
              <w:right w:w="108" w:type="dxa"/>
            </w:tcMar>
          </w:tcPr>
          <w:p w14:paraId="32B43C7E" w14:textId="75A0358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8.3 </w:t>
            </w:r>
          </w:p>
        </w:tc>
        <w:tc>
          <w:tcPr>
            <w:tcW w:w="1145" w:type="dxa"/>
            <w:shd w:val="clear" w:color="auto" w:fill="D9D9D9" w:themeFill="background1" w:themeFillShade="D9"/>
            <w:tcMar>
              <w:left w:w="108" w:type="dxa"/>
              <w:right w:w="108" w:type="dxa"/>
            </w:tcMar>
          </w:tcPr>
          <w:p w14:paraId="13F98560" w14:textId="28266FF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1.6 </w:t>
            </w:r>
          </w:p>
        </w:tc>
        <w:tc>
          <w:tcPr>
            <w:tcW w:w="1119" w:type="dxa"/>
            <w:tcMar>
              <w:left w:w="108" w:type="dxa"/>
              <w:right w:w="108" w:type="dxa"/>
            </w:tcMar>
          </w:tcPr>
          <w:p w14:paraId="35F82365" w14:textId="3D54B79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7.2 </w:t>
            </w:r>
          </w:p>
        </w:tc>
        <w:tc>
          <w:tcPr>
            <w:tcW w:w="1075" w:type="dxa"/>
            <w:tcMar>
              <w:left w:w="108" w:type="dxa"/>
              <w:right w:w="108" w:type="dxa"/>
            </w:tcMar>
          </w:tcPr>
          <w:p w14:paraId="202DC7DE" w14:textId="4A1953D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7.4 </w:t>
            </w:r>
          </w:p>
        </w:tc>
      </w:tr>
      <w:tr w:rsidR="4F3AD3CC" w14:paraId="3FC5AC2D" w14:textId="77777777" w:rsidTr="00D15250">
        <w:trPr>
          <w:trHeight w:val="300"/>
        </w:trPr>
        <w:tc>
          <w:tcPr>
            <w:tcW w:w="2490" w:type="dxa"/>
            <w:tcBorders>
              <w:left w:val="nil"/>
              <w:bottom w:val="single" w:sz="8" w:space="0" w:color="A6A6A6" w:themeColor="background1" w:themeShade="A6"/>
              <w:right w:val="nil"/>
            </w:tcBorders>
            <w:tcMar>
              <w:left w:w="108" w:type="dxa"/>
              <w:right w:w="108" w:type="dxa"/>
            </w:tcMar>
          </w:tcPr>
          <w:p w14:paraId="747EA26C" w14:textId="4DB6F3A7" w:rsidR="4F3AD3CC" w:rsidRDefault="4F3AD3CC">
            <w:pPr>
              <w:rPr>
                <w:rFonts w:eastAsia="Foundry Form Sans" w:cs="Foundry Form Sans"/>
                <w:sz w:val="22"/>
                <w:szCs w:val="22"/>
              </w:rPr>
            </w:pPr>
            <w:r w:rsidRPr="4F3AD3CC">
              <w:rPr>
                <w:rFonts w:eastAsia="Foundry Form Sans" w:cs="Foundry Form Sans"/>
                <w:sz w:val="22"/>
                <w:szCs w:val="22"/>
              </w:rPr>
              <w:t>Corporate Operations</w:t>
            </w:r>
          </w:p>
        </w:tc>
        <w:tc>
          <w:tcPr>
            <w:tcW w:w="1545" w:type="dxa"/>
            <w:tcBorders>
              <w:left w:val="nil"/>
              <w:bottom w:val="single" w:sz="8" w:space="0" w:color="A6A6A6" w:themeColor="background1" w:themeShade="A6"/>
              <w:right w:val="nil"/>
            </w:tcBorders>
            <w:tcMar>
              <w:left w:w="108" w:type="dxa"/>
              <w:right w:w="108" w:type="dxa"/>
            </w:tcMar>
          </w:tcPr>
          <w:p w14:paraId="1C1B4EA0" w14:textId="1B45087A"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3.0 </w:t>
            </w:r>
          </w:p>
        </w:tc>
        <w:tc>
          <w:tcPr>
            <w:tcW w:w="1142" w:type="dxa"/>
            <w:tcBorders>
              <w:left w:val="nil"/>
              <w:bottom w:val="single" w:sz="8" w:space="0" w:color="A6A6A6" w:themeColor="background1" w:themeShade="A6"/>
              <w:right w:val="nil"/>
            </w:tcBorders>
            <w:tcMar>
              <w:left w:w="108" w:type="dxa"/>
              <w:right w:w="108" w:type="dxa"/>
            </w:tcMar>
          </w:tcPr>
          <w:p w14:paraId="44789B06" w14:textId="6A009BC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3.2 </w:t>
            </w:r>
          </w:p>
        </w:tc>
        <w:tc>
          <w:tcPr>
            <w:tcW w:w="1231" w:type="dxa"/>
            <w:tcBorders>
              <w:left w:val="nil"/>
              <w:bottom w:val="single" w:sz="8" w:space="0" w:color="A6A6A6" w:themeColor="background1" w:themeShade="A6"/>
              <w:right w:val="nil"/>
            </w:tcBorders>
            <w:shd w:val="clear" w:color="auto" w:fill="D9D9D9" w:themeFill="background1" w:themeFillShade="D9"/>
            <w:tcMar>
              <w:left w:w="108" w:type="dxa"/>
              <w:right w:w="108" w:type="dxa"/>
            </w:tcMar>
          </w:tcPr>
          <w:p w14:paraId="49420051" w14:textId="1EC5BF9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3.6 </w:t>
            </w:r>
          </w:p>
        </w:tc>
        <w:tc>
          <w:tcPr>
            <w:tcW w:w="1145" w:type="dxa"/>
            <w:tcBorders>
              <w:left w:val="nil"/>
              <w:bottom w:val="single" w:sz="8" w:space="0" w:color="A6A6A6" w:themeColor="background1" w:themeShade="A6"/>
              <w:right w:val="nil"/>
            </w:tcBorders>
            <w:shd w:val="clear" w:color="auto" w:fill="D9D9D9" w:themeFill="background1" w:themeFillShade="D9"/>
            <w:tcMar>
              <w:left w:w="108" w:type="dxa"/>
              <w:right w:w="108" w:type="dxa"/>
            </w:tcMar>
          </w:tcPr>
          <w:p w14:paraId="4DDCAAF8" w14:textId="0F3AEE15"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0.6 </w:t>
            </w:r>
          </w:p>
        </w:tc>
        <w:tc>
          <w:tcPr>
            <w:tcW w:w="1119" w:type="dxa"/>
            <w:tcBorders>
              <w:left w:val="nil"/>
              <w:bottom w:val="single" w:sz="8" w:space="0" w:color="A6A6A6" w:themeColor="background1" w:themeShade="A6"/>
              <w:right w:val="nil"/>
            </w:tcBorders>
            <w:tcMar>
              <w:left w:w="108" w:type="dxa"/>
              <w:right w:w="108" w:type="dxa"/>
            </w:tcMar>
          </w:tcPr>
          <w:p w14:paraId="2F0A065F" w14:textId="7795958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3.6 </w:t>
            </w:r>
          </w:p>
        </w:tc>
        <w:tc>
          <w:tcPr>
            <w:tcW w:w="1075" w:type="dxa"/>
            <w:tcBorders>
              <w:left w:val="nil"/>
              <w:bottom w:val="single" w:sz="8" w:space="0" w:color="A6A6A6" w:themeColor="background1" w:themeShade="A6"/>
              <w:right w:val="nil"/>
            </w:tcBorders>
            <w:tcMar>
              <w:left w:w="108" w:type="dxa"/>
              <w:right w:w="108" w:type="dxa"/>
            </w:tcMar>
          </w:tcPr>
          <w:p w14:paraId="3589F1DF" w14:textId="0A4D640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3.7 </w:t>
            </w:r>
          </w:p>
        </w:tc>
      </w:tr>
      <w:tr w:rsidR="0089657B" w14:paraId="2CD455CA" w14:textId="77777777" w:rsidTr="1FA2E292">
        <w:trPr>
          <w:trHeight w:val="300"/>
        </w:trPr>
        <w:tc>
          <w:tcPr>
            <w:tcW w:w="2490" w:type="dxa"/>
            <w:tcBorders>
              <w:top w:val="single" w:sz="8" w:space="0" w:color="A6A6A6" w:themeColor="background1" w:themeShade="A6"/>
              <w:left w:val="single" w:sz="8" w:space="0" w:color="FFFFFF" w:themeColor="background1"/>
              <w:bottom w:val="single" w:sz="8" w:space="0" w:color="A6A6A6" w:themeColor="background1" w:themeShade="A6"/>
              <w:right w:val="nil"/>
            </w:tcBorders>
            <w:shd w:val="clear" w:color="auto" w:fill="FFFFFF" w:themeFill="background1"/>
            <w:tcMar>
              <w:left w:w="108" w:type="dxa"/>
              <w:right w:w="108" w:type="dxa"/>
            </w:tcMar>
            <w:vAlign w:val="center"/>
          </w:tcPr>
          <w:p w14:paraId="5C60A7C7" w14:textId="332E4AAF"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Net service expenditure</w:t>
            </w:r>
          </w:p>
        </w:tc>
        <w:tc>
          <w:tcPr>
            <w:tcW w:w="154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A1CE192" w14:textId="3B935671"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11.8 </w:t>
            </w:r>
          </w:p>
        </w:tc>
        <w:tc>
          <w:tcPr>
            <w:tcW w:w="1142"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16A92510" w14:textId="0E9F701A"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12.3 </w:t>
            </w:r>
          </w:p>
        </w:tc>
        <w:tc>
          <w:tcPr>
            <w:tcW w:w="1231"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0C9BBC0D" w14:textId="11E1BD19"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14.2 </w:t>
            </w:r>
          </w:p>
        </w:tc>
        <w:tc>
          <w:tcPr>
            <w:tcW w:w="114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29388CD1" w14:textId="444DE87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2.4 </w:t>
            </w:r>
          </w:p>
        </w:tc>
        <w:tc>
          <w:tcPr>
            <w:tcW w:w="1119"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76249A5D" w14:textId="2424500B"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13.0 </w:t>
            </w:r>
          </w:p>
        </w:tc>
        <w:tc>
          <w:tcPr>
            <w:tcW w:w="107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3DB4F2DC" w14:textId="3F27C98A"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13.3 </w:t>
            </w:r>
          </w:p>
        </w:tc>
      </w:tr>
      <w:tr w:rsidR="4F3AD3CC" w14:paraId="4AC2C4B4" w14:textId="77777777" w:rsidTr="00D15250">
        <w:trPr>
          <w:trHeight w:val="300"/>
        </w:trPr>
        <w:tc>
          <w:tcPr>
            <w:tcW w:w="249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tcPr>
          <w:p w14:paraId="001780F4" w14:textId="3EF4162E" w:rsidR="4F3AD3CC" w:rsidRDefault="4F3AD3CC">
            <w:pPr>
              <w:rPr>
                <w:rFonts w:eastAsia="Foundry Form Sans" w:cs="Foundry Form Sans"/>
                <w:color w:val="000000" w:themeColor="text1"/>
                <w:sz w:val="22"/>
                <w:szCs w:val="22"/>
              </w:rPr>
            </w:pPr>
            <w:r w:rsidRPr="4F3AD3CC">
              <w:rPr>
                <w:rFonts w:eastAsia="Foundry Form Sans" w:cs="Foundry Form Sans"/>
                <w:color w:val="000000" w:themeColor="text1"/>
                <w:sz w:val="22"/>
                <w:szCs w:val="22"/>
              </w:rPr>
              <w:t>Capital Financing costs</w:t>
            </w:r>
          </w:p>
        </w:tc>
        <w:tc>
          <w:tcPr>
            <w:tcW w:w="1545"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tcPr>
          <w:p w14:paraId="426E701D" w14:textId="4BCD73CE"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42"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tcPr>
          <w:p w14:paraId="45A1A234" w14:textId="3B45BBAA"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1.4 </w:t>
            </w:r>
          </w:p>
        </w:tc>
        <w:tc>
          <w:tcPr>
            <w:tcW w:w="1231"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tcPr>
          <w:p w14:paraId="23B90E35" w14:textId="05D268CF"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4.5 </w:t>
            </w:r>
          </w:p>
        </w:tc>
        <w:tc>
          <w:tcPr>
            <w:tcW w:w="114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tcPr>
          <w:p w14:paraId="4A6C6568" w14:textId="52EC7D0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4.5 </w:t>
            </w:r>
          </w:p>
        </w:tc>
        <w:tc>
          <w:tcPr>
            <w:tcW w:w="1119"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tcPr>
          <w:p w14:paraId="24C1A4E0" w14:textId="09C858E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7.3 </w:t>
            </w:r>
          </w:p>
        </w:tc>
        <w:tc>
          <w:tcPr>
            <w:tcW w:w="1075"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tcPr>
          <w:p w14:paraId="5C6EC4C6" w14:textId="7B9C393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8.1 </w:t>
            </w:r>
          </w:p>
        </w:tc>
      </w:tr>
      <w:tr w:rsidR="4F3AD3CC" w14:paraId="15AA84E8" w14:textId="77777777" w:rsidTr="00D15250">
        <w:trPr>
          <w:trHeight w:val="300"/>
        </w:trPr>
        <w:tc>
          <w:tcPr>
            <w:tcW w:w="2490" w:type="dxa"/>
            <w:tcBorders>
              <w:top w:val="single" w:sz="8" w:space="0" w:color="A6A6A6" w:themeColor="background1" w:themeShade="A6"/>
              <w:left w:val="single" w:sz="8" w:space="0" w:color="FFFFFF" w:themeColor="background1"/>
              <w:bottom w:val="single" w:sz="8" w:space="0" w:color="A6A6A6" w:themeColor="background1" w:themeShade="A6"/>
              <w:right w:val="nil"/>
            </w:tcBorders>
            <w:tcMar>
              <w:left w:w="108" w:type="dxa"/>
              <w:right w:w="108" w:type="dxa"/>
            </w:tcMar>
            <w:vAlign w:val="center"/>
          </w:tcPr>
          <w:p w14:paraId="754B7751" w14:textId="6394F8FA"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Net expenditure</w:t>
            </w:r>
          </w:p>
        </w:tc>
        <w:tc>
          <w:tcPr>
            <w:tcW w:w="1545"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3B4F66D4" w14:textId="0EFC250C"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11.8 </w:t>
            </w:r>
          </w:p>
        </w:tc>
        <w:tc>
          <w:tcPr>
            <w:tcW w:w="1142"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541C9EB0" w14:textId="5BD0CEE3"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13.7 </w:t>
            </w:r>
          </w:p>
        </w:tc>
        <w:tc>
          <w:tcPr>
            <w:tcW w:w="1231"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14A5845B" w14:textId="58C2DC4F"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18.7 </w:t>
            </w:r>
          </w:p>
        </w:tc>
        <w:tc>
          <w:tcPr>
            <w:tcW w:w="114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3CEF2D09" w14:textId="408DA377"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6.9 </w:t>
            </w:r>
          </w:p>
        </w:tc>
        <w:tc>
          <w:tcPr>
            <w:tcW w:w="1119"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19709EB6" w14:textId="3A44218B"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20.3 </w:t>
            </w:r>
          </w:p>
        </w:tc>
        <w:tc>
          <w:tcPr>
            <w:tcW w:w="1075"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025C0B87" w14:textId="183614DF"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21.4 </w:t>
            </w:r>
          </w:p>
        </w:tc>
      </w:tr>
      <w:tr w:rsidR="4F3AD3CC" w14:paraId="7B4DD448" w14:textId="77777777" w:rsidTr="00D15250">
        <w:trPr>
          <w:trHeight w:val="300"/>
        </w:trPr>
        <w:tc>
          <w:tcPr>
            <w:tcW w:w="2490" w:type="dxa"/>
            <w:tcBorders>
              <w:top w:val="single" w:sz="8" w:space="0" w:color="A6A6A6" w:themeColor="background1" w:themeShade="A6"/>
              <w:left w:val="nil"/>
              <w:bottom w:val="nil"/>
              <w:right w:val="nil"/>
            </w:tcBorders>
            <w:tcMar>
              <w:left w:w="108" w:type="dxa"/>
              <w:right w:w="108" w:type="dxa"/>
            </w:tcMar>
          </w:tcPr>
          <w:p w14:paraId="23796F9A" w14:textId="3C2A73EE" w:rsidR="4F3AD3CC" w:rsidRDefault="160472EA">
            <w:pPr>
              <w:rPr>
                <w:rFonts w:eastAsia="Foundry Form Sans" w:cs="Foundry Form Sans"/>
                <w:color w:val="000000" w:themeColor="text1"/>
                <w:sz w:val="22"/>
                <w:szCs w:val="22"/>
              </w:rPr>
            </w:pPr>
            <w:r w:rsidRPr="1FA2E292">
              <w:rPr>
                <w:rFonts w:eastAsia="Foundry Form Sans" w:cs="Foundry Form Sans"/>
                <w:color w:val="000000" w:themeColor="text1"/>
                <w:sz w:val="22"/>
                <w:szCs w:val="22"/>
              </w:rPr>
              <w:t>Savings/</w:t>
            </w:r>
            <w:r w:rsidR="1C03938E" w:rsidRPr="1FA2E292">
              <w:rPr>
                <w:rFonts w:eastAsia="Foundry Form Sans" w:cs="Foundry Form Sans"/>
                <w:color w:val="000000" w:themeColor="text1"/>
                <w:sz w:val="22"/>
                <w:szCs w:val="22"/>
              </w:rPr>
              <w:t>Funding</w:t>
            </w:r>
            <w:r w:rsidR="2B4D1089" w:rsidRPr="1FA2E292">
              <w:rPr>
                <w:rFonts w:eastAsia="Foundry Form Sans" w:cs="Foundry Form Sans"/>
                <w:color w:val="000000" w:themeColor="text1"/>
                <w:sz w:val="22"/>
                <w:szCs w:val="22"/>
              </w:rPr>
              <w:t xml:space="preserve"> to be identified</w:t>
            </w:r>
          </w:p>
        </w:tc>
        <w:tc>
          <w:tcPr>
            <w:tcW w:w="1545" w:type="dxa"/>
            <w:tcBorders>
              <w:top w:val="single" w:sz="8" w:space="0" w:color="A6A6A6" w:themeColor="background1" w:themeShade="A6"/>
              <w:left w:val="nil"/>
              <w:bottom w:val="nil"/>
              <w:right w:val="nil"/>
            </w:tcBorders>
            <w:tcMar>
              <w:left w:w="108" w:type="dxa"/>
              <w:right w:w="108" w:type="dxa"/>
            </w:tcMar>
          </w:tcPr>
          <w:p w14:paraId="672C2DAD" w14:textId="55AFB8E8"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(0.0)</w:t>
            </w:r>
          </w:p>
        </w:tc>
        <w:tc>
          <w:tcPr>
            <w:tcW w:w="1142" w:type="dxa"/>
            <w:tcBorders>
              <w:top w:val="single" w:sz="8" w:space="0" w:color="A6A6A6" w:themeColor="background1" w:themeShade="A6"/>
              <w:left w:val="nil"/>
              <w:bottom w:val="nil"/>
              <w:right w:val="nil"/>
            </w:tcBorders>
            <w:tcMar>
              <w:left w:w="108" w:type="dxa"/>
              <w:right w:w="108" w:type="dxa"/>
            </w:tcMar>
          </w:tcPr>
          <w:p w14:paraId="5DAA21B9" w14:textId="479F7C3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231"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tcPr>
          <w:p w14:paraId="73CBADDA" w14:textId="1A28712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45"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tcPr>
          <w:p w14:paraId="1ACCF754" w14:textId="50C5215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19" w:type="dxa"/>
            <w:tcBorders>
              <w:top w:val="single" w:sz="8" w:space="0" w:color="A6A6A6" w:themeColor="background1" w:themeShade="A6"/>
              <w:left w:val="nil"/>
              <w:bottom w:val="nil"/>
              <w:right w:val="nil"/>
            </w:tcBorders>
            <w:tcMar>
              <w:left w:w="108" w:type="dxa"/>
              <w:right w:w="108" w:type="dxa"/>
            </w:tcMar>
          </w:tcPr>
          <w:p w14:paraId="3CEFCCFD" w14:textId="619C0E0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(5.4)</w:t>
            </w:r>
          </w:p>
        </w:tc>
        <w:tc>
          <w:tcPr>
            <w:tcW w:w="1075" w:type="dxa"/>
            <w:tcBorders>
              <w:top w:val="single" w:sz="8" w:space="0" w:color="A6A6A6" w:themeColor="background1" w:themeShade="A6"/>
              <w:left w:val="nil"/>
              <w:bottom w:val="nil"/>
              <w:right w:val="nil"/>
            </w:tcBorders>
            <w:tcMar>
              <w:left w:w="108" w:type="dxa"/>
              <w:right w:w="108" w:type="dxa"/>
            </w:tcMar>
          </w:tcPr>
          <w:p w14:paraId="475F9AC4" w14:textId="06725347"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(5.6)</w:t>
            </w:r>
          </w:p>
        </w:tc>
      </w:tr>
      <w:tr w:rsidR="4F3AD3CC" w14:paraId="144690F6" w14:textId="77777777" w:rsidTr="00D15250">
        <w:trPr>
          <w:trHeight w:val="300"/>
        </w:trPr>
        <w:tc>
          <w:tcPr>
            <w:tcW w:w="2490" w:type="dxa"/>
            <w:tcBorders>
              <w:top w:val="nil"/>
              <w:left w:val="nil"/>
              <w:bottom w:val="single" w:sz="8" w:space="0" w:color="A6A6A6" w:themeColor="background1" w:themeShade="A6"/>
              <w:right w:val="nil"/>
            </w:tcBorders>
            <w:tcMar>
              <w:left w:w="108" w:type="dxa"/>
              <w:right w:w="108" w:type="dxa"/>
            </w:tcMar>
          </w:tcPr>
          <w:p w14:paraId="6CEE4705" w14:textId="337174B4" w:rsidR="4F3AD3CC" w:rsidRDefault="4F3AD3CC">
            <w:pPr>
              <w:rPr>
                <w:rFonts w:eastAsia="Foundry Form Sans" w:cs="Foundry Form Sans"/>
                <w:color w:val="000000" w:themeColor="text1"/>
                <w:sz w:val="22"/>
                <w:szCs w:val="22"/>
              </w:rPr>
            </w:pPr>
            <w:r w:rsidRPr="4F3AD3CC">
              <w:rPr>
                <w:rFonts w:eastAsia="Foundry Form Sans" w:cs="Foundry Form Sans"/>
                <w:color w:val="000000" w:themeColor="text1"/>
                <w:sz w:val="22"/>
                <w:szCs w:val="22"/>
              </w:rPr>
              <w:t>Transfer to/ (from) MDC reserve</w:t>
            </w:r>
          </w:p>
        </w:tc>
        <w:tc>
          <w:tcPr>
            <w:tcW w:w="1545" w:type="dxa"/>
            <w:tcBorders>
              <w:top w:val="nil"/>
              <w:left w:val="nil"/>
              <w:bottom w:val="single" w:sz="8" w:space="0" w:color="A6A6A6" w:themeColor="background1" w:themeShade="A6"/>
              <w:right w:val="nil"/>
            </w:tcBorders>
            <w:tcMar>
              <w:left w:w="108" w:type="dxa"/>
              <w:right w:w="108" w:type="dxa"/>
            </w:tcMar>
          </w:tcPr>
          <w:p w14:paraId="0A0D764F" w14:textId="3AB26C5D"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(4.6)</w:t>
            </w:r>
          </w:p>
        </w:tc>
        <w:tc>
          <w:tcPr>
            <w:tcW w:w="1142" w:type="dxa"/>
            <w:tcBorders>
              <w:top w:val="nil"/>
              <w:left w:val="nil"/>
              <w:bottom w:val="single" w:sz="8" w:space="0" w:color="A6A6A6" w:themeColor="background1" w:themeShade="A6"/>
              <w:right w:val="nil"/>
            </w:tcBorders>
            <w:tcMar>
              <w:left w:w="108" w:type="dxa"/>
              <w:right w:w="108" w:type="dxa"/>
            </w:tcMar>
          </w:tcPr>
          <w:p w14:paraId="20DB6DF9" w14:textId="219A6E6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(5.1)</w:t>
            </w:r>
          </w:p>
        </w:tc>
        <w:tc>
          <w:tcPr>
            <w:tcW w:w="1231" w:type="dxa"/>
            <w:tcBorders>
              <w:top w:val="nil"/>
              <w:left w:val="nil"/>
              <w:bottom w:val="single" w:sz="8" w:space="0" w:color="A6A6A6" w:themeColor="background1" w:themeShade="A6"/>
              <w:right w:val="nil"/>
            </w:tcBorders>
            <w:shd w:val="clear" w:color="auto" w:fill="D9D9D9" w:themeFill="background1" w:themeFillShade="D9"/>
            <w:tcMar>
              <w:left w:w="108" w:type="dxa"/>
              <w:right w:w="108" w:type="dxa"/>
            </w:tcMar>
          </w:tcPr>
          <w:p w14:paraId="3BB75550" w14:textId="270E658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(6.7)</w:t>
            </w:r>
          </w:p>
        </w:tc>
        <w:tc>
          <w:tcPr>
            <w:tcW w:w="1145" w:type="dxa"/>
            <w:tcBorders>
              <w:top w:val="nil"/>
              <w:left w:val="nil"/>
              <w:bottom w:val="single" w:sz="8" w:space="0" w:color="A6A6A6" w:themeColor="background1" w:themeShade="A6"/>
              <w:right w:val="nil"/>
            </w:tcBorders>
            <w:shd w:val="clear" w:color="auto" w:fill="D9D9D9" w:themeFill="background1" w:themeFillShade="D9"/>
            <w:tcMar>
              <w:left w:w="108" w:type="dxa"/>
              <w:right w:w="108" w:type="dxa"/>
            </w:tcMar>
          </w:tcPr>
          <w:p w14:paraId="784417F9" w14:textId="513BED90"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(2.1)</w:t>
            </w:r>
          </w:p>
        </w:tc>
        <w:tc>
          <w:tcPr>
            <w:tcW w:w="1119" w:type="dxa"/>
            <w:tcBorders>
              <w:top w:val="nil"/>
              <w:left w:val="nil"/>
              <w:bottom w:val="single" w:sz="8" w:space="0" w:color="A6A6A6" w:themeColor="background1" w:themeShade="A6"/>
              <w:right w:val="nil"/>
            </w:tcBorders>
            <w:tcMar>
              <w:left w:w="108" w:type="dxa"/>
              <w:right w:w="108" w:type="dxa"/>
            </w:tcMar>
          </w:tcPr>
          <w:p w14:paraId="4CE2C0A5" w14:textId="6186E179"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075" w:type="dxa"/>
            <w:tcBorders>
              <w:top w:val="nil"/>
              <w:left w:val="nil"/>
              <w:bottom w:val="single" w:sz="8" w:space="0" w:color="A6A6A6" w:themeColor="background1" w:themeShade="A6"/>
              <w:right w:val="nil"/>
            </w:tcBorders>
            <w:tcMar>
              <w:left w:w="108" w:type="dxa"/>
              <w:right w:w="108" w:type="dxa"/>
            </w:tcMar>
          </w:tcPr>
          <w:p w14:paraId="34F2C142" w14:textId="0A9C905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r>
      <w:tr w:rsidR="0089657B" w14:paraId="07F742D2" w14:textId="77777777" w:rsidTr="1FA2E292">
        <w:trPr>
          <w:trHeight w:val="300"/>
        </w:trPr>
        <w:tc>
          <w:tcPr>
            <w:tcW w:w="2490" w:type="dxa"/>
            <w:tcBorders>
              <w:top w:val="single" w:sz="8" w:space="0" w:color="A6A6A6" w:themeColor="background1" w:themeShade="A6"/>
              <w:left w:val="single" w:sz="8" w:space="0" w:color="FFFFFF" w:themeColor="background1"/>
              <w:bottom w:val="single" w:sz="8" w:space="0" w:color="A6A6A6" w:themeColor="background1" w:themeShade="A6"/>
              <w:right w:val="nil"/>
            </w:tcBorders>
            <w:shd w:val="clear" w:color="auto" w:fill="FFFFFF" w:themeFill="background1"/>
            <w:tcMar>
              <w:left w:w="108" w:type="dxa"/>
              <w:right w:w="108" w:type="dxa"/>
            </w:tcMar>
            <w:vAlign w:val="center"/>
          </w:tcPr>
          <w:p w14:paraId="30A98B67" w14:textId="27D9C18A"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Financing Requirement</w:t>
            </w:r>
          </w:p>
        </w:tc>
        <w:tc>
          <w:tcPr>
            <w:tcW w:w="154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37FF90F5" w14:textId="10759B4A"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7.2 </w:t>
            </w:r>
          </w:p>
        </w:tc>
        <w:tc>
          <w:tcPr>
            <w:tcW w:w="1142"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439822B4" w14:textId="1FC1E75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8.6 </w:t>
            </w:r>
          </w:p>
        </w:tc>
        <w:tc>
          <w:tcPr>
            <w:tcW w:w="1231"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0C0D2037" w14:textId="1CEDDB35"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12.0 </w:t>
            </w:r>
          </w:p>
        </w:tc>
        <w:tc>
          <w:tcPr>
            <w:tcW w:w="114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54152B6B" w14:textId="111DA54B"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4.8 </w:t>
            </w:r>
          </w:p>
        </w:tc>
        <w:tc>
          <w:tcPr>
            <w:tcW w:w="1119"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9382798" w14:textId="1E79367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14.9 </w:t>
            </w:r>
          </w:p>
        </w:tc>
        <w:tc>
          <w:tcPr>
            <w:tcW w:w="107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6A97F1D" w14:textId="23F99CC2"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15.9 </w:t>
            </w:r>
          </w:p>
        </w:tc>
      </w:tr>
      <w:tr w:rsidR="0089657B" w14:paraId="18ABAA17" w14:textId="77777777" w:rsidTr="1FA2E292">
        <w:trPr>
          <w:trHeight w:val="300"/>
        </w:trPr>
        <w:tc>
          <w:tcPr>
            <w:tcW w:w="2490" w:type="dxa"/>
            <w:tcBorders>
              <w:top w:val="single" w:sz="8" w:space="0" w:color="A6A6A6" w:themeColor="background1" w:themeShade="A6"/>
              <w:left w:val="single" w:sz="8" w:space="0" w:color="FFFFFF" w:themeColor="background1"/>
              <w:bottom w:val="nil"/>
              <w:right w:val="nil"/>
            </w:tcBorders>
            <w:shd w:val="clear" w:color="auto" w:fill="FFFFFF" w:themeFill="background1"/>
            <w:tcMar>
              <w:left w:w="108" w:type="dxa"/>
              <w:right w:w="108" w:type="dxa"/>
            </w:tcMar>
          </w:tcPr>
          <w:p w14:paraId="5A070762" w14:textId="70DD63C5" w:rsidR="4F3AD3CC" w:rsidRDefault="4F3AD3CC">
            <w:pPr>
              <w:rPr>
                <w:rFonts w:eastAsia="Foundry Form Sans" w:cs="Foundry Form Sans"/>
                <w:color w:val="000000" w:themeColor="text1"/>
                <w:sz w:val="22"/>
                <w:szCs w:val="22"/>
              </w:rPr>
            </w:pPr>
            <w:proofErr w:type="spellStart"/>
            <w:r w:rsidRPr="4F3AD3CC">
              <w:rPr>
                <w:rFonts w:eastAsia="Foundry Form Sans" w:cs="Foundry Form Sans"/>
                <w:color w:val="000000" w:themeColor="text1"/>
                <w:sz w:val="22"/>
                <w:szCs w:val="22"/>
              </w:rPr>
              <w:t>Unringfenced</w:t>
            </w:r>
            <w:proofErr w:type="spellEnd"/>
            <w:r w:rsidRPr="4F3AD3CC">
              <w:rPr>
                <w:rFonts w:eastAsia="Foundry Form Sans" w:cs="Foundry Form Sans"/>
                <w:color w:val="000000" w:themeColor="text1"/>
                <w:sz w:val="22"/>
                <w:szCs w:val="22"/>
              </w:rPr>
              <w:t xml:space="preserve"> government grants</w:t>
            </w:r>
          </w:p>
        </w:tc>
        <w:tc>
          <w:tcPr>
            <w:tcW w:w="1545" w:type="dxa"/>
            <w:tcBorders>
              <w:top w:val="single" w:sz="8" w:space="0" w:color="A6A6A6" w:themeColor="background1" w:themeShade="A6"/>
              <w:left w:val="nil"/>
              <w:bottom w:val="nil"/>
              <w:right w:val="nil"/>
            </w:tcBorders>
            <w:shd w:val="clear" w:color="auto" w:fill="FFFFFF" w:themeFill="background1"/>
            <w:tcMar>
              <w:left w:w="108" w:type="dxa"/>
              <w:right w:w="108" w:type="dxa"/>
            </w:tcMar>
          </w:tcPr>
          <w:p w14:paraId="481C5458" w14:textId="530F69FF"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42" w:type="dxa"/>
            <w:tcBorders>
              <w:top w:val="single" w:sz="8" w:space="0" w:color="A6A6A6" w:themeColor="background1" w:themeShade="A6"/>
              <w:left w:val="nil"/>
              <w:bottom w:val="nil"/>
              <w:right w:val="nil"/>
            </w:tcBorders>
            <w:tcMar>
              <w:left w:w="108" w:type="dxa"/>
              <w:right w:w="108" w:type="dxa"/>
            </w:tcMar>
          </w:tcPr>
          <w:p w14:paraId="1C4230A7" w14:textId="0F27CCA2"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231"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tcPr>
          <w:p w14:paraId="5E44B407" w14:textId="502752A1"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0.1 </w:t>
            </w:r>
          </w:p>
        </w:tc>
        <w:tc>
          <w:tcPr>
            <w:tcW w:w="1145" w:type="dxa"/>
            <w:tcBorders>
              <w:top w:val="single" w:sz="8" w:space="0" w:color="A6A6A6" w:themeColor="background1" w:themeShade="A6"/>
              <w:left w:val="nil"/>
              <w:bottom w:val="nil"/>
              <w:right w:val="nil"/>
            </w:tcBorders>
            <w:shd w:val="clear" w:color="auto" w:fill="D9D9D9" w:themeFill="background1" w:themeFillShade="D9"/>
            <w:tcMar>
              <w:left w:w="108" w:type="dxa"/>
              <w:right w:w="108" w:type="dxa"/>
            </w:tcMar>
          </w:tcPr>
          <w:p w14:paraId="125B602D" w14:textId="21B9A4C5"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0.1 </w:t>
            </w:r>
          </w:p>
        </w:tc>
        <w:tc>
          <w:tcPr>
            <w:tcW w:w="1119" w:type="dxa"/>
            <w:tcBorders>
              <w:top w:val="single" w:sz="8" w:space="0" w:color="A6A6A6" w:themeColor="background1" w:themeShade="A6"/>
              <w:left w:val="nil"/>
              <w:bottom w:val="nil"/>
              <w:right w:val="nil"/>
            </w:tcBorders>
            <w:shd w:val="clear" w:color="auto" w:fill="FFFFFF" w:themeFill="background1"/>
            <w:tcMar>
              <w:left w:w="108" w:type="dxa"/>
              <w:right w:w="108" w:type="dxa"/>
            </w:tcMar>
          </w:tcPr>
          <w:p w14:paraId="752A3ECF" w14:textId="6E46A6E5"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0.1 </w:t>
            </w:r>
          </w:p>
        </w:tc>
        <w:tc>
          <w:tcPr>
            <w:tcW w:w="1075" w:type="dxa"/>
            <w:tcBorders>
              <w:top w:val="single" w:sz="8" w:space="0" w:color="A6A6A6" w:themeColor="background1" w:themeShade="A6"/>
              <w:left w:val="nil"/>
              <w:bottom w:val="nil"/>
              <w:right w:val="nil"/>
            </w:tcBorders>
            <w:shd w:val="clear" w:color="auto" w:fill="FFFFFF" w:themeFill="background1"/>
            <w:tcMar>
              <w:left w:w="108" w:type="dxa"/>
              <w:right w:w="108" w:type="dxa"/>
            </w:tcMar>
          </w:tcPr>
          <w:p w14:paraId="5B35A2BF" w14:textId="7E653D0B"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0.1 </w:t>
            </w:r>
          </w:p>
        </w:tc>
      </w:tr>
      <w:tr w:rsidR="4F3AD3CC" w14:paraId="78AD29CF" w14:textId="77777777" w:rsidTr="00D15250">
        <w:trPr>
          <w:trHeight w:val="300"/>
        </w:trPr>
        <w:tc>
          <w:tcPr>
            <w:tcW w:w="2490" w:type="dxa"/>
            <w:tcMar>
              <w:left w:w="108" w:type="dxa"/>
              <w:right w:w="108" w:type="dxa"/>
            </w:tcMar>
          </w:tcPr>
          <w:p w14:paraId="595F2FE3" w14:textId="5A7D024B" w:rsidR="4F3AD3CC" w:rsidRDefault="4F3AD3CC">
            <w:pPr>
              <w:rPr>
                <w:rFonts w:eastAsia="Foundry Form Sans" w:cs="Foundry Form Sans"/>
                <w:sz w:val="22"/>
                <w:szCs w:val="22"/>
              </w:rPr>
            </w:pPr>
            <w:r w:rsidRPr="4F3AD3CC">
              <w:rPr>
                <w:rFonts w:eastAsia="Foundry Form Sans" w:cs="Foundry Form Sans"/>
                <w:sz w:val="22"/>
                <w:szCs w:val="22"/>
              </w:rPr>
              <w:t>Retained business rates</w:t>
            </w:r>
          </w:p>
        </w:tc>
        <w:tc>
          <w:tcPr>
            <w:tcW w:w="1545" w:type="dxa"/>
            <w:tcMar>
              <w:left w:w="108" w:type="dxa"/>
              <w:right w:w="108" w:type="dxa"/>
            </w:tcMar>
          </w:tcPr>
          <w:p w14:paraId="4A5E3C9F" w14:textId="624E1CFD"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7.2 </w:t>
            </w:r>
          </w:p>
        </w:tc>
        <w:tc>
          <w:tcPr>
            <w:tcW w:w="1142" w:type="dxa"/>
            <w:tcMar>
              <w:left w:w="108" w:type="dxa"/>
              <w:right w:w="108" w:type="dxa"/>
            </w:tcMar>
          </w:tcPr>
          <w:p w14:paraId="274B4095" w14:textId="7D531682"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7.2 </w:t>
            </w:r>
          </w:p>
        </w:tc>
        <w:tc>
          <w:tcPr>
            <w:tcW w:w="1231" w:type="dxa"/>
            <w:shd w:val="clear" w:color="auto" w:fill="D9D9D9" w:themeFill="background1" w:themeFillShade="D9"/>
            <w:tcMar>
              <w:left w:w="108" w:type="dxa"/>
              <w:right w:w="108" w:type="dxa"/>
            </w:tcMar>
          </w:tcPr>
          <w:p w14:paraId="230F2570" w14:textId="79ECE85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7.4</w:t>
            </w:r>
          </w:p>
        </w:tc>
        <w:tc>
          <w:tcPr>
            <w:tcW w:w="1145" w:type="dxa"/>
            <w:shd w:val="clear" w:color="auto" w:fill="D9D9D9" w:themeFill="background1" w:themeFillShade="D9"/>
            <w:tcMar>
              <w:left w:w="108" w:type="dxa"/>
              <w:right w:w="108" w:type="dxa"/>
            </w:tcMar>
          </w:tcPr>
          <w:p w14:paraId="2BC37810" w14:textId="0C35E343"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0.2</w:t>
            </w:r>
          </w:p>
        </w:tc>
        <w:tc>
          <w:tcPr>
            <w:tcW w:w="1119" w:type="dxa"/>
            <w:tcMar>
              <w:left w:w="108" w:type="dxa"/>
              <w:right w:w="108" w:type="dxa"/>
            </w:tcMar>
          </w:tcPr>
          <w:p w14:paraId="4BE81EDF" w14:textId="7273018D"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7.5</w:t>
            </w:r>
          </w:p>
        </w:tc>
        <w:tc>
          <w:tcPr>
            <w:tcW w:w="1075" w:type="dxa"/>
            <w:tcMar>
              <w:left w:w="108" w:type="dxa"/>
              <w:right w:w="108" w:type="dxa"/>
            </w:tcMar>
          </w:tcPr>
          <w:p w14:paraId="444954A2" w14:textId="1172B2A4"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7.6</w:t>
            </w:r>
          </w:p>
        </w:tc>
      </w:tr>
      <w:tr w:rsidR="4F3AD3CC" w14:paraId="2FE438A0" w14:textId="77777777" w:rsidTr="00D15250">
        <w:trPr>
          <w:trHeight w:val="300"/>
        </w:trPr>
        <w:tc>
          <w:tcPr>
            <w:tcW w:w="2490" w:type="dxa"/>
            <w:tcBorders>
              <w:left w:val="nil"/>
              <w:bottom w:val="single" w:sz="8" w:space="0" w:color="A6A6A6" w:themeColor="background1" w:themeShade="A6"/>
              <w:right w:val="nil"/>
            </w:tcBorders>
            <w:tcMar>
              <w:left w:w="108" w:type="dxa"/>
              <w:right w:w="108" w:type="dxa"/>
            </w:tcMar>
          </w:tcPr>
          <w:p w14:paraId="235A06A7" w14:textId="3F005B24" w:rsidR="4F3AD3CC" w:rsidRDefault="4F3AD3CC">
            <w:pPr>
              <w:rPr>
                <w:rFonts w:eastAsia="Foundry Form Sans" w:cs="Foundry Form Sans"/>
                <w:color w:val="000000" w:themeColor="text1"/>
                <w:sz w:val="22"/>
                <w:szCs w:val="22"/>
              </w:rPr>
            </w:pPr>
            <w:r w:rsidRPr="4F3AD3CC">
              <w:rPr>
                <w:rFonts w:eastAsia="Foundry Form Sans" w:cs="Foundry Form Sans"/>
                <w:color w:val="000000" w:themeColor="text1"/>
                <w:sz w:val="22"/>
                <w:szCs w:val="22"/>
              </w:rPr>
              <w:t>GLA funding for financing costs</w:t>
            </w:r>
          </w:p>
        </w:tc>
        <w:tc>
          <w:tcPr>
            <w:tcW w:w="1545" w:type="dxa"/>
            <w:tcBorders>
              <w:left w:val="nil"/>
              <w:bottom w:val="single" w:sz="8" w:space="0" w:color="A6A6A6" w:themeColor="background1" w:themeShade="A6"/>
              <w:right w:val="nil"/>
            </w:tcBorders>
            <w:tcMar>
              <w:left w:w="108" w:type="dxa"/>
              <w:right w:w="108" w:type="dxa"/>
            </w:tcMar>
          </w:tcPr>
          <w:p w14:paraId="7DA908D0" w14:textId="2412855A"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0.0 </w:t>
            </w:r>
          </w:p>
        </w:tc>
        <w:tc>
          <w:tcPr>
            <w:tcW w:w="1142" w:type="dxa"/>
            <w:tcBorders>
              <w:left w:val="nil"/>
              <w:bottom w:val="single" w:sz="8" w:space="0" w:color="A6A6A6" w:themeColor="background1" w:themeShade="A6"/>
              <w:right w:val="nil"/>
            </w:tcBorders>
            <w:tcMar>
              <w:left w:w="108" w:type="dxa"/>
              <w:right w:w="108" w:type="dxa"/>
            </w:tcMar>
          </w:tcPr>
          <w:p w14:paraId="5C8128DD" w14:textId="4EF976E5"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1.4 </w:t>
            </w:r>
          </w:p>
        </w:tc>
        <w:tc>
          <w:tcPr>
            <w:tcW w:w="1231" w:type="dxa"/>
            <w:tcBorders>
              <w:left w:val="nil"/>
              <w:bottom w:val="single" w:sz="8" w:space="0" w:color="A6A6A6" w:themeColor="background1" w:themeShade="A6"/>
              <w:right w:val="nil"/>
            </w:tcBorders>
            <w:shd w:val="clear" w:color="auto" w:fill="D9D9D9" w:themeFill="background1" w:themeFillShade="D9"/>
            <w:tcMar>
              <w:left w:w="108" w:type="dxa"/>
              <w:right w:w="108" w:type="dxa"/>
            </w:tcMar>
          </w:tcPr>
          <w:p w14:paraId="06CFE444" w14:textId="7C12286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4.5 </w:t>
            </w:r>
          </w:p>
        </w:tc>
        <w:tc>
          <w:tcPr>
            <w:tcW w:w="1145" w:type="dxa"/>
            <w:tcBorders>
              <w:left w:val="nil"/>
              <w:bottom w:val="single" w:sz="8" w:space="0" w:color="A6A6A6" w:themeColor="background1" w:themeShade="A6"/>
              <w:right w:val="nil"/>
            </w:tcBorders>
            <w:shd w:val="clear" w:color="auto" w:fill="D9D9D9" w:themeFill="background1" w:themeFillShade="D9"/>
            <w:tcMar>
              <w:left w:w="108" w:type="dxa"/>
              <w:right w:w="108" w:type="dxa"/>
            </w:tcMar>
          </w:tcPr>
          <w:p w14:paraId="4435BCF2" w14:textId="4F3BAFFC"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4.5 </w:t>
            </w:r>
          </w:p>
        </w:tc>
        <w:tc>
          <w:tcPr>
            <w:tcW w:w="1119" w:type="dxa"/>
            <w:tcBorders>
              <w:left w:val="nil"/>
              <w:bottom w:val="single" w:sz="8" w:space="0" w:color="A6A6A6" w:themeColor="background1" w:themeShade="A6"/>
              <w:right w:val="nil"/>
            </w:tcBorders>
            <w:tcMar>
              <w:left w:w="108" w:type="dxa"/>
              <w:right w:w="108" w:type="dxa"/>
            </w:tcMar>
          </w:tcPr>
          <w:p w14:paraId="62DE1892" w14:textId="17FD96BB"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7.3 </w:t>
            </w:r>
          </w:p>
        </w:tc>
        <w:tc>
          <w:tcPr>
            <w:tcW w:w="1075" w:type="dxa"/>
            <w:tcBorders>
              <w:left w:val="nil"/>
              <w:bottom w:val="single" w:sz="8" w:space="0" w:color="A6A6A6" w:themeColor="background1" w:themeShade="A6"/>
              <w:right w:val="nil"/>
            </w:tcBorders>
            <w:tcMar>
              <w:left w:w="108" w:type="dxa"/>
              <w:right w:w="108" w:type="dxa"/>
            </w:tcMar>
          </w:tcPr>
          <w:p w14:paraId="359E507B" w14:textId="2BEB3EB1" w:rsidR="4F3AD3CC" w:rsidRDefault="4F3AD3CC" w:rsidP="00587E59">
            <w:pPr>
              <w:jc w:val="right"/>
              <w:rPr>
                <w:rFonts w:eastAsia="Foundry Form Sans" w:cs="Foundry Form Sans"/>
                <w:color w:val="000000" w:themeColor="text1"/>
                <w:sz w:val="22"/>
                <w:szCs w:val="22"/>
              </w:rPr>
            </w:pPr>
            <w:r w:rsidRPr="4F3AD3CC">
              <w:rPr>
                <w:rFonts w:eastAsia="Foundry Form Sans" w:cs="Foundry Form Sans"/>
                <w:color w:val="000000" w:themeColor="text1"/>
                <w:sz w:val="22"/>
                <w:szCs w:val="22"/>
              </w:rPr>
              <w:t xml:space="preserve">8.1 </w:t>
            </w:r>
          </w:p>
        </w:tc>
      </w:tr>
      <w:tr w:rsidR="0089657B" w14:paraId="34C007C7" w14:textId="77777777" w:rsidTr="1FA2E292">
        <w:trPr>
          <w:trHeight w:val="300"/>
        </w:trPr>
        <w:tc>
          <w:tcPr>
            <w:tcW w:w="2490" w:type="dxa"/>
            <w:tcBorders>
              <w:top w:val="single" w:sz="8" w:space="0" w:color="A6A6A6" w:themeColor="background1" w:themeShade="A6"/>
              <w:left w:val="single" w:sz="8" w:space="0" w:color="FFFFFF" w:themeColor="background1"/>
              <w:bottom w:val="single" w:sz="8" w:space="0" w:color="A6A6A6" w:themeColor="background1" w:themeShade="A6"/>
              <w:right w:val="nil"/>
            </w:tcBorders>
            <w:shd w:val="clear" w:color="auto" w:fill="FFFFFF" w:themeFill="background1"/>
            <w:tcMar>
              <w:left w:w="108" w:type="dxa"/>
              <w:right w:w="108" w:type="dxa"/>
            </w:tcMar>
            <w:vAlign w:val="center"/>
          </w:tcPr>
          <w:p w14:paraId="61F610E7" w14:textId="2A68A5E1" w:rsidR="4F3AD3CC" w:rsidRDefault="4F3AD3CC">
            <w:pPr>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Council tax requirement</w:t>
            </w:r>
          </w:p>
        </w:tc>
        <w:tc>
          <w:tcPr>
            <w:tcW w:w="154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E476236" w14:textId="326E7E1C"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0.0 </w:t>
            </w:r>
          </w:p>
        </w:tc>
        <w:tc>
          <w:tcPr>
            <w:tcW w:w="1142"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6DE1A66B" w14:textId="422E762A"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 xml:space="preserve">0.0 </w:t>
            </w:r>
          </w:p>
        </w:tc>
        <w:tc>
          <w:tcPr>
            <w:tcW w:w="1231"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782CB7FE" w14:textId="7E17E35D"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0.0</w:t>
            </w:r>
          </w:p>
        </w:tc>
        <w:tc>
          <w:tcPr>
            <w:tcW w:w="114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55655E0C" w14:textId="2CD1808D"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0.0</w:t>
            </w:r>
          </w:p>
        </w:tc>
        <w:tc>
          <w:tcPr>
            <w:tcW w:w="1119"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72CC7029" w14:textId="2C90D517"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0.0</w:t>
            </w:r>
          </w:p>
        </w:tc>
        <w:tc>
          <w:tcPr>
            <w:tcW w:w="1075"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475642F" w14:textId="1F7C7409" w:rsidR="4F3AD3CC" w:rsidRDefault="4F3AD3CC" w:rsidP="00587E59">
            <w:pPr>
              <w:jc w:val="right"/>
              <w:rPr>
                <w:rFonts w:eastAsia="Foundry Form Sans" w:cs="Foundry Form Sans"/>
                <w:b/>
                <w:bCs/>
                <w:color w:val="000000" w:themeColor="text1"/>
                <w:sz w:val="22"/>
                <w:szCs w:val="22"/>
              </w:rPr>
            </w:pPr>
            <w:r w:rsidRPr="4F3AD3CC">
              <w:rPr>
                <w:rFonts w:eastAsia="Foundry Form Sans" w:cs="Foundry Form Sans"/>
                <w:b/>
                <w:bCs/>
                <w:color w:val="000000" w:themeColor="text1"/>
                <w:sz w:val="22"/>
                <w:szCs w:val="22"/>
              </w:rPr>
              <w:t>0.0</w:t>
            </w:r>
          </w:p>
        </w:tc>
      </w:tr>
    </w:tbl>
    <w:p w14:paraId="5BD95FF3" w14:textId="50566521" w:rsidR="02A9548D" w:rsidRDefault="02A9548D">
      <w:pPr>
        <w:rPr>
          <w:rFonts w:eastAsia="Foundry Form Sans" w:cs="Foundry Form Sans"/>
        </w:rPr>
      </w:pPr>
      <w:r w:rsidRPr="4F3AD3CC">
        <w:rPr>
          <w:rFonts w:eastAsia="Foundry Form Sans" w:cs="Foundry Form Sans"/>
        </w:rPr>
        <w:t xml:space="preserve">  </w:t>
      </w:r>
    </w:p>
    <w:p w14:paraId="5D1412FA" w14:textId="77777777" w:rsidR="001F37B7" w:rsidRPr="00DB7322" w:rsidRDefault="48948275" w:rsidP="00917C43">
      <w:pPr>
        <w:pStyle w:val="Heading2"/>
        <w:tabs>
          <w:tab w:val="left" w:pos="720"/>
        </w:tabs>
        <w:ind w:left="680"/>
        <w:jc w:val="both"/>
        <w:rPr>
          <w:rFonts w:ascii="Foundry Form Sans" w:hAnsi="Foundry Form Sans"/>
          <w:i w:val="0"/>
          <w:iCs w:val="0"/>
          <w:color w:val="auto"/>
          <w:sz w:val="24"/>
          <w:szCs w:val="24"/>
          <w:u w:val="single"/>
        </w:rPr>
      </w:pPr>
      <w:r w:rsidRPr="49996C8F">
        <w:rPr>
          <w:rFonts w:ascii="Foundry Form Sans" w:hAnsi="Foundry Form Sans"/>
          <w:i w:val="0"/>
          <w:iCs w:val="0"/>
          <w:color w:val="auto"/>
          <w:sz w:val="24"/>
          <w:szCs w:val="24"/>
          <w:u w:val="single"/>
        </w:rPr>
        <w:t>Net change in service expenditure and income</w:t>
      </w:r>
    </w:p>
    <w:p w14:paraId="3AA29EC6" w14:textId="77777777" w:rsidR="000738C2" w:rsidRDefault="000738C2" w:rsidP="49996C8F">
      <w:pPr>
        <w:keepLines/>
        <w:spacing w:line="259" w:lineRule="auto"/>
        <w:jc w:val="both"/>
        <w:rPr>
          <w:color w:val="auto"/>
        </w:rPr>
      </w:pPr>
    </w:p>
    <w:p w14:paraId="55293C2B" w14:textId="3418E19A" w:rsidR="23DF9981" w:rsidRPr="009916DC" w:rsidRDefault="48948275" w:rsidP="4F3AD3CC">
      <w:pPr>
        <w:pStyle w:val="ListParagraph"/>
        <w:keepLines/>
        <w:numPr>
          <w:ilvl w:val="0"/>
          <w:numId w:val="35"/>
        </w:numPr>
        <w:spacing w:line="259" w:lineRule="auto"/>
        <w:jc w:val="both"/>
        <w:rPr>
          <w:rFonts w:eastAsiaTheme="minorEastAsia"/>
          <w:color w:val="auto"/>
          <w:lang w:val="en-US"/>
        </w:rPr>
      </w:pPr>
      <w:r w:rsidRPr="4F3AD3CC">
        <w:rPr>
          <w:color w:val="auto"/>
        </w:rPr>
        <w:t>The budget proposes a £</w:t>
      </w:r>
      <w:r w:rsidR="05FFDF12" w:rsidRPr="4F3AD3CC">
        <w:rPr>
          <w:color w:val="auto"/>
        </w:rPr>
        <w:t>2.</w:t>
      </w:r>
      <w:r w:rsidR="4619002A" w:rsidRPr="4F3AD3CC">
        <w:rPr>
          <w:color w:val="auto"/>
        </w:rPr>
        <w:t>4</w:t>
      </w:r>
      <w:r w:rsidRPr="4F3AD3CC">
        <w:rPr>
          <w:color w:val="auto"/>
        </w:rPr>
        <w:t xml:space="preserve"> million net increase in service expenditure.</w:t>
      </w:r>
      <w:r w:rsidR="06292132" w:rsidRPr="4F3AD3CC">
        <w:rPr>
          <w:color w:val="auto"/>
        </w:rPr>
        <w:t xml:space="preserve"> </w:t>
      </w:r>
      <w:r w:rsidR="64AA587C" w:rsidRPr="4F3AD3CC">
        <w:rPr>
          <w:color w:val="auto"/>
        </w:rPr>
        <w:t xml:space="preserve">The key driver </w:t>
      </w:r>
      <w:r w:rsidR="50674AA6" w:rsidRPr="4F3AD3CC">
        <w:rPr>
          <w:color w:val="auto"/>
        </w:rPr>
        <w:t xml:space="preserve">is the increase </w:t>
      </w:r>
      <w:r w:rsidR="70E81092" w:rsidRPr="4F3AD3CC">
        <w:rPr>
          <w:color w:val="auto"/>
        </w:rPr>
        <w:t xml:space="preserve">in costs </w:t>
      </w:r>
      <w:r w:rsidR="79E77B91" w:rsidRPr="4F3AD3CC">
        <w:rPr>
          <w:rFonts w:eastAsiaTheme="minorEastAsia"/>
          <w:color w:val="auto"/>
        </w:rPr>
        <w:t xml:space="preserve">in </w:t>
      </w:r>
      <w:r w:rsidR="59B5D101" w:rsidRPr="4F3AD3CC">
        <w:rPr>
          <w:rFonts w:eastAsiaTheme="minorEastAsia"/>
          <w:color w:val="auto"/>
        </w:rPr>
        <w:t xml:space="preserve">the </w:t>
      </w:r>
      <w:r w:rsidR="79E77B91" w:rsidRPr="4F3AD3CC">
        <w:rPr>
          <w:rFonts w:eastAsiaTheme="minorEastAsia"/>
          <w:color w:val="auto"/>
        </w:rPr>
        <w:t xml:space="preserve">Delivery </w:t>
      </w:r>
      <w:r w:rsidR="6F37CC57" w:rsidRPr="4F3AD3CC">
        <w:rPr>
          <w:rFonts w:eastAsiaTheme="minorEastAsia"/>
          <w:color w:val="auto"/>
        </w:rPr>
        <w:t>D</w:t>
      </w:r>
      <w:r w:rsidR="78549C73" w:rsidRPr="4F3AD3CC">
        <w:rPr>
          <w:rFonts w:eastAsiaTheme="minorEastAsia"/>
          <w:color w:val="auto"/>
        </w:rPr>
        <w:t>irectorate</w:t>
      </w:r>
      <w:r w:rsidR="79E77B91" w:rsidRPr="4F3AD3CC">
        <w:rPr>
          <w:rFonts w:eastAsiaTheme="minorEastAsia"/>
          <w:color w:val="auto"/>
        </w:rPr>
        <w:t xml:space="preserve"> as we move into a delivery</w:t>
      </w:r>
      <w:r w:rsidR="6AA24CEC" w:rsidRPr="4F3AD3CC">
        <w:rPr>
          <w:rFonts w:eastAsiaTheme="minorEastAsia"/>
          <w:color w:val="auto"/>
        </w:rPr>
        <w:t xml:space="preserve"> phase</w:t>
      </w:r>
      <w:r w:rsidR="79E77B91" w:rsidRPr="4F3AD3CC">
        <w:rPr>
          <w:rFonts w:eastAsiaTheme="minorEastAsia"/>
          <w:color w:val="auto"/>
        </w:rPr>
        <w:t>.</w:t>
      </w:r>
      <w:r w:rsidR="790E0872" w:rsidRPr="4F3AD3CC">
        <w:rPr>
          <w:rFonts w:eastAsiaTheme="minorEastAsia"/>
          <w:color w:val="auto"/>
        </w:rPr>
        <w:t xml:space="preserve"> The key changes relate to:</w:t>
      </w:r>
    </w:p>
    <w:p w14:paraId="66319E6E" w14:textId="77777777" w:rsidR="009916DC" w:rsidRDefault="009916DC" w:rsidP="009916DC">
      <w:pPr>
        <w:pStyle w:val="ListParagraph"/>
        <w:keepLines/>
        <w:spacing w:line="259" w:lineRule="auto"/>
        <w:ind w:left="680"/>
        <w:jc w:val="both"/>
        <w:rPr>
          <w:rFonts w:eastAsiaTheme="minorEastAsia"/>
          <w:color w:val="auto"/>
          <w:lang w:val="en-US"/>
        </w:rPr>
      </w:pPr>
    </w:p>
    <w:p w14:paraId="5CA2AE5D" w14:textId="77777777" w:rsidR="009916DC" w:rsidRDefault="009916DC" w:rsidP="009916DC">
      <w:pPr>
        <w:pStyle w:val="ListParagraph"/>
        <w:keepLines/>
        <w:spacing w:line="259" w:lineRule="auto"/>
        <w:ind w:left="680"/>
        <w:jc w:val="both"/>
        <w:rPr>
          <w:rFonts w:eastAsiaTheme="minorEastAsia"/>
          <w:color w:val="auto"/>
          <w:lang w:val="en-US"/>
        </w:rPr>
      </w:pPr>
    </w:p>
    <w:p w14:paraId="188150CC" w14:textId="77777777" w:rsidR="009916DC" w:rsidRDefault="009916DC" w:rsidP="009916DC">
      <w:pPr>
        <w:pStyle w:val="ListParagraph"/>
        <w:keepLines/>
        <w:spacing w:line="259" w:lineRule="auto"/>
        <w:ind w:left="680"/>
        <w:jc w:val="both"/>
        <w:rPr>
          <w:rFonts w:eastAsiaTheme="minorEastAsia"/>
          <w:color w:val="auto"/>
          <w:lang w:val="en-US"/>
        </w:rPr>
      </w:pPr>
    </w:p>
    <w:p w14:paraId="4C12E8C4" w14:textId="77777777" w:rsidR="009916DC" w:rsidRPr="006011F8" w:rsidRDefault="009916DC" w:rsidP="009916DC">
      <w:pPr>
        <w:pStyle w:val="ListParagraph"/>
        <w:keepLines/>
        <w:spacing w:line="259" w:lineRule="auto"/>
        <w:ind w:left="680"/>
        <w:jc w:val="both"/>
        <w:rPr>
          <w:rFonts w:eastAsiaTheme="minorEastAsia"/>
          <w:color w:val="auto"/>
          <w:lang w:val="en-US"/>
        </w:rPr>
      </w:pPr>
    </w:p>
    <w:p w14:paraId="27084CB1" w14:textId="399393C8" w:rsidR="0EEE4ABB" w:rsidRPr="006C035E" w:rsidRDefault="06BE109E" w:rsidP="1FA2E292">
      <w:pPr>
        <w:pStyle w:val="ListParagraph"/>
        <w:spacing w:before="132" w:after="132" w:line="259" w:lineRule="auto"/>
        <w:ind w:left="680"/>
        <w:jc w:val="both"/>
        <w:rPr>
          <w:rFonts w:eastAsiaTheme="minorEastAsia"/>
          <w:color w:val="auto"/>
          <w:u w:val="single"/>
          <w:lang w:val="en-US"/>
        </w:rPr>
      </w:pPr>
      <w:r w:rsidRPr="1FA2E292">
        <w:rPr>
          <w:rFonts w:eastAsiaTheme="minorEastAsia"/>
          <w:color w:val="auto"/>
          <w:u w:val="single"/>
        </w:rPr>
        <w:lastRenderedPageBreak/>
        <w:t xml:space="preserve">Delivery </w:t>
      </w:r>
      <w:r w:rsidR="7C8B182A" w:rsidRPr="1FA2E292">
        <w:rPr>
          <w:rFonts w:eastAsiaTheme="minorEastAsia"/>
          <w:color w:val="auto"/>
          <w:u w:val="single"/>
        </w:rPr>
        <w:t>- £</w:t>
      </w:r>
      <w:r w:rsidR="49FC98CD" w:rsidRPr="1FA2E292">
        <w:rPr>
          <w:rFonts w:eastAsiaTheme="minorEastAsia"/>
          <w:color w:val="auto"/>
          <w:u w:val="single"/>
        </w:rPr>
        <w:t>1.</w:t>
      </w:r>
      <w:r w:rsidR="71019E38" w:rsidRPr="1FA2E292">
        <w:rPr>
          <w:rFonts w:eastAsiaTheme="minorEastAsia"/>
          <w:color w:val="auto"/>
          <w:u w:val="single"/>
        </w:rPr>
        <w:t>6</w:t>
      </w:r>
      <w:r w:rsidR="7C8B182A" w:rsidRPr="1FA2E292">
        <w:rPr>
          <w:rFonts w:eastAsiaTheme="minorEastAsia"/>
          <w:color w:val="auto"/>
          <w:u w:val="single"/>
        </w:rPr>
        <w:t xml:space="preserve"> million</w:t>
      </w:r>
    </w:p>
    <w:p w14:paraId="7E50600F" w14:textId="3E173403" w:rsidR="1446C117" w:rsidRPr="00B42DB0" w:rsidRDefault="5BEF9BA1" w:rsidP="003B6A3E">
      <w:pPr>
        <w:pStyle w:val="ListParagraph"/>
        <w:numPr>
          <w:ilvl w:val="0"/>
          <w:numId w:val="26"/>
        </w:numPr>
        <w:spacing w:before="132" w:after="132" w:line="259" w:lineRule="auto"/>
        <w:jc w:val="both"/>
        <w:rPr>
          <w:rFonts w:eastAsiaTheme="minorEastAsia"/>
          <w:color w:val="auto"/>
        </w:rPr>
      </w:pPr>
      <w:r w:rsidRPr="36A56128">
        <w:rPr>
          <w:rFonts w:eastAsiaTheme="minorEastAsia"/>
          <w:color w:val="auto"/>
        </w:rPr>
        <w:t>an</w:t>
      </w:r>
      <w:r w:rsidR="536FA8DD" w:rsidRPr="00B42DB0">
        <w:rPr>
          <w:rFonts w:eastAsiaTheme="minorEastAsia"/>
          <w:color w:val="auto"/>
        </w:rPr>
        <w:t xml:space="preserve"> increase in work</w:t>
      </w:r>
      <w:r w:rsidR="00A83473">
        <w:rPr>
          <w:rFonts w:eastAsiaTheme="minorEastAsia"/>
          <w:color w:val="auto"/>
        </w:rPr>
        <w:t>,</w:t>
      </w:r>
      <w:r w:rsidR="4A1474FC" w:rsidRPr="36A56128">
        <w:rPr>
          <w:rFonts w:eastAsiaTheme="minorEastAsia"/>
          <w:color w:val="auto"/>
        </w:rPr>
        <w:t xml:space="preserve"> </w:t>
      </w:r>
      <w:r w:rsidR="388547F0" w:rsidRPr="36A56128">
        <w:rPr>
          <w:rFonts w:eastAsiaTheme="minorEastAsia"/>
          <w:color w:val="auto"/>
        </w:rPr>
        <w:t>relating</w:t>
      </w:r>
      <w:r w:rsidR="00A83473">
        <w:rPr>
          <w:rFonts w:eastAsiaTheme="minorEastAsia"/>
          <w:color w:val="auto"/>
        </w:rPr>
        <w:t xml:space="preserve"> primarily</w:t>
      </w:r>
      <w:r w:rsidR="388547F0" w:rsidRPr="36A56128">
        <w:rPr>
          <w:rFonts w:eastAsiaTheme="minorEastAsia"/>
          <w:color w:val="auto"/>
        </w:rPr>
        <w:t xml:space="preserve"> to</w:t>
      </w:r>
      <w:r w:rsidR="536FA8DD" w:rsidRPr="00B42DB0">
        <w:rPr>
          <w:rFonts w:eastAsiaTheme="minorEastAsia"/>
          <w:color w:val="auto"/>
        </w:rPr>
        <w:t xml:space="preserve"> </w:t>
      </w:r>
      <w:r w:rsidR="000D474E">
        <w:rPr>
          <w:rFonts w:eastAsiaTheme="minorEastAsia"/>
          <w:color w:val="auto"/>
        </w:rPr>
        <w:t xml:space="preserve">investment and development </w:t>
      </w:r>
      <w:r w:rsidR="536FA8DD" w:rsidRPr="00B42DB0">
        <w:rPr>
          <w:rFonts w:eastAsiaTheme="minorEastAsia"/>
          <w:color w:val="auto"/>
        </w:rPr>
        <w:t>partner procurement</w:t>
      </w:r>
      <w:r w:rsidR="00550521">
        <w:rPr>
          <w:rFonts w:eastAsiaTheme="minorEastAsia"/>
          <w:color w:val="auto"/>
        </w:rPr>
        <w:t xml:space="preserve"> and </w:t>
      </w:r>
      <w:r w:rsidR="46DC7773" w:rsidRPr="36A56128">
        <w:rPr>
          <w:rFonts w:eastAsiaTheme="minorEastAsia"/>
          <w:color w:val="auto"/>
        </w:rPr>
        <w:t>p</w:t>
      </w:r>
      <w:r w:rsidR="2B3DED79" w:rsidRPr="36A56128">
        <w:rPr>
          <w:rFonts w:eastAsiaTheme="minorEastAsia"/>
          <w:color w:val="auto"/>
        </w:rPr>
        <w:t>ublic</w:t>
      </w:r>
      <w:r w:rsidR="001C77CD">
        <w:rPr>
          <w:rFonts w:eastAsiaTheme="minorEastAsia"/>
          <w:color w:val="auto"/>
        </w:rPr>
        <w:t xml:space="preserve"> land agreement</w:t>
      </w:r>
      <w:r w:rsidR="002634F5">
        <w:rPr>
          <w:rFonts w:eastAsiaTheme="minorEastAsia"/>
          <w:color w:val="auto"/>
        </w:rPr>
        <w:t xml:space="preserve"> </w:t>
      </w:r>
      <w:r w:rsidR="00727D63">
        <w:rPr>
          <w:rFonts w:eastAsiaTheme="minorEastAsia"/>
          <w:color w:val="auto"/>
        </w:rPr>
        <w:t>finalisation</w:t>
      </w:r>
      <w:r w:rsidR="536FA8DD" w:rsidRPr="00B42DB0">
        <w:rPr>
          <w:rFonts w:eastAsiaTheme="minorEastAsia"/>
          <w:color w:val="auto"/>
        </w:rPr>
        <w:t xml:space="preserve">, </w:t>
      </w:r>
      <w:r w:rsidR="4A1474FC" w:rsidRPr="36A56128">
        <w:rPr>
          <w:rFonts w:eastAsiaTheme="minorEastAsia"/>
          <w:color w:val="auto"/>
        </w:rPr>
        <w:t>a</w:t>
      </w:r>
      <w:r w:rsidR="5E1668E2" w:rsidRPr="36A56128">
        <w:rPr>
          <w:rFonts w:eastAsiaTheme="minorEastAsia"/>
          <w:color w:val="auto"/>
        </w:rPr>
        <w:t>s well as</w:t>
      </w:r>
      <w:r w:rsidR="536FA8DD" w:rsidRPr="00B42DB0">
        <w:rPr>
          <w:rFonts w:eastAsiaTheme="minorEastAsia"/>
          <w:color w:val="auto"/>
        </w:rPr>
        <w:t xml:space="preserve"> the need for </w:t>
      </w:r>
      <w:r w:rsidR="00A83473">
        <w:rPr>
          <w:rFonts w:eastAsiaTheme="minorEastAsia"/>
          <w:color w:val="auto"/>
        </w:rPr>
        <w:t xml:space="preserve">external </w:t>
      </w:r>
      <w:r w:rsidR="536FA8DD" w:rsidRPr="00B42DB0">
        <w:rPr>
          <w:rFonts w:eastAsiaTheme="minorEastAsia"/>
          <w:color w:val="auto"/>
        </w:rPr>
        <w:t>professional and legal support</w:t>
      </w:r>
    </w:p>
    <w:p w14:paraId="11E12968" w14:textId="1B331FB3" w:rsidR="1446C117" w:rsidRPr="00B42DB0" w:rsidRDefault="00FD501C" w:rsidP="003B6A3E">
      <w:pPr>
        <w:pStyle w:val="ListParagraph"/>
        <w:numPr>
          <w:ilvl w:val="0"/>
          <w:numId w:val="26"/>
        </w:numPr>
        <w:spacing w:before="132" w:after="132" w:line="259" w:lineRule="auto"/>
        <w:jc w:val="both"/>
        <w:rPr>
          <w:rFonts w:eastAsiaTheme="minorEastAsia"/>
          <w:color w:val="auto"/>
        </w:rPr>
      </w:pPr>
      <w:r>
        <w:rPr>
          <w:rFonts w:eastAsiaTheme="minorEastAsia"/>
          <w:color w:val="auto"/>
        </w:rPr>
        <w:t>a</w:t>
      </w:r>
      <w:r w:rsidR="536FA8DD" w:rsidRPr="00B42DB0">
        <w:rPr>
          <w:rFonts w:eastAsiaTheme="minorEastAsia"/>
          <w:color w:val="auto"/>
        </w:rPr>
        <w:t>n in-</w:t>
      </w:r>
      <w:proofErr w:type="gramStart"/>
      <w:r w:rsidR="536FA8DD" w:rsidRPr="00B42DB0">
        <w:rPr>
          <w:rFonts w:eastAsiaTheme="minorEastAsia"/>
          <w:color w:val="auto"/>
        </w:rPr>
        <w:t>principle</w:t>
      </w:r>
      <w:proofErr w:type="gramEnd"/>
      <w:r w:rsidR="536FA8DD" w:rsidRPr="00B42DB0">
        <w:rPr>
          <w:rFonts w:eastAsiaTheme="minorEastAsia"/>
          <w:color w:val="auto"/>
        </w:rPr>
        <w:t xml:space="preserve"> decision to progress the CPO will trigger an uplift in work for </w:t>
      </w:r>
      <w:r w:rsidR="00A83473">
        <w:rPr>
          <w:rFonts w:eastAsiaTheme="minorEastAsia"/>
          <w:color w:val="auto"/>
        </w:rPr>
        <w:t>external</w:t>
      </w:r>
      <w:r w:rsidR="4A1474FC" w:rsidRPr="36A56128">
        <w:rPr>
          <w:rFonts w:eastAsiaTheme="minorEastAsia"/>
          <w:color w:val="auto"/>
        </w:rPr>
        <w:t xml:space="preserve"> </w:t>
      </w:r>
      <w:r w:rsidR="536FA8DD" w:rsidRPr="00B42DB0">
        <w:rPr>
          <w:rFonts w:eastAsiaTheme="minorEastAsia"/>
          <w:color w:val="auto"/>
        </w:rPr>
        <w:t xml:space="preserve">professional and legal support to progress the case ahead of Mayoral approval, and preparatory work ahead of the public inquiry. Work to acquire land will continue with an increased focus on </w:t>
      </w:r>
      <w:r w:rsidR="405E29F6" w:rsidRPr="00B42DB0">
        <w:rPr>
          <w:rFonts w:eastAsiaTheme="minorEastAsia"/>
          <w:color w:val="auto"/>
        </w:rPr>
        <w:t>managing tenancies</w:t>
      </w:r>
    </w:p>
    <w:p w14:paraId="5F409822" w14:textId="357C2C17" w:rsidR="001E71F8" w:rsidRPr="00C53798" w:rsidRDefault="00FD501C" w:rsidP="48E0C549">
      <w:pPr>
        <w:pStyle w:val="ListParagraph"/>
        <w:numPr>
          <w:ilvl w:val="0"/>
          <w:numId w:val="26"/>
        </w:numPr>
        <w:spacing w:before="132" w:after="132" w:line="259" w:lineRule="auto"/>
        <w:jc w:val="both"/>
        <w:rPr>
          <w:rFonts w:eastAsiaTheme="minorEastAsia"/>
          <w:color w:val="auto"/>
          <w:lang w:val="en-US"/>
        </w:rPr>
      </w:pPr>
      <w:r w:rsidRPr="48E0C549">
        <w:rPr>
          <w:rFonts w:eastAsiaTheme="minorEastAsia"/>
          <w:color w:val="auto"/>
        </w:rPr>
        <w:t>w</w:t>
      </w:r>
      <w:r w:rsidR="536FA8DD" w:rsidRPr="48E0C549">
        <w:rPr>
          <w:rFonts w:eastAsiaTheme="minorEastAsia"/>
          <w:color w:val="auto"/>
        </w:rPr>
        <w:t>ork will be undertaken on both meanwhile uses</w:t>
      </w:r>
      <w:r w:rsidR="001817B3" w:rsidRPr="48E0C549">
        <w:rPr>
          <w:rFonts w:eastAsiaTheme="minorEastAsia"/>
          <w:color w:val="auto"/>
        </w:rPr>
        <w:t xml:space="preserve"> and </w:t>
      </w:r>
      <w:r w:rsidR="536FA8DD" w:rsidRPr="48E0C549">
        <w:rPr>
          <w:rFonts w:eastAsiaTheme="minorEastAsia"/>
          <w:color w:val="auto"/>
        </w:rPr>
        <w:t>early activation for sites under OPDC</w:t>
      </w:r>
      <w:r w:rsidR="05A6B673" w:rsidRPr="48E0C549">
        <w:rPr>
          <w:rFonts w:eastAsiaTheme="minorEastAsia"/>
          <w:color w:val="auto"/>
        </w:rPr>
        <w:t>’s</w:t>
      </w:r>
      <w:r w:rsidR="536FA8DD" w:rsidRPr="48E0C549">
        <w:rPr>
          <w:rFonts w:eastAsiaTheme="minorEastAsia"/>
          <w:color w:val="auto"/>
        </w:rPr>
        <w:t xml:space="preserve"> control</w:t>
      </w:r>
      <w:r w:rsidR="275C9D81" w:rsidRPr="48E0C549">
        <w:rPr>
          <w:rFonts w:eastAsiaTheme="minorEastAsia"/>
          <w:color w:val="auto"/>
        </w:rPr>
        <w:t xml:space="preserve"> e.g. to date, we have temporarily accommodated a</w:t>
      </w:r>
      <w:r w:rsidR="0A8F90B0" w:rsidRPr="48E0C549">
        <w:rPr>
          <w:rFonts w:eastAsiaTheme="minorEastAsia"/>
          <w:color w:val="auto"/>
        </w:rPr>
        <w:t xml:space="preserve"> circular economy hub</w:t>
      </w:r>
      <w:r w:rsidR="275C9D81" w:rsidRPr="48E0C549">
        <w:rPr>
          <w:rFonts w:eastAsiaTheme="minorEastAsia"/>
          <w:color w:val="auto"/>
        </w:rPr>
        <w:t xml:space="preserve"> that makes artefacts from HS2 extracted clay </w:t>
      </w:r>
    </w:p>
    <w:p w14:paraId="1DC6F767" w14:textId="1353C9E1" w:rsidR="1446C117" w:rsidRPr="00B42DB0" w:rsidRDefault="7A17CCDC" w:rsidP="6D2246B4">
      <w:pPr>
        <w:pStyle w:val="ListParagraph"/>
        <w:numPr>
          <w:ilvl w:val="0"/>
          <w:numId w:val="26"/>
        </w:numPr>
        <w:spacing w:before="132" w:after="132" w:line="259" w:lineRule="auto"/>
        <w:jc w:val="both"/>
        <w:rPr>
          <w:rFonts w:eastAsiaTheme="minorEastAsia"/>
          <w:color w:val="auto"/>
          <w:lang w:val="en-US"/>
        </w:rPr>
      </w:pPr>
      <w:r w:rsidRPr="6D2246B4">
        <w:rPr>
          <w:rFonts w:eastAsiaTheme="minorEastAsia"/>
          <w:color w:val="auto"/>
        </w:rPr>
        <w:t xml:space="preserve">further sustainability activity following the publication of </w:t>
      </w:r>
      <w:r w:rsidR="1194BD63" w:rsidRPr="6D2246B4">
        <w:rPr>
          <w:rFonts w:eastAsiaTheme="minorEastAsia"/>
          <w:color w:val="auto"/>
        </w:rPr>
        <w:t>OPDC’s sustainability</w:t>
      </w:r>
      <w:r w:rsidRPr="6D2246B4">
        <w:rPr>
          <w:rFonts w:eastAsiaTheme="minorEastAsia"/>
          <w:color w:val="auto"/>
        </w:rPr>
        <w:t xml:space="preserve"> charter in l</w:t>
      </w:r>
      <w:r w:rsidR="4D909C93" w:rsidRPr="6D2246B4">
        <w:rPr>
          <w:rFonts w:eastAsiaTheme="minorEastAsia"/>
          <w:color w:val="auto"/>
        </w:rPr>
        <w:t xml:space="preserve">ate </w:t>
      </w:r>
      <w:r w:rsidRPr="6D2246B4">
        <w:rPr>
          <w:rFonts w:eastAsiaTheme="minorEastAsia"/>
          <w:color w:val="auto"/>
        </w:rPr>
        <w:t>2024</w:t>
      </w:r>
      <w:r w:rsidR="73FB1751" w:rsidRPr="6D2246B4">
        <w:rPr>
          <w:rFonts w:eastAsiaTheme="minorEastAsia"/>
          <w:color w:val="auto"/>
        </w:rPr>
        <w:t>-25</w:t>
      </w:r>
      <w:r w:rsidR="43B3C1B7" w:rsidRPr="6D2246B4">
        <w:rPr>
          <w:rFonts w:eastAsiaTheme="minorEastAsia"/>
          <w:color w:val="auto"/>
        </w:rPr>
        <w:t>,</w:t>
      </w:r>
      <w:r w:rsidRPr="6D2246B4">
        <w:rPr>
          <w:rFonts w:eastAsiaTheme="minorEastAsia"/>
          <w:color w:val="auto"/>
        </w:rPr>
        <w:t xml:space="preserve"> including a framework and plan to operationalise OPDC’s ambitions</w:t>
      </w:r>
    </w:p>
    <w:p w14:paraId="1D43614B" w14:textId="10748AE4" w:rsidR="00917C43" w:rsidRDefault="00831BDD" w:rsidP="003B6A3E">
      <w:pPr>
        <w:pStyle w:val="ListParagraph"/>
        <w:numPr>
          <w:ilvl w:val="0"/>
          <w:numId w:val="26"/>
        </w:numPr>
        <w:spacing w:before="132" w:after="132" w:line="259" w:lineRule="auto"/>
        <w:jc w:val="both"/>
        <w:rPr>
          <w:rFonts w:eastAsiaTheme="minorEastAsia"/>
          <w:color w:val="auto"/>
        </w:rPr>
      </w:pPr>
      <w:r>
        <w:rPr>
          <w:rFonts w:eastAsiaTheme="minorEastAsia"/>
          <w:color w:val="auto"/>
        </w:rPr>
        <w:t>an increas</w:t>
      </w:r>
      <w:r w:rsidR="00F04A5C">
        <w:rPr>
          <w:rFonts w:eastAsiaTheme="minorEastAsia"/>
          <w:color w:val="auto"/>
        </w:rPr>
        <w:t>e</w:t>
      </w:r>
      <w:r w:rsidR="00EC626F">
        <w:rPr>
          <w:rFonts w:eastAsiaTheme="minorEastAsia"/>
          <w:color w:val="auto"/>
        </w:rPr>
        <w:t xml:space="preserve"> in site management costs</w:t>
      </w:r>
      <w:r w:rsidR="00F04A5C">
        <w:rPr>
          <w:rFonts w:eastAsiaTheme="minorEastAsia"/>
          <w:color w:val="auto"/>
        </w:rPr>
        <w:t xml:space="preserve"> </w:t>
      </w:r>
      <w:r w:rsidR="00A80FB2">
        <w:rPr>
          <w:rFonts w:eastAsiaTheme="minorEastAsia"/>
          <w:color w:val="auto"/>
        </w:rPr>
        <w:t xml:space="preserve">as more </w:t>
      </w:r>
      <w:r w:rsidR="00475FCF">
        <w:rPr>
          <w:rFonts w:eastAsiaTheme="minorEastAsia"/>
          <w:color w:val="auto"/>
        </w:rPr>
        <w:t xml:space="preserve">sites </w:t>
      </w:r>
      <w:r w:rsidR="00413965">
        <w:rPr>
          <w:rFonts w:eastAsiaTheme="minorEastAsia"/>
          <w:color w:val="auto"/>
        </w:rPr>
        <w:t xml:space="preserve">are </w:t>
      </w:r>
      <w:r w:rsidR="00667479">
        <w:rPr>
          <w:rFonts w:eastAsiaTheme="minorEastAsia"/>
          <w:color w:val="auto"/>
        </w:rPr>
        <w:t>acquired and our Asset Management function expands</w:t>
      </w:r>
    </w:p>
    <w:p w14:paraId="6D72BB1A" w14:textId="2BD34DD0" w:rsidR="73ED6F26" w:rsidRPr="00256104" w:rsidRDefault="00256104" w:rsidP="003B6A3E">
      <w:pPr>
        <w:pStyle w:val="ListParagraph"/>
        <w:numPr>
          <w:ilvl w:val="0"/>
          <w:numId w:val="26"/>
        </w:numPr>
        <w:spacing w:before="132" w:after="132" w:line="259" w:lineRule="auto"/>
        <w:jc w:val="both"/>
        <w:rPr>
          <w:rFonts w:eastAsiaTheme="minorEastAsia"/>
          <w:color w:val="auto"/>
        </w:rPr>
      </w:pPr>
      <w:r w:rsidRPr="18307BDE">
        <w:rPr>
          <w:rFonts w:eastAsiaTheme="minorEastAsia"/>
          <w:color w:val="auto"/>
        </w:rPr>
        <w:t xml:space="preserve">increased gross costs in the Delivery Directorate </w:t>
      </w:r>
      <w:r w:rsidR="001925F2">
        <w:rPr>
          <w:rFonts w:eastAsiaTheme="minorEastAsia"/>
          <w:color w:val="auto"/>
        </w:rPr>
        <w:t xml:space="preserve">are partially mitigated </w:t>
      </w:r>
      <w:r w:rsidRPr="18307BDE">
        <w:rPr>
          <w:rFonts w:eastAsiaTheme="minorEastAsia"/>
          <w:color w:val="auto"/>
        </w:rPr>
        <w:t>via rental income from acquired assets and use of S.106 funding (Including the Carbon offset fund).</w:t>
      </w:r>
    </w:p>
    <w:p w14:paraId="3A731274" w14:textId="02CEF443" w:rsidR="006C052D" w:rsidRPr="00641F96" w:rsidRDefault="07793F8D" w:rsidP="00802095">
      <w:pPr>
        <w:pStyle w:val="Normal21"/>
        <w:spacing w:after="0"/>
        <w:ind w:left="680"/>
        <w:jc w:val="both"/>
        <w:rPr>
          <w:rFonts w:eastAsiaTheme="minorEastAsia"/>
          <w:u w:val="single"/>
        </w:rPr>
      </w:pPr>
      <w:r w:rsidRPr="18307BDE">
        <w:rPr>
          <w:rFonts w:eastAsiaTheme="minorEastAsia"/>
          <w:u w:val="single"/>
        </w:rPr>
        <w:t>Planning</w:t>
      </w:r>
      <w:r w:rsidR="4EE97306" w:rsidRPr="18307BDE">
        <w:rPr>
          <w:rFonts w:eastAsiaTheme="minorEastAsia"/>
          <w:u w:val="single"/>
        </w:rPr>
        <w:t xml:space="preserve"> – </w:t>
      </w:r>
      <w:r w:rsidR="3C9A98A2" w:rsidRPr="18307BDE">
        <w:rPr>
          <w:rFonts w:eastAsiaTheme="minorEastAsia"/>
          <w:u w:val="single"/>
        </w:rPr>
        <w:t>n</w:t>
      </w:r>
      <w:r w:rsidR="1EBFA31B" w:rsidRPr="18307BDE">
        <w:rPr>
          <w:rFonts w:eastAsiaTheme="minorEastAsia"/>
          <w:u w:val="single"/>
        </w:rPr>
        <w:t>il</w:t>
      </w:r>
    </w:p>
    <w:p w14:paraId="513F9814" w14:textId="6201119C" w:rsidR="00F709B0" w:rsidRDefault="2CDA3D93" w:rsidP="0085507B">
      <w:pPr>
        <w:pStyle w:val="Normal21"/>
        <w:numPr>
          <w:ilvl w:val="0"/>
          <w:numId w:val="22"/>
        </w:numPr>
        <w:spacing w:after="0"/>
        <w:jc w:val="both"/>
        <w:rPr>
          <w:rFonts w:eastAsiaTheme="minorEastAsia"/>
          <w:lang w:val="en-US"/>
        </w:rPr>
      </w:pPr>
      <w:r w:rsidRPr="57EA1165">
        <w:rPr>
          <w:rFonts w:eastAsiaTheme="minorEastAsia"/>
        </w:rPr>
        <w:t>i</w:t>
      </w:r>
      <w:r w:rsidR="424388BC" w:rsidRPr="57EA1165">
        <w:rPr>
          <w:rFonts w:eastAsiaTheme="minorEastAsia"/>
        </w:rPr>
        <w:t xml:space="preserve">ncreased costs relating to the Local </w:t>
      </w:r>
      <w:r w:rsidR="3C3A66E4" w:rsidRPr="57EA1165">
        <w:rPr>
          <w:rFonts w:eastAsiaTheme="minorEastAsia"/>
        </w:rPr>
        <w:t>P</w:t>
      </w:r>
      <w:r w:rsidR="424388BC" w:rsidRPr="57EA1165">
        <w:rPr>
          <w:rFonts w:eastAsiaTheme="minorEastAsia"/>
        </w:rPr>
        <w:t>lan review</w:t>
      </w:r>
      <w:r w:rsidR="0EF7ADCC" w:rsidRPr="57EA1165">
        <w:rPr>
          <w:rFonts w:eastAsiaTheme="minorEastAsia"/>
        </w:rPr>
        <w:t xml:space="preserve">, </w:t>
      </w:r>
      <w:r w:rsidR="424388BC" w:rsidRPr="57EA1165">
        <w:rPr>
          <w:rFonts w:eastAsiaTheme="minorEastAsia"/>
        </w:rPr>
        <w:t xml:space="preserve">expanding the team to deal with increased </w:t>
      </w:r>
      <w:r w:rsidR="001F2F69">
        <w:rPr>
          <w:rFonts w:eastAsiaTheme="minorEastAsia"/>
        </w:rPr>
        <w:t xml:space="preserve">planning application </w:t>
      </w:r>
      <w:r w:rsidR="424388BC" w:rsidRPr="57EA1165">
        <w:rPr>
          <w:rFonts w:eastAsiaTheme="minorEastAsia"/>
        </w:rPr>
        <w:t>work</w:t>
      </w:r>
      <w:r w:rsidR="6FB0C48B" w:rsidRPr="57EA1165">
        <w:rPr>
          <w:rFonts w:eastAsiaTheme="minorEastAsia"/>
        </w:rPr>
        <w:t>, construction management impacts</w:t>
      </w:r>
      <w:r w:rsidR="424388BC" w:rsidRPr="57EA1165">
        <w:rPr>
          <w:rFonts w:eastAsiaTheme="minorEastAsia"/>
        </w:rPr>
        <w:t xml:space="preserve"> and expanding the enforcement and CIL/106 teams</w:t>
      </w:r>
    </w:p>
    <w:p w14:paraId="24D41CC8" w14:textId="02D4EC6D" w:rsidR="00917C43" w:rsidRPr="00B42DB0" w:rsidRDefault="00917C43" w:rsidP="0085507B">
      <w:pPr>
        <w:pStyle w:val="Normal21"/>
        <w:numPr>
          <w:ilvl w:val="0"/>
          <w:numId w:val="22"/>
        </w:numPr>
        <w:spacing w:after="0"/>
        <w:jc w:val="both"/>
        <w:rPr>
          <w:rFonts w:eastAsiaTheme="minorEastAsia"/>
          <w:lang w:val="en-US"/>
        </w:rPr>
      </w:pPr>
      <w:r w:rsidRPr="00B42DB0">
        <w:rPr>
          <w:rFonts w:eastAsiaTheme="minorEastAsia"/>
          <w:lang w:val="en-US"/>
        </w:rPr>
        <w:t xml:space="preserve">OPDC </w:t>
      </w:r>
      <w:r w:rsidR="2A25903B" w:rsidRPr="36A56128">
        <w:rPr>
          <w:rFonts w:eastAsiaTheme="minorEastAsia"/>
        </w:rPr>
        <w:t>expect</w:t>
      </w:r>
      <w:r w:rsidR="008B15F1">
        <w:rPr>
          <w:rFonts w:eastAsiaTheme="minorEastAsia"/>
        </w:rPr>
        <w:t>s</w:t>
      </w:r>
      <w:r w:rsidRPr="00B42DB0">
        <w:rPr>
          <w:rFonts w:eastAsiaTheme="minorEastAsia"/>
        </w:rPr>
        <w:t xml:space="preserve"> a higher level of Planning income for 2025-26, linked to </w:t>
      </w:r>
      <w:r w:rsidR="008B15F1">
        <w:rPr>
          <w:rFonts w:eastAsiaTheme="minorEastAsia"/>
        </w:rPr>
        <w:t>an</w:t>
      </w:r>
      <w:r w:rsidR="2A25903B" w:rsidRPr="36A56128">
        <w:rPr>
          <w:rFonts w:eastAsiaTheme="minorEastAsia"/>
        </w:rPr>
        <w:t xml:space="preserve"> increase</w:t>
      </w:r>
      <w:r w:rsidR="008B15F1">
        <w:rPr>
          <w:rFonts w:eastAsiaTheme="minorEastAsia"/>
        </w:rPr>
        <w:t xml:space="preserve"> in maj</w:t>
      </w:r>
      <w:r w:rsidR="00791B7F">
        <w:rPr>
          <w:rFonts w:eastAsiaTheme="minorEastAsia"/>
        </w:rPr>
        <w:t>or planning</w:t>
      </w:r>
      <w:r w:rsidRPr="00B42DB0">
        <w:rPr>
          <w:rFonts w:eastAsiaTheme="minorEastAsia"/>
        </w:rPr>
        <w:t xml:space="preserve"> applications. This expected increase in income, combined with the potential to draw down on the ring-fenced planning reserve</w:t>
      </w:r>
      <w:r w:rsidR="00321347">
        <w:rPr>
          <w:rFonts w:eastAsiaTheme="minorEastAsia"/>
        </w:rPr>
        <w:t>,</w:t>
      </w:r>
      <w:r w:rsidRPr="00B42DB0">
        <w:rPr>
          <w:rFonts w:eastAsiaTheme="minorEastAsia"/>
        </w:rPr>
        <w:t xml:space="preserve"> will result in a nil net increase in the Planning Directorate budget year on year.</w:t>
      </w:r>
    </w:p>
    <w:p w14:paraId="4E6CCE6E" w14:textId="77777777" w:rsidR="00024D5B" w:rsidRDefault="00024D5B" w:rsidP="00802095">
      <w:pPr>
        <w:pStyle w:val="Normal21"/>
        <w:spacing w:after="0"/>
        <w:ind w:left="680"/>
        <w:jc w:val="both"/>
        <w:rPr>
          <w:rFonts w:eastAsiaTheme="minorEastAsia"/>
          <w:u w:val="single"/>
        </w:rPr>
      </w:pPr>
    </w:p>
    <w:p w14:paraId="1872C795" w14:textId="3D10F3FC" w:rsidR="00917C43" w:rsidRPr="00B42DB0" w:rsidRDefault="58B9EA5F" w:rsidP="00802095">
      <w:pPr>
        <w:pStyle w:val="Normal21"/>
        <w:spacing w:after="0"/>
        <w:ind w:left="680"/>
        <w:jc w:val="both"/>
        <w:rPr>
          <w:rFonts w:eastAsiaTheme="minorEastAsia"/>
          <w:u w:val="single"/>
        </w:rPr>
      </w:pPr>
      <w:r w:rsidRPr="00B42DB0">
        <w:rPr>
          <w:rFonts w:eastAsiaTheme="minorEastAsia"/>
          <w:u w:val="single"/>
        </w:rPr>
        <w:t>Corporate Operations &amp; Finance</w:t>
      </w:r>
      <w:r w:rsidR="6C035684" w:rsidRPr="00B42DB0">
        <w:rPr>
          <w:rFonts w:eastAsiaTheme="minorEastAsia"/>
          <w:u w:val="single"/>
        </w:rPr>
        <w:t xml:space="preserve"> - £0.</w:t>
      </w:r>
      <w:r w:rsidR="5CFCBD58" w:rsidRPr="00B42DB0">
        <w:rPr>
          <w:rFonts w:eastAsiaTheme="minorEastAsia"/>
          <w:u w:val="single"/>
        </w:rPr>
        <w:t>6</w:t>
      </w:r>
      <w:r w:rsidR="6C035684" w:rsidRPr="00B42DB0">
        <w:rPr>
          <w:rFonts w:eastAsiaTheme="minorEastAsia"/>
          <w:u w:val="single"/>
        </w:rPr>
        <w:t xml:space="preserve"> million</w:t>
      </w:r>
    </w:p>
    <w:p w14:paraId="130B91A1" w14:textId="5E0D8422" w:rsidR="35492B2F" w:rsidRPr="00B42DB0" w:rsidRDefault="00FD501C" w:rsidP="00972D9D">
      <w:pPr>
        <w:pStyle w:val="ListParagraph"/>
        <w:numPr>
          <w:ilvl w:val="0"/>
          <w:numId w:val="5"/>
        </w:numPr>
        <w:spacing w:before="120" w:after="120" w:line="259" w:lineRule="auto"/>
        <w:jc w:val="both"/>
        <w:rPr>
          <w:rFonts w:eastAsiaTheme="minorEastAsia"/>
          <w:color w:val="auto"/>
        </w:rPr>
      </w:pPr>
      <w:r>
        <w:rPr>
          <w:rFonts w:eastAsiaTheme="minorEastAsia"/>
          <w:color w:val="auto"/>
        </w:rPr>
        <w:t>b</w:t>
      </w:r>
      <w:r w:rsidR="35492B2F" w:rsidRPr="00B42DB0">
        <w:rPr>
          <w:rFonts w:eastAsiaTheme="minorEastAsia"/>
          <w:color w:val="auto"/>
        </w:rPr>
        <w:t xml:space="preserve">uilding capacity and skills in finance </w:t>
      </w:r>
      <w:r w:rsidR="25622F89" w:rsidRPr="00B42DB0">
        <w:rPr>
          <w:rFonts w:eastAsiaTheme="minorEastAsia"/>
          <w:color w:val="auto"/>
        </w:rPr>
        <w:t xml:space="preserve">and governance </w:t>
      </w:r>
      <w:r w:rsidR="35492B2F" w:rsidRPr="00B42DB0">
        <w:rPr>
          <w:rFonts w:eastAsiaTheme="minorEastAsia"/>
          <w:color w:val="auto"/>
        </w:rPr>
        <w:t xml:space="preserve">to ensure assurance and compliance to statutory and group reporting requirements, as the asset portfolio grows and in relation to the management of </w:t>
      </w:r>
      <w:r w:rsidR="00F94149">
        <w:rPr>
          <w:rFonts w:eastAsiaTheme="minorEastAsia"/>
          <w:color w:val="auto"/>
        </w:rPr>
        <w:t>subsidiary</w:t>
      </w:r>
      <w:r w:rsidR="00126A7E">
        <w:rPr>
          <w:rFonts w:eastAsiaTheme="minorEastAsia"/>
          <w:color w:val="auto"/>
        </w:rPr>
        <w:t xml:space="preserve"> </w:t>
      </w:r>
      <w:r w:rsidR="00C85B21">
        <w:rPr>
          <w:rFonts w:eastAsiaTheme="minorEastAsia"/>
          <w:color w:val="auto"/>
        </w:rPr>
        <w:t>asset companies</w:t>
      </w:r>
      <w:r w:rsidR="35492B2F" w:rsidRPr="00B42DB0">
        <w:rPr>
          <w:rFonts w:eastAsiaTheme="minorEastAsia"/>
          <w:color w:val="auto"/>
        </w:rPr>
        <w:t xml:space="preserve"> within the group</w:t>
      </w:r>
    </w:p>
    <w:p w14:paraId="62B1EF7C" w14:textId="4792ECDC" w:rsidR="35492B2F" w:rsidRPr="00B42DB0" w:rsidRDefault="00FD501C" w:rsidP="00972D9D">
      <w:pPr>
        <w:pStyle w:val="ListParagraph"/>
        <w:numPr>
          <w:ilvl w:val="0"/>
          <w:numId w:val="5"/>
        </w:numPr>
        <w:spacing w:before="120" w:after="120" w:line="259" w:lineRule="auto"/>
        <w:jc w:val="both"/>
        <w:rPr>
          <w:rFonts w:eastAsiaTheme="minorEastAsia"/>
          <w:color w:val="auto"/>
        </w:rPr>
      </w:pPr>
      <w:r>
        <w:rPr>
          <w:rFonts w:eastAsiaTheme="minorEastAsia"/>
          <w:color w:val="auto"/>
        </w:rPr>
        <w:t>e</w:t>
      </w:r>
      <w:r w:rsidR="35492B2F" w:rsidRPr="00B42DB0">
        <w:rPr>
          <w:rFonts w:eastAsiaTheme="minorEastAsia"/>
          <w:color w:val="auto"/>
        </w:rPr>
        <w:t>nsuring appropriate resources in governance and HR to support an expanding and more complex organisation</w:t>
      </w:r>
      <w:r w:rsidR="35492B2F" w:rsidRPr="00B42DB0">
        <w:rPr>
          <w:color w:val="auto"/>
        </w:rPr>
        <w:t>, building relationships, and promoting collaboration</w:t>
      </w:r>
    </w:p>
    <w:p w14:paraId="0E5ED062" w14:textId="6A958BF6" w:rsidR="03992F6D" w:rsidRPr="00B42DB0" w:rsidRDefault="00FD501C" w:rsidP="57EA1165">
      <w:pPr>
        <w:pStyle w:val="ListParagraph"/>
        <w:numPr>
          <w:ilvl w:val="0"/>
          <w:numId w:val="5"/>
        </w:numPr>
        <w:spacing w:before="120" w:after="120" w:line="259" w:lineRule="auto"/>
        <w:jc w:val="both"/>
        <w:rPr>
          <w:rFonts w:eastAsiaTheme="minorEastAsia"/>
          <w:color w:val="auto"/>
          <w:lang w:val="en-US"/>
        </w:rPr>
      </w:pPr>
      <w:r w:rsidRPr="57EA1165">
        <w:rPr>
          <w:rFonts w:eastAsiaTheme="minorEastAsia"/>
          <w:color w:val="auto"/>
        </w:rPr>
        <w:t>i</w:t>
      </w:r>
      <w:r w:rsidR="03992F6D" w:rsidRPr="57EA1165">
        <w:rPr>
          <w:rFonts w:eastAsiaTheme="minorEastAsia"/>
          <w:color w:val="auto"/>
        </w:rPr>
        <w:t xml:space="preserve">ncreased rent, reflecting the </w:t>
      </w:r>
      <w:r w:rsidR="008F3B7C">
        <w:rPr>
          <w:rFonts w:eastAsiaTheme="minorEastAsia"/>
          <w:color w:val="auto"/>
        </w:rPr>
        <w:t>increase space</w:t>
      </w:r>
      <w:r w:rsidR="005B1291">
        <w:rPr>
          <w:rFonts w:eastAsiaTheme="minorEastAsia"/>
          <w:color w:val="auto"/>
        </w:rPr>
        <w:t xml:space="preserve"> in the </w:t>
      </w:r>
      <w:r w:rsidR="03992F6D" w:rsidRPr="57EA1165">
        <w:rPr>
          <w:rFonts w:eastAsiaTheme="minorEastAsia"/>
          <w:color w:val="auto"/>
        </w:rPr>
        <w:t xml:space="preserve">new offices </w:t>
      </w:r>
      <w:r w:rsidR="00FE5575" w:rsidRPr="57EA1165">
        <w:rPr>
          <w:rFonts w:eastAsiaTheme="minorEastAsia"/>
          <w:color w:val="auto"/>
        </w:rPr>
        <w:t>to accommodate the growing business</w:t>
      </w:r>
      <w:r w:rsidR="00FE5575">
        <w:rPr>
          <w:rFonts w:eastAsiaTheme="minorEastAsia"/>
          <w:color w:val="auto"/>
        </w:rPr>
        <w:t xml:space="preserve">, </w:t>
      </w:r>
      <w:r w:rsidR="00FE5575" w:rsidRPr="57EA1165">
        <w:rPr>
          <w:rFonts w:eastAsiaTheme="minorEastAsia"/>
          <w:color w:val="auto"/>
        </w:rPr>
        <w:t xml:space="preserve">the </w:t>
      </w:r>
      <w:r w:rsidR="3251B8BF" w:rsidRPr="57EA1165">
        <w:rPr>
          <w:rFonts w:eastAsiaTheme="minorEastAsia"/>
          <w:color w:val="auto"/>
        </w:rPr>
        <w:t>cost per square f</w:t>
      </w:r>
      <w:r w:rsidR="47D7667A" w:rsidRPr="57EA1165">
        <w:rPr>
          <w:rFonts w:eastAsiaTheme="minorEastAsia"/>
          <w:color w:val="auto"/>
        </w:rPr>
        <w:t>ee</w:t>
      </w:r>
      <w:r w:rsidR="3251B8BF" w:rsidRPr="57EA1165">
        <w:rPr>
          <w:rFonts w:eastAsiaTheme="minorEastAsia"/>
          <w:color w:val="auto"/>
        </w:rPr>
        <w:t xml:space="preserve">t remains the same as the previous </w:t>
      </w:r>
      <w:r w:rsidR="00A36437">
        <w:rPr>
          <w:rFonts w:eastAsiaTheme="minorEastAsia"/>
          <w:color w:val="auto"/>
        </w:rPr>
        <w:t>office</w:t>
      </w:r>
    </w:p>
    <w:p w14:paraId="25DF752F" w14:textId="4430382D" w:rsidR="3251B8BF" w:rsidRPr="00B42DB0" w:rsidRDefault="00FD501C" w:rsidP="00972D9D">
      <w:pPr>
        <w:pStyle w:val="ListParagraph"/>
        <w:numPr>
          <w:ilvl w:val="0"/>
          <w:numId w:val="5"/>
        </w:numPr>
        <w:spacing w:before="120" w:after="120" w:line="259" w:lineRule="auto"/>
        <w:jc w:val="both"/>
        <w:rPr>
          <w:rFonts w:eastAsiaTheme="minorEastAsia"/>
          <w:color w:val="auto"/>
          <w:lang w:val="en-US"/>
        </w:rPr>
      </w:pPr>
      <w:r>
        <w:rPr>
          <w:rFonts w:eastAsiaTheme="minorEastAsia"/>
          <w:color w:val="auto"/>
          <w:lang w:val="en-US"/>
        </w:rPr>
        <w:t>s</w:t>
      </w:r>
      <w:r w:rsidR="3251B8BF" w:rsidRPr="00B42DB0">
        <w:rPr>
          <w:rFonts w:eastAsiaTheme="minorEastAsia"/>
          <w:color w:val="auto"/>
          <w:lang w:val="en-US"/>
        </w:rPr>
        <w:t>hared service costs</w:t>
      </w:r>
      <w:r w:rsidR="029FBF34" w:rsidRPr="00B42DB0">
        <w:rPr>
          <w:rFonts w:eastAsiaTheme="minorEastAsia"/>
          <w:color w:val="auto"/>
          <w:lang w:val="en-US"/>
        </w:rPr>
        <w:t xml:space="preserve"> (GLA and TfL)</w:t>
      </w:r>
      <w:r w:rsidR="3251B8BF" w:rsidRPr="00B42DB0">
        <w:rPr>
          <w:rFonts w:eastAsiaTheme="minorEastAsia"/>
          <w:color w:val="auto"/>
          <w:lang w:val="en-US"/>
        </w:rPr>
        <w:t xml:space="preserve">, due to a </w:t>
      </w:r>
      <w:r w:rsidR="045E2837" w:rsidRPr="00B42DB0">
        <w:rPr>
          <w:rFonts w:eastAsiaTheme="minorEastAsia"/>
          <w:color w:val="auto"/>
          <w:lang w:val="en-US"/>
        </w:rPr>
        <w:t>re-baselining</w:t>
      </w:r>
      <w:r w:rsidR="3251B8BF" w:rsidRPr="00B42DB0">
        <w:rPr>
          <w:rFonts w:eastAsiaTheme="minorEastAsia"/>
          <w:color w:val="auto"/>
          <w:lang w:val="en-US"/>
        </w:rPr>
        <w:t xml:space="preserve"> </w:t>
      </w:r>
      <w:r w:rsidR="28284B45" w:rsidRPr="00B42DB0">
        <w:rPr>
          <w:rFonts w:eastAsiaTheme="minorEastAsia"/>
          <w:color w:val="auto"/>
          <w:lang w:val="en-US"/>
        </w:rPr>
        <w:t>of</w:t>
      </w:r>
      <w:r w:rsidR="3251B8BF" w:rsidRPr="00B42DB0">
        <w:rPr>
          <w:rFonts w:eastAsiaTheme="minorEastAsia"/>
          <w:color w:val="auto"/>
          <w:lang w:val="en-US"/>
        </w:rPr>
        <w:t xml:space="preserve"> costs charged to OPDC.</w:t>
      </w:r>
    </w:p>
    <w:p w14:paraId="1050AA70" w14:textId="0F411602" w:rsidR="009D5526" w:rsidRPr="00641F96" w:rsidRDefault="1980EA44" w:rsidP="00802095">
      <w:pPr>
        <w:pStyle w:val="Normal21"/>
        <w:spacing w:after="0"/>
        <w:ind w:left="680"/>
        <w:jc w:val="both"/>
        <w:rPr>
          <w:rFonts w:eastAsiaTheme="minorEastAsia"/>
          <w:u w:val="single"/>
        </w:rPr>
      </w:pPr>
      <w:r w:rsidRPr="00B42DB0">
        <w:rPr>
          <w:rFonts w:eastAsiaTheme="minorEastAsia"/>
          <w:u w:val="single"/>
        </w:rPr>
        <w:t>CEO Office, Communications and Engagement</w:t>
      </w:r>
      <w:r w:rsidR="5844BC49" w:rsidRPr="00B42DB0">
        <w:rPr>
          <w:rFonts w:eastAsiaTheme="minorEastAsia"/>
          <w:u w:val="single"/>
        </w:rPr>
        <w:t xml:space="preserve"> - £0.</w:t>
      </w:r>
      <w:r w:rsidR="4C23563A" w:rsidRPr="00B42DB0">
        <w:rPr>
          <w:rFonts w:eastAsiaTheme="minorEastAsia"/>
          <w:u w:val="single"/>
        </w:rPr>
        <w:t>2</w:t>
      </w:r>
      <w:r w:rsidR="7F8BE0AA" w:rsidRPr="00B42DB0">
        <w:rPr>
          <w:rFonts w:eastAsiaTheme="minorEastAsia"/>
          <w:u w:val="single"/>
        </w:rPr>
        <w:t xml:space="preserve"> </w:t>
      </w:r>
      <w:r w:rsidR="5844BC49" w:rsidRPr="00B42DB0">
        <w:rPr>
          <w:rFonts w:eastAsiaTheme="minorEastAsia"/>
          <w:u w:val="single"/>
        </w:rPr>
        <w:t>million</w:t>
      </w:r>
    </w:p>
    <w:p w14:paraId="1FAA7E65" w14:textId="7E136F6A" w:rsidR="5056DB8E" w:rsidRPr="00B42DB0" w:rsidRDefault="5BCE9AF3" w:rsidP="48E0C549">
      <w:pPr>
        <w:pStyle w:val="ListParagraph"/>
        <w:numPr>
          <w:ilvl w:val="0"/>
          <w:numId w:val="47"/>
        </w:numPr>
        <w:spacing w:line="259" w:lineRule="auto"/>
        <w:jc w:val="both"/>
        <w:rPr>
          <w:rFonts w:eastAsiaTheme="minorEastAsia"/>
          <w:color w:val="auto"/>
          <w:lang w:val="en-US"/>
        </w:rPr>
      </w:pPr>
      <w:r w:rsidRPr="48E0C549">
        <w:rPr>
          <w:rFonts w:eastAsiaTheme="minorEastAsia"/>
          <w:color w:val="auto"/>
          <w:lang w:val="en-US"/>
        </w:rPr>
        <w:t>i</w:t>
      </w:r>
      <w:r w:rsidR="39E0E9C7" w:rsidRPr="48E0C549">
        <w:rPr>
          <w:rFonts w:eastAsiaTheme="minorEastAsia"/>
          <w:color w:val="auto"/>
          <w:lang w:val="en-US"/>
        </w:rPr>
        <w:t xml:space="preserve">ncreasing capacity </w:t>
      </w:r>
      <w:r w:rsidR="23643F69" w:rsidRPr="48E0C549">
        <w:rPr>
          <w:rFonts w:eastAsiaTheme="minorEastAsia"/>
          <w:color w:val="auto"/>
          <w:lang w:val="en-US"/>
        </w:rPr>
        <w:t xml:space="preserve">within the team to support the </w:t>
      </w:r>
      <w:r w:rsidR="00AA5942" w:rsidRPr="48E0C549">
        <w:rPr>
          <w:rFonts w:eastAsiaTheme="minorEastAsia"/>
          <w:color w:val="auto"/>
          <w:lang w:val="en-US"/>
        </w:rPr>
        <w:t>wider</w:t>
      </w:r>
      <w:r w:rsidR="0E87DE0E" w:rsidRPr="48E0C549">
        <w:rPr>
          <w:rFonts w:eastAsiaTheme="minorEastAsia"/>
          <w:color w:val="auto"/>
          <w:lang w:val="en-US"/>
        </w:rPr>
        <w:t xml:space="preserve"> </w:t>
      </w:r>
      <w:r w:rsidR="23643F69" w:rsidRPr="48E0C549">
        <w:rPr>
          <w:rFonts w:eastAsiaTheme="minorEastAsia"/>
          <w:color w:val="auto"/>
          <w:lang w:val="en-US"/>
        </w:rPr>
        <w:t>corporation</w:t>
      </w:r>
      <w:r w:rsidR="37372549" w:rsidRPr="48E0C549">
        <w:rPr>
          <w:rFonts w:eastAsiaTheme="minorEastAsia"/>
          <w:color w:val="auto"/>
          <w:lang w:val="en-US"/>
        </w:rPr>
        <w:t>’</w:t>
      </w:r>
      <w:r w:rsidR="23643F69" w:rsidRPr="48E0C549">
        <w:rPr>
          <w:rFonts w:eastAsiaTheme="minorEastAsia"/>
          <w:color w:val="auto"/>
          <w:lang w:val="en-US"/>
        </w:rPr>
        <w:t xml:space="preserve">s growing team and workload across directorates, </w:t>
      </w:r>
      <w:proofErr w:type="gramStart"/>
      <w:r w:rsidR="23643F69" w:rsidRPr="48E0C549">
        <w:rPr>
          <w:rFonts w:eastAsiaTheme="minorEastAsia"/>
          <w:color w:val="auto"/>
          <w:lang w:val="en-US"/>
        </w:rPr>
        <w:t xml:space="preserve">in particular </w:t>
      </w:r>
      <w:r w:rsidR="39E0E9C7" w:rsidRPr="48E0C549">
        <w:rPr>
          <w:rFonts w:eastAsiaTheme="minorEastAsia"/>
          <w:color w:val="auto"/>
          <w:lang w:val="en-US"/>
        </w:rPr>
        <w:t>to</w:t>
      </w:r>
      <w:proofErr w:type="gramEnd"/>
      <w:r w:rsidR="39E0E9C7" w:rsidRPr="48E0C549">
        <w:rPr>
          <w:rFonts w:eastAsiaTheme="minorEastAsia"/>
          <w:color w:val="auto"/>
          <w:lang w:val="en-US"/>
        </w:rPr>
        <w:t xml:space="preserve"> develop and maintain</w:t>
      </w:r>
      <w:r w:rsidR="23643F69" w:rsidRPr="48E0C549">
        <w:rPr>
          <w:rFonts w:eastAsiaTheme="minorEastAsia"/>
          <w:color w:val="auto"/>
          <w:lang w:val="en-US"/>
        </w:rPr>
        <w:t xml:space="preserve"> OPDC’s</w:t>
      </w:r>
      <w:r w:rsidR="39E0E9C7" w:rsidRPr="48E0C549">
        <w:rPr>
          <w:rFonts w:eastAsiaTheme="minorEastAsia"/>
          <w:color w:val="auto"/>
          <w:lang w:val="en-US"/>
        </w:rPr>
        <w:t xml:space="preserve"> </w:t>
      </w:r>
      <w:r w:rsidR="23643F69" w:rsidRPr="48E0C549">
        <w:rPr>
          <w:rFonts w:eastAsiaTheme="minorEastAsia"/>
          <w:color w:val="auto"/>
          <w:lang w:val="en-US"/>
        </w:rPr>
        <w:t>digital capabilities, including a</w:t>
      </w:r>
      <w:r w:rsidR="445E6726" w:rsidRPr="48E0C549">
        <w:rPr>
          <w:rFonts w:eastAsiaTheme="minorEastAsia"/>
          <w:color w:val="auto"/>
          <w:lang w:val="en-US"/>
        </w:rPr>
        <w:t>n</w:t>
      </w:r>
      <w:r w:rsidR="15B534C6" w:rsidRPr="48E0C549">
        <w:rPr>
          <w:rFonts w:eastAsiaTheme="minorEastAsia"/>
          <w:color w:val="auto"/>
          <w:lang w:val="en-US"/>
        </w:rPr>
        <w:t xml:space="preserve"> OPDC </w:t>
      </w:r>
      <w:r w:rsidR="39E0E9C7" w:rsidRPr="48E0C549">
        <w:rPr>
          <w:rFonts w:eastAsiaTheme="minorEastAsia"/>
          <w:color w:val="auto"/>
          <w:lang w:val="en-US"/>
        </w:rPr>
        <w:t xml:space="preserve">website to </w:t>
      </w:r>
      <w:r w:rsidR="344ADD0C" w:rsidRPr="48E0C549">
        <w:rPr>
          <w:rFonts w:eastAsiaTheme="minorEastAsia"/>
          <w:color w:val="auto"/>
          <w:lang w:val="en-US"/>
        </w:rPr>
        <w:t>support</w:t>
      </w:r>
      <w:r w:rsidR="00D81CBF">
        <w:rPr>
          <w:rFonts w:eastAsiaTheme="minorEastAsia"/>
          <w:color w:val="auto"/>
          <w:lang w:val="en-US"/>
        </w:rPr>
        <w:t xml:space="preserve"> </w:t>
      </w:r>
      <w:r w:rsidR="39E0E9C7" w:rsidRPr="48E0C549">
        <w:rPr>
          <w:rFonts w:eastAsiaTheme="minorEastAsia"/>
          <w:color w:val="auto"/>
          <w:lang w:val="en-US"/>
        </w:rPr>
        <w:t xml:space="preserve">the development partner procurement process. </w:t>
      </w:r>
    </w:p>
    <w:p w14:paraId="6D12686A" w14:textId="0D38038B" w:rsidR="789C894F" w:rsidRDefault="789C894F" w:rsidP="00802095">
      <w:pPr>
        <w:pStyle w:val="Normal21"/>
        <w:spacing w:after="0"/>
        <w:ind w:left="680"/>
        <w:rPr>
          <w:rFonts w:eastAsiaTheme="minorEastAsia"/>
          <w:u w:val="single"/>
        </w:rPr>
      </w:pPr>
      <w:r w:rsidRPr="00B42DB0">
        <w:rPr>
          <w:rFonts w:eastAsiaTheme="minorEastAsia"/>
          <w:u w:val="single"/>
        </w:rPr>
        <w:t>Financing Costs</w:t>
      </w:r>
    </w:p>
    <w:p w14:paraId="64CEB636" w14:textId="2ECC8665" w:rsidR="7857DCA8" w:rsidRPr="00FD501C" w:rsidRDefault="7DE8F9B1" w:rsidP="1FA2E292">
      <w:pPr>
        <w:pStyle w:val="ListParagraph"/>
        <w:numPr>
          <w:ilvl w:val="0"/>
          <w:numId w:val="47"/>
        </w:numPr>
        <w:spacing w:line="259" w:lineRule="auto"/>
        <w:jc w:val="both"/>
        <w:rPr>
          <w:rFonts w:eastAsiaTheme="minorEastAsia"/>
          <w:color w:val="auto"/>
          <w:lang w:val="en-US"/>
        </w:rPr>
      </w:pPr>
      <w:r w:rsidRPr="1FA2E292">
        <w:rPr>
          <w:rFonts w:eastAsiaTheme="minorEastAsia"/>
          <w:color w:val="auto"/>
        </w:rPr>
        <w:t>t</w:t>
      </w:r>
      <w:r w:rsidR="18D9C162" w:rsidRPr="1FA2E292">
        <w:rPr>
          <w:rFonts w:eastAsiaTheme="minorEastAsia"/>
          <w:color w:val="auto"/>
        </w:rPr>
        <w:t>h</w:t>
      </w:r>
      <w:r w:rsidR="48F93930" w:rsidRPr="1FA2E292">
        <w:rPr>
          <w:rFonts w:eastAsiaTheme="minorEastAsia"/>
          <w:color w:val="auto"/>
        </w:rPr>
        <w:t xml:space="preserve">e </w:t>
      </w:r>
      <w:r w:rsidR="18D9C162" w:rsidRPr="1FA2E292">
        <w:rPr>
          <w:rFonts w:eastAsiaTheme="minorEastAsia"/>
          <w:color w:val="auto"/>
        </w:rPr>
        <w:t>loans</w:t>
      </w:r>
      <w:r w:rsidR="6DFF06A5" w:rsidRPr="1FA2E292">
        <w:rPr>
          <w:rFonts w:eastAsiaTheme="minorEastAsia"/>
          <w:color w:val="auto"/>
        </w:rPr>
        <w:t xml:space="preserve"> provided to OPDC from GLA</w:t>
      </w:r>
      <w:r w:rsidR="32CF44E6" w:rsidRPr="1FA2E292">
        <w:rPr>
          <w:rFonts w:eastAsiaTheme="minorEastAsia"/>
          <w:color w:val="auto"/>
        </w:rPr>
        <w:t xml:space="preserve"> </w:t>
      </w:r>
      <w:r w:rsidR="7F2F02CE" w:rsidRPr="1FA2E292">
        <w:rPr>
          <w:rFonts w:eastAsiaTheme="minorEastAsia"/>
          <w:color w:val="auto"/>
        </w:rPr>
        <w:t>to finance the land assembly activities</w:t>
      </w:r>
      <w:r w:rsidR="52BE6ED8" w:rsidRPr="1FA2E292">
        <w:rPr>
          <w:rFonts w:eastAsiaTheme="minorEastAsia"/>
          <w:color w:val="auto"/>
        </w:rPr>
        <w:t xml:space="preserve">, </w:t>
      </w:r>
      <w:r w:rsidR="16B88B98" w:rsidRPr="1FA2E292">
        <w:rPr>
          <w:rFonts w:eastAsiaTheme="minorEastAsia"/>
          <w:color w:val="auto"/>
        </w:rPr>
        <w:t>us</w:t>
      </w:r>
      <w:r w:rsidR="29EF346E" w:rsidRPr="1FA2E292">
        <w:rPr>
          <w:rFonts w:eastAsiaTheme="minorEastAsia"/>
          <w:color w:val="auto"/>
        </w:rPr>
        <w:t>e</w:t>
      </w:r>
      <w:r w:rsidR="52BE6ED8" w:rsidRPr="1FA2E292">
        <w:rPr>
          <w:rFonts w:eastAsiaTheme="minorEastAsia"/>
          <w:color w:val="auto"/>
        </w:rPr>
        <w:t xml:space="preserve"> the </w:t>
      </w:r>
      <w:r w:rsidR="6F6BA5CE" w:rsidRPr="1FA2E292">
        <w:rPr>
          <w:rFonts w:eastAsiaTheme="minorEastAsia"/>
          <w:color w:val="auto"/>
        </w:rPr>
        <w:t>Public Works Loans Board (</w:t>
      </w:r>
      <w:r w:rsidR="52BE6ED8" w:rsidRPr="1FA2E292">
        <w:rPr>
          <w:rFonts w:eastAsiaTheme="minorEastAsia"/>
          <w:color w:val="auto"/>
        </w:rPr>
        <w:t>PWLB</w:t>
      </w:r>
      <w:r w:rsidR="58C1EC82" w:rsidRPr="1FA2E292">
        <w:rPr>
          <w:rFonts w:eastAsiaTheme="minorEastAsia"/>
          <w:color w:val="auto"/>
        </w:rPr>
        <w:t>)</w:t>
      </w:r>
      <w:r w:rsidR="52BE6ED8" w:rsidRPr="1FA2E292">
        <w:rPr>
          <w:rFonts w:eastAsiaTheme="minorEastAsia"/>
          <w:color w:val="auto"/>
        </w:rPr>
        <w:t xml:space="preserve"> rate of interest as the basis</w:t>
      </w:r>
      <w:r w:rsidR="18D9C162" w:rsidRPr="1FA2E292">
        <w:rPr>
          <w:rFonts w:eastAsiaTheme="minorEastAsia"/>
          <w:color w:val="auto"/>
        </w:rPr>
        <w:t xml:space="preserve">. </w:t>
      </w:r>
      <w:r w:rsidR="5CDD6A83" w:rsidRPr="1FA2E292">
        <w:rPr>
          <w:rFonts w:eastAsiaTheme="minorEastAsia"/>
          <w:color w:val="auto"/>
        </w:rPr>
        <w:t xml:space="preserve"> </w:t>
      </w:r>
      <w:r w:rsidR="02E71453" w:rsidRPr="1FA2E292">
        <w:rPr>
          <w:rFonts w:eastAsiaTheme="minorEastAsia"/>
          <w:color w:val="auto"/>
        </w:rPr>
        <w:t>I</w:t>
      </w:r>
      <w:r w:rsidR="3CB06F62" w:rsidRPr="1FA2E292">
        <w:rPr>
          <w:rFonts w:eastAsiaTheme="minorEastAsia"/>
          <w:color w:val="auto"/>
        </w:rPr>
        <w:t xml:space="preserve">t has been agreed that </w:t>
      </w:r>
      <w:r w:rsidR="000C1957">
        <w:rPr>
          <w:rFonts w:eastAsiaTheme="minorEastAsia"/>
          <w:color w:val="auto"/>
        </w:rPr>
        <w:t>i</w:t>
      </w:r>
      <w:r w:rsidR="152374B7" w:rsidRPr="1FA2E292">
        <w:rPr>
          <w:rFonts w:eastAsiaTheme="minorEastAsia"/>
          <w:color w:val="auto"/>
        </w:rPr>
        <w:t xml:space="preserve">nterest </w:t>
      </w:r>
      <w:r w:rsidR="5CDD6A83" w:rsidRPr="1FA2E292">
        <w:rPr>
          <w:rFonts w:eastAsiaTheme="minorEastAsia"/>
          <w:color w:val="auto"/>
        </w:rPr>
        <w:t xml:space="preserve">payments </w:t>
      </w:r>
      <w:r w:rsidR="607AE62C" w:rsidRPr="1FA2E292">
        <w:rPr>
          <w:rFonts w:eastAsiaTheme="minorEastAsia"/>
          <w:color w:val="auto"/>
        </w:rPr>
        <w:t xml:space="preserve">borne by OPDC </w:t>
      </w:r>
      <w:r w:rsidR="0FC5C6FB" w:rsidRPr="1FA2E292">
        <w:rPr>
          <w:rFonts w:eastAsiaTheme="minorEastAsia"/>
          <w:color w:val="auto"/>
        </w:rPr>
        <w:t>are</w:t>
      </w:r>
      <w:r w:rsidR="42E169F0" w:rsidRPr="1FA2E292">
        <w:rPr>
          <w:rFonts w:eastAsiaTheme="minorEastAsia"/>
          <w:color w:val="auto"/>
        </w:rPr>
        <w:t xml:space="preserve"> </w:t>
      </w:r>
      <w:r w:rsidR="5CDD6A83" w:rsidRPr="1FA2E292">
        <w:rPr>
          <w:rFonts w:eastAsiaTheme="minorEastAsia"/>
          <w:color w:val="auto"/>
        </w:rPr>
        <w:t>covered by GLA</w:t>
      </w:r>
      <w:r w:rsidR="2A2D861A" w:rsidRPr="1FA2E292">
        <w:rPr>
          <w:rFonts w:eastAsiaTheme="minorEastAsia"/>
          <w:color w:val="auto"/>
        </w:rPr>
        <w:t xml:space="preserve"> funding</w:t>
      </w:r>
      <w:r w:rsidR="4FDE03F1" w:rsidRPr="1FA2E292">
        <w:rPr>
          <w:rFonts w:eastAsiaTheme="minorEastAsia"/>
          <w:color w:val="auto"/>
        </w:rPr>
        <w:t xml:space="preserve"> </w:t>
      </w:r>
      <w:r w:rsidR="23D63029" w:rsidRPr="1FA2E292">
        <w:rPr>
          <w:rFonts w:eastAsiaTheme="minorEastAsia"/>
          <w:color w:val="auto"/>
        </w:rPr>
        <w:t>and it is assumed that this will continue in f</w:t>
      </w:r>
      <w:r w:rsidR="4FDE03F1" w:rsidRPr="1FA2E292">
        <w:rPr>
          <w:rFonts w:eastAsiaTheme="minorEastAsia"/>
          <w:color w:val="auto"/>
        </w:rPr>
        <w:t>uture years</w:t>
      </w:r>
      <w:r w:rsidR="5CDD6A83" w:rsidRPr="1FA2E292">
        <w:rPr>
          <w:rFonts w:eastAsiaTheme="minorEastAsia"/>
          <w:color w:val="auto"/>
        </w:rPr>
        <w:t>.</w:t>
      </w:r>
    </w:p>
    <w:p w14:paraId="3952C162" w14:textId="2156D2C0" w:rsidR="57EA1165" w:rsidRDefault="57EA1165" w:rsidP="57EA1165">
      <w:pPr>
        <w:pStyle w:val="ListParagraph"/>
        <w:spacing w:line="259" w:lineRule="auto"/>
        <w:ind w:left="680"/>
        <w:jc w:val="both"/>
        <w:rPr>
          <w:rFonts w:eastAsiaTheme="minorEastAsia"/>
          <w:b/>
          <w:bCs/>
          <w:color w:val="auto"/>
          <w:lang w:val="en-US"/>
        </w:rPr>
      </w:pPr>
    </w:p>
    <w:p w14:paraId="2D178786" w14:textId="77777777" w:rsidR="009916DC" w:rsidRDefault="009916DC" w:rsidP="57EA1165">
      <w:pPr>
        <w:pStyle w:val="ListParagraph"/>
        <w:spacing w:line="259" w:lineRule="auto"/>
        <w:ind w:left="680"/>
        <w:jc w:val="both"/>
        <w:rPr>
          <w:rFonts w:eastAsiaTheme="minorEastAsia"/>
          <w:b/>
          <w:bCs/>
          <w:color w:val="auto"/>
          <w:lang w:val="en-US"/>
        </w:rPr>
      </w:pPr>
    </w:p>
    <w:p w14:paraId="4F0D475B" w14:textId="7AB6F9D1" w:rsidR="5D26AD9D" w:rsidRDefault="6CA0A7D3" w:rsidP="57EA1165">
      <w:pPr>
        <w:pStyle w:val="ListParagraph"/>
        <w:spacing w:line="259" w:lineRule="auto"/>
        <w:ind w:left="680"/>
        <w:jc w:val="both"/>
        <w:rPr>
          <w:rFonts w:eastAsiaTheme="minorEastAsia"/>
          <w:b/>
          <w:bCs/>
          <w:color w:val="auto"/>
          <w:lang w:val="en-US"/>
        </w:rPr>
      </w:pPr>
      <w:r w:rsidRPr="57EA1165">
        <w:rPr>
          <w:rFonts w:eastAsiaTheme="minorEastAsia"/>
          <w:b/>
          <w:bCs/>
          <w:color w:val="auto"/>
          <w:lang w:val="en-US"/>
        </w:rPr>
        <w:lastRenderedPageBreak/>
        <w:t>Plan</w:t>
      </w:r>
      <w:r w:rsidR="5D26AD9D" w:rsidRPr="57EA1165">
        <w:rPr>
          <w:rFonts w:eastAsiaTheme="minorEastAsia"/>
          <w:b/>
          <w:bCs/>
          <w:color w:val="auto"/>
          <w:lang w:val="en-US"/>
        </w:rPr>
        <w:t xml:space="preserve"> Years: 2026-27 and 2027-2028</w:t>
      </w:r>
    </w:p>
    <w:p w14:paraId="10F0C399" w14:textId="77777777" w:rsidR="00C15BC8" w:rsidRDefault="00C15BC8" w:rsidP="678D5708">
      <w:pPr>
        <w:pStyle w:val="ListParagraph"/>
        <w:spacing w:line="259" w:lineRule="auto"/>
        <w:ind w:left="680"/>
        <w:jc w:val="both"/>
        <w:rPr>
          <w:rFonts w:eastAsiaTheme="minorEastAsia"/>
          <w:b/>
          <w:bCs/>
          <w:color w:val="auto"/>
          <w:lang w:val="en-US"/>
        </w:rPr>
      </w:pPr>
    </w:p>
    <w:p w14:paraId="4FBF58D7" w14:textId="5C0C4388" w:rsidR="5D26AD9D" w:rsidRPr="00F66A91" w:rsidRDefault="0039494B" w:rsidP="003B6A3E">
      <w:pPr>
        <w:pStyle w:val="ListParagraph"/>
        <w:numPr>
          <w:ilvl w:val="0"/>
          <w:numId w:val="50"/>
        </w:numPr>
        <w:spacing w:line="259" w:lineRule="auto"/>
        <w:jc w:val="both"/>
        <w:rPr>
          <w:rFonts w:eastAsiaTheme="minorEastAsia"/>
          <w:color w:val="auto"/>
          <w:lang w:val="en-US"/>
        </w:rPr>
      </w:pPr>
      <w:r w:rsidRPr="57EA1165">
        <w:rPr>
          <w:rFonts w:eastAsiaTheme="minorEastAsia"/>
          <w:color w:val="auto"/>
          <w:lang w:val="en-US"/>
        </w:rPr>
        <w:t>Whil</w:t>
      </w:r>
      <w:r>
        <w:rPr>
          <w:rFonts w:eastAsiaTheme="minorEastAsia"/>
          <w:color w:val="auto"/>
          <w:lang w:val="en-US"/>
        </w:rPr>
        <w:t>st</w:t>
      </w:r>
      <w:r w:rsidRPr="57EA1165">
        <w:rPr>
          <w:rFonts w:eastAsiaTheme="minorEastAsia"/>
          <w:color w:val="auto"/>
          <w:lang w:val="en-US"/>
        </w:rPr>
        <w:t xml:space="preserve"> </w:t>
      </w:r>
      <w:r w:rsidR="4FA32A75" w:rsidRPr="57EA1165">
        <w:rPr>
          <w:rFonts w:eastAsiaTheme="minorEastAsia"/>
          <w:color w:val="auto"/>
          <w:lang w:val="en-US"/>
        </w:rPr>
        <w:t xml:space="preserve">OPDC </w:t>
      </w:r>
      <w:r>
        <w:rPr>
          <w:rFonts w:eastAsiaTheme="minorEastAsia"/>
          <w:color w:val="auto"/>
          <w:lang w:val="en-US"/>
        </w:rPr>
        <w:t xml:space="preserve">is forecasting </w:t>
      </w:r>
      <w:r w:rsidR="4FA32A75" w:rsidRPr="57EA1165">
        <w:rPr>
          <w:rFonts w:eastAsiaTheme="minorEastAsia"/>
          <w:color w:val="auto"/>
          <w:lang w:val="en-US"/>
        </w:rPr>
        <w:t xml:space="preserve">a peak </w:t>
      </w:r>
      <w:r w:rsidR="3DA5774C" w:rsidRPr="57EA1165">
        <w:rPr>
          <w:rFonts w:eastAsiaTheme="minorEastAsia"/>
          <w:color w:val="auto"/>
          <w:lang w:val="en-US"/>
        </w:rPr>
        <w:t>in</w:t>
      </w:r>
      <w:r w:rsidR="4FA32A75" w:rsidRPr="57EA1165">
        <w:rPr>
          <w:rFonts w:eastAsiaTheme="minorEastAsia"/>
          <w:color w:val="auto"/>
          <w:lang w:val="en-US"/>
        </w:rPr>
        <w:t xml:space="preserve"> </w:t>
      </w:r>
      <w:r w:rsidR="54B3059D" w:rsidRPr="57EA1165">
        <w:rPr>
          <w:rFonts w:eastAsiaTheme="minorEastAsia"/>
          <w:color w:val="auto"/>
          <w:lang w:val="en-US"/>
        </w:rPr>
        <w:t xml:space="preserve">the </w:t>
      </w:r>
      <w:r w:rsidR="4FA32A75" w:rsidRPr="57EA1165">
        <w:rPr>
          <w:rFonts w:eastAsiaTheme="minorEastAsia"/>
          <w:color w:val="auto"/>
          <w:lang w:val="en-US"/>
        </w:rPr>
        <w:t xml:space="preserve">2025-26 </w:t>
      </w:r>
      <w:r w:rsidR="00707DD3" w:rsidRPr="57EA1165">
        <w:rPr>
          <w:rFonts w:eastAsiaTheme="minorEastAsia"/>
          <w:color w:val="auto"/>
          <w:lang w:val="en-US"/>
        </w:rPr>
        <w:t>b</w:t>
      </w:r>
      <w:r w:rsidR="4FA32A75" w:rsidRPr="57EA1165">
        <w:rPr>
          <w:rFonts w:eastAsiaTheme="minorEastAsia"/>
          <w:color w:val="auto"/>
          <w:lang w:val="en-US"/>
        </w:rPr>
        <w:t>udget year</w:t>
      </w:r>
      <w:r w:rsidR="00410901">
        <w:rPr>
          <w:rFonts w:eastAsiaTheme="minorEastAsia"/>
          <w:color w:val="auto"/>
          <w:lang w:val="en-US"/>
        </w:rPr>
        <w:t xml:space="preserve"> -</w:t>
      </w:r>
      <w:r w:rsidR="4FA32A75" w:rsidRPr="57EA1165">
        <w:rPr>
          <w:rFonts w:eastAsiaTheme="minorEastAsia"/>
          <w:color w:val="auto"/>
          <w:lang w:val="en-US"/>
        </w:rPr>
        <w:t xml:space="preserve"> predominantly related to increased costs as we progress with the procurement of an investment and development partner and </w:t>
      </w:r>
      <w:proofErr w:type="spellStart"/>
      <w:r w:rsidR="00536B7A">
        <w:rPr>
          <w:rFonts w:eastAsiaTheme="minorEastAsia"/>
          <w:color w:val="auto"/>
          <w:lang w:val="en-US"/>
        </w:rPr>
        <w:t>finalise</w:t>
      </w:r>
      <w:proofErr w:type="spellEnd"/>
      <w:r w:rsidR="00536B7A">
        <w:rPr>
          <w:rFonts w:eastAsiaTheme="minorEastAsia"/>
          <w:color w:val="auto"/>
          <w:lang w:val="en-US"/>
        </w:rPr>
        <w:t xml:space="preserve"> and implement</w:t>
      </w:r>
      <w:r w:rsidR="00B03E39">
        <w:rPr>
          <w:rFonts w:eastAsiaTheme="minorEastAsia"/>
          <w:color w:val="auto"/>
          <w:lang w:val="en-US"/>
        </w:rPr>
        <w:t xml:space="preserve"> </w:t>
      </w:r>
      <w:r w:rsidR="00536B7A">
        <w:rPr>
          <w:rFonts w:eastAsiaTheme="minorEastAsia"/>
          <w:color w:val="auto"/>
          <w:lang w:val="en-US"/>
        </w:rPr>
        <w:t xml:space="preserve">the CPO to acquire </w:t>
      </w:r>
      <w:r w:rsidR="00760A1F">
        <w:rPr>
          <w:rFonts w:eastAsiaTheme="minorEastAsia"/>
          <w:color w:val="auto"/>
          <w:lang w:val="en-US"/>
        </w:rPr>
        <w:t xml:space="preserve">the remaining </w:t>
      </w:r>
      <w:r w:rsidR="00536B7A">
        <w:rPr>
          <w:rFonts w:eastAsiaTheme="minorEastAsia"/>
          <w:color w:val="auto"/>
          <w:lang w:val="en-US"/>
        </w:rPr>
        <w:t>land and associated rights</w:t>
      </w:r>
      <w:r w:rsidR="00760A1F">
        <w:rPr>
          <w:rFonts w:eastAsiaTheme="minorEastAsia"/>
          <w:color w:val="auto"/>
          <w:lang w:val="en-US"/>
        </w:rPr>
        <w:t xml:space="preserve"> needed to deliver the scheme</w:t>
      </w:r>
      <w:r w:rsidR="7903C638" w:rsidRPr="57EA1165">
        <w:rPr>
          <w:rFonts w:eastAsiaTheme="minorEastAsia"/>
          <w:color w:val="auto"/>
          <w:lang w:val="en-US"/>
        </w:rPr>
        <w:t xml:space="preserve">, in </w:t>
      </w:r>
      <w:r w:rsidR="00D870A3">
        <w:rPr>
          <w:rFonts w:eastAsiaTheme="minorEastAsia"/>
          <w:color w:val="auto"/>
          <w:lang w:val="en-US"/>
        </w:rPr>
        <w:t>later</w:t>
      </w:r>
      <w:r w:rsidR="00D870A3" w:rsidRPr="57EA1165">
        <w:rPr>
          <w:rFonts w:eastAsiaTheme="minorEastAsia"/>
          <w:color w:val="auto"/>
          <w:lang w:val="en-US"/>
        </w:rPr>
        <w:t xml:space="preserve"> </w:t>
      </w:r>
      <w:r w:rsidR="7903C638" w:rsidRPr="57EA1165">
        <w:rPr>
          <w:rFonts w:eastAsiaTheme="minorEastAsia"/>
          <w:color w:val="auto"/>
          <w:lang w:val="en-US"/>
        </w:rPr>
        <w:t>year</w:t>
      </w:r>
      <w:r w:rsidR="7B92035B" w:rsidRPr="57EA1165">
        <w:rPr>
          <w:rFonts w:eastAsiaTheme="minorEastAsia"/>
          <w:color w:val="auto"/>
          <w:lang w:val="en-US"/>
        </w:rPr>
        <w:t>s</w:t>
      </w:r>
      <w:r w:rsidR="7903C638" w:rsidRPr="57EA1165">
        <w:rPr>
          <w:rFonts w:eastAsiaTheme="minorEastAsia"/>
          <w:color w:val="auto"/>
          <w:lang w:val="en-US"/>
        </w:rPr>
        <w:t xml:space="preserve">, we </w:t>
      </w:r>
      <w:r w:rsidR="62BF1C57" w:rsidRPr="36A56128">
        <w:rPr>
          <w:rFonts w:eastAsiaTheme="minorEastAsia"/>
          <w:color w:val="auto"/>
          <w:lang w:val="en-US"/>
        </w:rPr>
        <w:t>expect</w:t>
      </w:r>
      <w:r w:rsidR="7903C638" w:rsidRPr="57EA1165">
        <w:rPr>
          <w:rFonts w:eastAsiaTheme="minorEastAsia"/>
          <w:color w:val="auto"/>
          <w:lang w:val="en-US"/>
        </w:rPr>
        <w:t xml:space="preserve"> these costs </w:t>
      </w:r>
      <w:r w:rsidR="00D870A3">
        <w:rPr>
          <w:rFonts w:eastAsiaTheme="minorEastAsia"/>
          <w:color w:val="auto"/>
          <w:lang w:val="en-US"/>
        </w:rPr>
        <w:t>to reduce.</w:t>
      </w:r>
      <w:r w:rsidR="15212BFD" w:rsidRPr="36A56128">
        <w:rPr>
          <w:rFonts w:eastAsiaTheme="minorEastAsia"/>
          <w:color w:val="auto"/>
          <w:lang w:val="en-US"/>
        </w:rPr>
        <w:t xml:space="preserve"> </w:t>
      </w:r>
    </w:p>
    <w:p w14:paraId="2B738C8D" w14:textId="16838845" w:rsidR="678D5708" w:rsidRDefault="678D5708" w:rsidP="678D5708">
      <w:pPr>
        <w:pStyle w:val="ListParagraph"/>
        <w:spacing w:line="259" w:lineRule="auto"/>
        <w:ind w:left="680"/>
        <w:jc w:val="both"/>
        <w:rPr>
          <w:rFonts w:eastAsiaTheme="minorEastAsia"/>
          <w:color w:val="auto"/>
          <w:lang w:val="en-US"/>
        </w:rPr>
      </w:pPr>
    </w:p>
    <w:p w14:paraId="15931493" w14:textId="5C8B6B8F" w:rsidR="4FA32A75" w:rsidRPr="00F66A91" w:rsidRDefault="00A44AB4" w:rsidP="003B6A3E">
      <w:pPr>
        <w:pStyle w:val="ListParagraph"/>
        <w:numPr>
          <w:ilvl w:val="0"/>
          <w:numId w:val="50"/>
        </w:numPr>
        <w:spacing w:line="259" w:lineRule="auto"/>
        <w:jc w:val="both"/>
        <w:rPr>
          <w:rFonts w:eastAsiaTheme="minorEastAsia"/>
          <w:color w:val="auto"/>
          <w:lang w:val="en-US"/>
        </w:rPr>
      </w:pPr>
      <w:r>
        <w:rPr>
          <w:rFonts w:eastAsiaTheme="minorEastAsia"/>
          <w:color w:val="auto"/>
          <w:lang w:val="en-US"/>
        </w:rPr>
        <w:t xml:space="preserve">The increased costs </w:t>
      </w:r>
      <w:r w:rsidR="00982664">
        <w:rPr>
          <w:rFonts w:eastAsiaTheme="minorEastAsia"/>
          <w:color w:val="auto"/>
          <w:lang w:val="en-US"/>
        </w:rPr>
        <w:t>associated with the</w:t>
      </w:r>
      <w:r w:rsidR="4FA32A75" w:rsidRPr="00F66A91">
        <w:rPr>
          <w:rFonts w:eastAsiaTheme="minorEastAsia"/>
          <w:color w:val="auto"/>
          <w:lang w:val="en-US"/>
        </w:rPr>
        <w:t xml:space="preserve"> CPO </w:t>
      </w:r>
      <w:r w:rsidR="00F34B5E">
        <w:rPr>
          <w:rFonts w:eastAsiaTheme="minorEastAsia"/>
          <w:color w:val="auto"/>
          <w:lang w:val="en-US"/>
        </w:rPr>
        <w:t>de</w:t>
      </w:r>
      <w:r w:rsidR="00074DEE">
        <w:rPr>
          <w:rFonts w:eastAsiaTheme="minorEastAsia"/>
          <w:color w:val="auto"/>
          <w:lang w:val="en-US"/>
        </w:rPr>
        <w:t xml:space="preserve">velopment </w:t>
      </w:r>
      <w:r w:rsidR="4FA32A75" w:rsidRPr="00F66A91">
        <w:rPr>
          <w:rFonts w:eastAsiaTheme="minorEastAsia"/>
          <w:color w:val="auto"/>
          <w:lang w:val="en-US"/>
        </w:rPr>
        <w:t xml:space="preserve">and setting up procurement </w:t>
      </w:r>
      <w:r w:rsidR="00974AA2">
        <w:rPr>
          <w:rFonts w:eastAsiaTheme="minorEastAsia"/>
          <w:color w:val="auto"/>
          <w:lang w:val="en-US"/>
        </w:rPr>
        <w:t xml:space="preserve">for a development partner </w:t>
      </w:r>
      <w:r w:rsidR="4FA32A75" w:rsidRPr="00F66A91">
        <w:rPr>
          <w:rFonts w:eastAsiaTheme="minorEastAsia"/>
          <w:color w:val="auto"/>
          <w:lang w:val="en-US"/>
        </w:rPr>
        <w:t xml:space="preserve">will reduce </w:t>
      </w:r>
      <w:r w:rsidR="00FA6EED">
        <w:rPr>
          <w:rFonts w:eastAsiaTheme="minorEastAsia"/>
          <w:color w:val="auto"/>
          <w:lang w:val="en-US"/>
        </w:rPr>
        <w:t>over time as</w:t>
      </w:r>
      <w:r w:rsidR="00AB0232">
        <w:rPr>
          <w:rFonts w:eastAsiaTheme="minorEastAsia"/>
          <w:color w:val="auto"/>
          <w:lang w:val="en-US"/>
        </w:rPr>
        <w:t xml:space="preserve"> we</w:t>
      </w:r>
      <w:r w:rsidR="5C15625A" w:rsidRPr="36A56128">
        <w:rPr>
          <w:rFonts w:eastAsiaTheme="minorEastAsia"/>
          <w:color w:val="auto"/>
          <w:lang w:val="en-US"/>
        </w:rPr>
        <w:t xml:space="preserve"> </w:t>
      </w:r>
      <w:r w:rsidR="004869F5">
        <w:rPr>
          <w:rFonts w:eastAsiaTheme="minorEastAsia"/>
          <w:color w:val="auto"/>
          <w:lang w:val="en-US"/>
        </w:rPr>
        <w:t xml:space="preserve">complete on </w:t>
      </w:r>
      <w:r w:rsidR="00D61C4D">
        <w:rPr>
          <w:rFonts w:eastAsiaTheme="minorEastAsia"/>
          <w:color w:val="auto"/>
          <w:lang w:val="en-US"/>
        </w:rPr>
        <w:t>these milestones</w:t>
      </w:r>
      <w:r w:rsidR="00A85CDC">
        <w:rPr>
          <w:rFonts w:eastAsiaTheme="minorEastAsia"/>
          <w:color w:val="auto"/>
          <w:lang w:val="en-US"/>
        </w:rPr>
        <w:t xml:space="preserve">, whilst </w:t>
      </w:r>
      <w:r w:rsidR="00570EFB">
        <w:rPr>
          <w:rFonts w:eastAsiaTheme="minorEastAsia"/>
          <w:color w:val="auto"/>
          <w:lang w:val="en-US"/>
        </w:rPr>
        <w:t xml:space="preserve">other work </w:t>
      </w:r>
      <w:r w:rsidR="000A1CC0">
        <w:rPr>
          <w:rFonts w:eastAsiaTheme="minorEastAsia"/>
          <w:color w:val="auto"/>
          <w:lang w:val="en-US"/>
        </w:rPr>
        <w:t>will increase</w:t>
      </w:r>
      <w:r w:rsidR="00AB0232">
        <w:rPr>
          <w:rFonts w:eastAsiaTheme="minorEastAsia"/>
          <w:color w:val="auto"/>
          <w:lang w:val="en-US"/>
        </w:rPr>
        <w:t>, such as</w:t>
      </w:r>
      <w:r w:rsidR="000A1CC0">
        <w:rPr>
          <w:rFonts w:eastAsiaTheme="minorEastAsia"/>
          <w:color w:val="auto"/>
          <w:lang w:val="en-US"/>
        </w:rPr>
        <w:t xml:space="preserve"> </w:t>
      </w:r>
      <w:r w:rsidR="6F95A618" w:rsidRPr="36A56128">
        <w:rPr>
          <w:rFonts w:eastAsiaTheme="minorEastAsia"/>
          <w:color w:val="auto"/>
          <w:lang w:val="en-US"/>
        </w:rPr>
        <w:t>master</w:t>
      </w:r>
      <w:r w:rsidR="007F05A9">
        <w:rPr>
          <w:rFonts w:eastAsiaTheme="minorEastAsia"/>
          <w:color w:val="auto"/>
          <w:lang w:val="en-US"/>
        </w:rPr>
        <w:t>plan</w:t>
      </w:r>
      <w:r w:rsidR="6F95A618" w:rsidRPr="36A56128">
        <w:rPr>
          <w:rFonts w:eastAsiaTheme="minorEastAsia"/>
          <w:color w:val="auto"/>
          <w:lang w:val="en-US"/>
        </w:rPr>
        <w:t xml:space="preserve"> </w:t>
      </w:r>
      <w:r w:rsidR="00B649F3">
        <w:rPr>
          <w:rFonts w:eastAsiaTheme="minorEastAsia"/>
          <w:color w:val="auto"/>
          <w:lang w:val="en-US"/>
        </w:rPr>
        <w:t>development,</w:t>
      </w:r>
      <w:r w:rsidR="000A1CC0">
        <w:rPr>
          <w:rFonts w:eastAsiaTheme="minorEastAsia"/>
          <w:color w:val="auto"/>
          <w:lang w:val="en-US"/>
        </w:rPr>
        <w:t xml:space="preserve"> </w:t>
      </w:r>
      <w:r w:rsidR="00A20F5B">
        <w:rPr>
          <w:rFonts w:eastAsiaTheme="minorEastAsia"/>
          <w:color w:val="auto"/>
          <w:lang w:val="en-US"/>
        </w:rPr>
        <w:t xml:space="preserve">scheme design and </w:t>
      </w:r>
      <w:r w:rsidR="007109EC">
        <w:rPr>
          <w:rFonts w:eastAsiaTheme="minorEastAsia"/>
          <w:color w:val="auto"/>
          <w:lang w:val="en-US"/>
        </w:rPr>
        <w:t xml:space="preserve">an </w:t>
      </w:r>
      <w:r w:rsidR="00A20F5B">
        <w:rPr>
          <w:rFonts w:eastAsiaTheme="minorEastAsia"/>
          <w:color w:val="auto"/>
          <w:lang w:val="en-US"/>
        </w:rPr>
        <w:t xml:space="preserve">early </w:t>
      </w:r>
      <w:r w:rsidR="000A1CC0">
        <w:rPr>
          <w:rFonts w:eastAsiaTheme="minorEastAsia"/>
          <w:color w:val="auto"/>
          <w:lang w:val="en-US"/>
        </w:rPr>
        <w:t xml:space="preserve">planning </w:t>
      </w:r>
      <w:r w:rsidR="00A84346">
        <w:rPr>
          <w:rFonts w:eastAsiaTheme="minorEastAsia"/>
          <w:color w:val="auto"/>
          <w:lang w:val="en-US"/>
        </w:rPr>
        <w:t xml:space="preserve">application </w:t>
      </w:r>
      <w:r w:rsidR="000A1CC0">
        <w:rPr>
          <w:rFonts w:eastAsiaTheme="minorEastAsia"/>
          <w:color w:val="auto"/>
          <w:lang w:val="en-US"/>
        </w:rPr>
        <w:t>strategy</w:t>
      </w:r>
      <w:r w:rsidR="00A84346">
        <w:rPr>
          <w:rFonts w:eastAsiaTheme="minorEastAsia"/>
          <w:color w:val="auto"/>
          <w:lang w:val="en-US"/>
        </w:rPr>
        <w:t xml:space="preserve">. </w:t>
      </w:r>
      <w:r w:rsidR="00605D2B">
        <w:rPr>
          <w:rFonts w:eastAsiaTheme="minorEastAsia"/>
          <w:color w:val="auto"/>
          <w:lang w:val="en-US"/>
        </w:rPr>
        <w:t xml:space="preserve">We are currently </w:t>
      </w:r>
      <w:r w:rsidR="00017A7B">
        <w:rPr>
          <w:rFonts w:eastAsiaTheme="minorEastAsia"/>
          <w:color w:val="auto"/>
          <w:lang w:val="en-US"/>
        </w:rPr>
        <w:t xml:space="preserve">forecasting </w:t>
      </w:r>
      <w:r w:rsidR="004E24A0">
        <w:rPr>
          <w:rFonts w:eastAsiaTheme="minorEastAsia"/>
          <w:color w:val="auto"/>
          <w:lang w:val="en-US"/>
        </w:rPr>
        <w:t xml:space="preserve">a </w:t>
      </w:r>
      <w:r w:rsidR="002F3C83">
        <w:rPr>
          <w:rFonts w:eastAsiaTheme="minorEastAsia"/>
          <w:color w:val="auto"/>
          <w:lang w:val="en-US"/>
        </w:rPr>
        <w:t xml:space="preserve">decrease in </w:t>
      </w:r>
      <w:r w:rsidR="007109EC">
        <w:rPr>
          <w:rFonts w:eastAsiaTheme="minorEastAsia"/>
          <w:color w:val="auto"/>
          <w:lang w:val="en-US"/>
        </w:rPr>
        <w:t>delivery</w:t>
      </w:r>
      <w:r w:rsidR="3F7230E7" w:rsidRPr="36A56128">
        <w:rPr>
          <w:rFonts w:eastAsiaTheme="minorEastAsia"/>
          <w:color w:val="auto"/>
          <w:lang w:val="en-US"/>
        </w:rPr>
        <w:t xml:space="preserve"> </w:t>
      </w:r>
      <w:r w:rsidR="002F3C83">
        <w:rPr>
          <w:rFonts w:eastAsiaTheme="minorEastAsia"/>
          <w:color w:val="auto"/>
          <w:lang w:val="en-US"/>
        </w:rPr>
        <w:t xml:space="preserve">budget </w:t>
      </w:r>
      <w:r w:rsidR="00F85802">
        <w:rPr>
          <w:rFonts w:eastAsiaTheme="minorEastAsia"/>
          <w:color w:val="auto"/>
          <w:lang w:val="en-US"/>
        </w:rPr>
        <w:t>by over £1</w:t>
      </w:r>
      <w:r w:rsidR="005A283D">
        <w:rPr>
          <w:rFonts w:eastAsiaTheme="minorEastAsia"/>
          <w:color w:val="auto"/>
          <w:lang w:val="en-US"/>
        </w:rPr>
        <w:t>.2</w:t>
      </w:r>
      <w:r w:rsidR="00394361">
        <w:rPr>
          <w:rFonts w:eastAsiaTheme="minorEastAsia"/>
          <w:color w:val="auto"/>
          <w:lang w:val="en-US"/>
        </w:rPr>
        <w:t xml:space="preserve"> </w:t>
      </w:r>
      <w:r w:rsidR="00F85802">
        <w:rPr>
          <w:rFonts w:eastAsiaTheme="minorEastAsia"/>
          <w:color w:val="auto"/>
          <w:lang w:val="en-US"/>
        </w:rPr>
        <w:t>m</w:t>
      </w:r>
      <w:r w:rsidR="00394361">
        <w:rPr>
          <w:rFonts w:eastAsiaTheme="minorEastAsia"/>
          <w:color w:val="auto"/>
          <w:lang w:val="en-US"/>
        </w:rPr>
        <w:t>illion</w:t>
      </w:r>
      <w:r w:rsidR="00043481">
        <w:rPr>
          <w:rFonts w:eastAsiaTheme="minorEastAsia"/>
          <w:color w:val="auto"/>
          <w:lang w:val="en-US"/>
        </w:rPr>
        <w:t xml:space="preserve"> </w:t>
      </w:r>
      <w:r w:rsidR="005A283D">
        <w:rPr>
          <w:rFonts w:eastAsiaTheme="minorEastAsia"/>
          <w:color w:val="auto"/>
          <w:lang w:val="en-US"/>
        </w:rPr>
        <w:t>(after adjusting for inflation)</w:t>
      </w:r>
      <w:r w:rsidR="4FA32A75" w:rsidRPr="00F66A91">
        <w:rPr>
          <w:rFonts w:eastAsiaTheme="minorEastAsia"/>
          <w:color w:val="auto"/>
          <w:lang w:val="en-US"/>
        </w:rPr>
        <w:t xml:space="preserve"> </w:t>
      </w:r>
      <w:r w:rsidR="007109EC">
        <w:rPr>
          <w:rFonts w:eastAsiaTheme="minorEastAsia"/>
          <w:color w:val="auto"/>
          <w:lang w:val="en-US"/>
        </w:rPr>
        <w:t>in</w:t>
      </w:r>
      <w:r w:rsidR="5C15625A" w:rsidRPr="36A56128">
        <w:rPr>
          <w:rFonts w:eastAsiaTheme="minorEastAsia"/>
          <w:color w:val="auto"/>
          <w:lang w:val="en-US"/>
        </w:rPr>
        <w:t xml:space="preserve"> </w:t>
      </w:r>
      <w:r w:rsidR="55533A56" w:rsidRPr="00F66A91">
        <w:rPr>
          <w:rFonts w:eastAsiaTheme="minorEastAsia"/>
          <w:color w:val="auto"/>
          <w:lang w:val="en-US"/>
        </w:rPr>
        <w:t>20</w:t>
      </w:r>
      <w:r w:rsidR="4FA32A75" w:rsidRPr="00F66A91">
        <w:rPr>
          <w:rFonts w:eastAsiaTheme="minorEastAsia"/>
          <w:color w:val="auto"/>
          <w:lang w:val="en-US"/>
        </w:rPr>
        <w:t xml:space="preserve">26-27 </w:t>
      </w:r>
      <w:r w:rsidR="00D00E14">
        <w:rPr>
          <w:rFonts w:eastAsiaTheme="minorEastAsia"/>
          <w:color w:val="auto"/>
          <w:lang w:val="en-US"/>
        </w:rPr>
        <w:t>and 2027-28</w:t>
      </w:r>
      <w:r w:rsidR="4FA32A75" w:rsidRPr="00F66A91">
        <w:rPr>
          <w:rFonts w:eastAsiaTheme="minorEastAsia"/>
          <w:color w:val="auto"/>
          <w:lang w:val="en-US"/>
        </w:rPr>
        <w:t>.</w:t>
      </w:r>
      <w:r w:rsidR="73A0878A" w:rsidRPr="00F66A91">
        <w:rPr>
          <w:rFonts w:eastAsiaTheme="minorEastAsia"/>
          <w:color w:val="auto"/>
          <w:lang w:val="en-US"/>
        </w:rPr>
        <w:t xml:space="preserve"> </w:t>
      </w:r>
    </w:p>
    <w:p w14:paraId="68A2B239" w14:textId="3A9285E3" w:rsidR="678D5708" w:rsidRDefault="678D5708" w:rsidP="678D5708">
      <w:pPr>
        <w:pStyle w:val="ListParagraph"/>
        <w:spacing w:line="259" w:lineRule="auto"/>
        <w:ind w:left="680"/>
        <w:jc w:val="both"/>
        <w:rPr>
          <w:rFonts w:eastAsiaTheme="minorEastAsia"/>
          <w:color w:val="auto"/>
          <w:lang w:val="en-US"/>
        </w:rPr>
      </w:pPr>
    </w:p>
    <w:p w14:paraId="4F1F15BE" w14:textId="6CEF847F" w:rsidR="4FA32A75" w:rsidRDefault="00442325" w:rsidP="003B6A3E">
      <w:pPr>
        <w:pStyle w:val="ListParagraph"/>
        <w:numPr>
          <w:ilvl w:val="0"/>
          <w:numId w:val="50"/>
        </w:numPr>
        <w:spacing w:line="259" w:lineRule="auto"/>
        <w:jc w:val="both"/>
        <w:rPr>
          <w:rFonts w:eastAsiaTheme="minorEastAsia"/>
          <w:color w:val="auto"/>
          <w:lang w:val="en-US"/>
        </w:rPr>
      </w:pPr>
      <w:r>
        <w:rPr>
          <w:rFonts w:eastAsiaTheme="minorEastAsia"/>
          <w:color w:val="auto"/>
          <w:lang w:val="en-US"/>
        </w:rPr>
        <w:t>Beyond</w:t>
      </w:r>
      <w:r w:rsidR="00FB018E">
        <w:rPr>
          <w:rFonts w:eastAsiaTheme="minorEastAsia"/>
          <w:color w:val="auto"/>
          <w:lang w:val="en-US"/>
        </w:rPr>
        <w:t xml:space="preserve"> 2028-29</w:t>
      </w:r>
      <w:r w:rsidR="003139C1">
        <w:rPr>
          <w:rFonts w:eastAsiaTheme="minorEastAsia"/>
          <w:color w:val="auto"/>
          <w:lang w:val="en-US"/>
        </w:rPr>
        <w:t xml:space="preserve">, </w:t>
      </w:r>
      <w:r w:rsidR="00C76B93">
        <w:rPr>
          <w:rFonts w:eastAsiaTheme="minorEastAsia"/>
          <w:color w:val="auto"/>
          <w:lang w:val="en-US"/>
        </w:rPr>
        <w:t xml:space="preserve">one scenario could see the </w:t>
      </w:r>
      <w:r w:rsidR="005667A1">
        <w:rPr>
          <w:rFonts w:eastAsiaTheme="minorEastAsia"/>
          <w:color w:val="auto"/>
          <w:lang w:val="en-US"/>
        </w:rPr>
        <w:t xml:space="preserve">budgets reducing further </w:t>
      </w:r>
      <w:r w:rsidR="00E03B07">
        <w:rPr>
          <w:rFonts w:eastAsiaTheme="minorEastAsia"/>
          <w:color w:val="auto"/>
          <w:lang w:val="en-US"/>
        </w:rPr>
        <w:t>as</w:t>
      </w:r>
      <w:r w:rsidR="00B25A17">
        <w:rPr>
          <w:rFonts w:eastAsiaTheme="minorEastAsia"/>
          <w:color w:val="auto"/>
          <w:lang w:val="en-US"/>
        </w:rPr>
        <w:t xml:space="preserve"> some</w:t>
      </w:r>
      <w:r w:rsidR="00E03B07">
        <w:rPr>
          <w:rFonts w:eastAsiaTheme="minorEastAsia"/>
          <w:color w:val="auto"/>
          <w:lang w:val="en-US"/>
        </w:rPr>
        <w:t xml:space="preserve"> of the future scheme development </w:t>
      </w:r>
      <w:r w:rsidR="00E03B07" w:rsidRPr="678D5708">
        <w:rPr>
          <w:rFonts w:eastAsiaTheme="minorEastAsia"/>
          <w:color w:val="auto"/>
          <w:lang w:val="en-US"/>
        </w:rPr>
        <w:t xml:space="preserve">activities </w:t>
      </w:r>
      <w:r w:rsidR="00E03B07">
        <w:rPr>
          <w:rFonts w:eastAsiaTheme="minorEastAsia"/>
          <w:color w:val="auto"/>
          <w:lang w:val="en-US"/>
        </w:rPr>
        <w:t xml:space="preserve">could </w:t>
      </w:r>
      <w:r w:rsidR="00E03B07" w:rsidRPr="678D5708">
        <w:rPr>
          <w:rFonts w:eastAsiaTheme="minorEastAsia"/>
          <w:color w:val="auto"/>
          <w:lang w:val="en-US"/>
        </w:rPr>
        <w:t xml:space="preserve">be performed by </w:t>
      </w:r>
      <w:r w:rsidR="00C7221B">
        <w:rPr>
          <w:rFonts w:eastAsiaTheme="minorEastAsia"/>
          <w:color w:val="auto"/>
          <w:lang w:val="en-US"/>
        </w:rPr>
        <w:t>OPDC’s appointed</w:t>
      </w:r>
      <w:r w:rsidR="00E03B07" w:rsidRPr="678D5708">
        <w:rPr>
          <w:rFonts w:eastAsiaTheme="minorEastAsia"/>
          <w:color w:val="auto"/>
          <w:lang w:val="en-US"/>
        </w:rPr>
        <w:t xml:space="preserve"> Development partner</w:t>
      </w:r>
      <w:r w:rsidR="00B25A17">
        <w:rPr>
          <w:rFonts w:eastAsiaTheme="minorEastAsia"/>
          <w:color w:val="auto"/>
          <w:lang w:val="en-US"/>
        </w:rPr>
        <w:t xml:space="preserve">. This </w:t>
      </w:r>
      <w:r w:rsidR="00C047EE">
        <w:rPr>
          <w:rFonts w:eastAsiaTheme="minorEastAsia"/>
          <w:color w:val="auto"/>
          <w:lang w:val="en-US"/>
        </w:rPr>
        <w:t>is dependent</w:t>
      </w:r>
      <w:r w:rsidR="003139C1">
        <w:rPr>
          <w:rFonts w:eastAsiaTheme="minorEastAsia"/>
          <w:color w:val="auto"/>
          <w:lang w:val="en-US"/>
        </w:rPr>
        <w:t xml:space="preserve"> on</w:t>
      </w:r>
      <w:r w:rsidR="00002E44">
        <w:rPr>
          <w:rFonts w:eastAsiaTheme="minorEastAsia"/>
          <w:color w:val="auto"/>
          <w:lang w:val="en-US"/>
        </w:rPr>
        <w:t xml:space="preserve"> </w:t>
      </w:r>
      <w:r w:rsidR="00B25A17">
        <w:rPr>
          <w:rFonts w:eastAsiaTheme="minorEastAsia"/>
          <w:color w:val="auto"/>
          <w:lang w:val="en-US"/>
        </w:rPr>
        <w:t xml:space="preserve">the market </w:t>
      </w:r>
      <w:r w:rsidR="00CB6CFB">
        <w:rPr>
          <w:rFonts w:eastAsiaTheme="minorEastAsia"/>
          <w:color w:val="auto"/>
          <w:lang w:val="en-US"/>
        </w:rPr>
        <w:t xml:space="preserve">appetite </w:t>
      </w:r>
      <w:r w:rsidR="000915A0">
        <w:rPr>
          <w:rFonts w:eastAsiaTheme="minorEastAsia"/>
          <w:color w:val="auto"/>
          <w:lang w:val="en-US"/>
        </w:rPr>
        <w:t xml:space="preserve">for </w:t>
      </w:r>
      <w:r w:rsidR="007C76C8">
        <w:rPr>
          <w:rFonts w:eastAsiaTheme="minorEastAsia"/>
          <w:color w:val="auto"/>
          <w:lang w:val="en-US"/>
        </w:rPr>
        <w:t xml:space="preserve">optimal </w:t>
      </w:r>
      <w:r w:rsidR="00F73432">
        <w:rPr>
          <w:rFonts w:eastAsiaTheme="minorEastAsia"/>
          <w:color w:val="auto"/>
          <w:lang w:val="en-US"/>
        </w:rPr>
        <w:t>commercial structures</w:t>
      </w:r>
      <w:r w:rsidR="00FC0813">
        <w:rPr>
          <w:rFonts w:eastAsiaTheme="minorEastAsia"/>
          <w:color w:val="auto"/>
          <w:lang w:val="en-US"/>
        </w:rPr>
        <w:t>, which is currently being te</w:t>
      </w:r>
      <w:r w:rsidR="00FB3EFB">
        <w:rPr>
          <w:rFonts w:eastAsiaTheme="minorEastAsia"/>
          <w:color w:val="auto"/>
          <w:lang w:val="en-US"/>
        </w:rPr>
        <w:t>sted through market engagement</w:t>
      </w:r>
      <w:r w:rsidR="001C14C7">
        <w:rPr>
          <w:rFonts w:eastAsiaTheme="minorEastAsia"/>
          <w:color w:val="auto"/>
          <w:lang w:val="en-US"/>
        </w:rPr>
        <w:t>,</w:t>
      </w:r>
      <w:r w:rsidR="00F73432">
        <w:rPr>
          <w:rFonts w:eastAsiaTheme="minorEastAsia"/>
          <w:color w:val="auto"/>
          <w:lang w:val="en-US"/>
        </w:rPr>
        <w:t xml:space="preserve"> </w:t>
      </w:r>
      <w:r w:rsidR="007C76C8">
        <w:rPr>
          <w:rFonts w:eastAsiaTheme="minorEastAsia"/>
          <w:color w:val="auto"/>
          <w:lang w:val="en-US"/>
        </w:rPr>
        <w:t xml:space="preserve">to </w:t>
      </w:r>
      <w:r w:rsidR="00252034">
        <w:rPr>
          <w:rFonts w:eastAsiaTheme="minorEastAsia"/>
          <w:color w:val="auto"/>
          <w:lang w:val="en-US"/>
        </w:rPr>
        <w:t xml:space="preserve">ensure the scheme is set up </w:t>
      </w:r>
      <w:r w:rsidR="00AE515D">
        <w:rPr>
          <w:rFonts w:eastAsiaTheme="minorEastAsia"/>
          <w:color w:val="auto"/>
          <w:lang w:val="en-US"/>
        </w:rPr>
        <w:t>to succeed</w:t>
      </w:r>
      <w:r w:rsidR="00776BC9">
        <w:rPr>
          <w:rFonts w:eastAsiaTheme="minorEastAsia"/>
          <w:color w:val="auto"/>
          <w:lang w:val="en-US"/>
        </w:rPr>
        <w:t>.</w:t>
      </w:r>
      <w:r w:rsidR="000B038A">
        <w:rPr>
          <w:rFonts w:eastAsiaTheme="minorEastAsia"/>
          <w:color w:val="auto"/>
          <w:lang w:val="en-US"/>
        </w:rPr>
        <w:t xml:space="preserve"> </w:t>
      </w:r>
    </w:p>
    <w:p w14:paraId="15C8DB87" w14:textId="0C416F7C" w:rsidR="678D5708" w:rsidRDefault="678D5708" w:rsidP="678D5708">
      <w:pPr>
        <w:pStyle w:val="ListParagraph"/>
        <w:spacing w:line="259" w:lineRule="auto"/>
        <w:ind w:left="680"/>
        <w:jc w:val="both"/>
        <w:rPr>
          <w:rFonts w:eastAsiaTheme="minorEastAsia"/>
          <w:color w:val="auto"/>
          <w:lang w:val="en-US"/>
        </w:rPr>
      </w:pPr>
    </w:p>
    <w:p w14:paraId="7C81BDAA" w14:textId="42C0515B" w:rsidR="2A61317C" w:rsidRDefault="2A61317C" w:rsidP="003B6A3E">
      <w:pPr>
        <w:pStyle w:val="ListParagraph"/>
        <w:numPr>
          <w:ilvl w:val="0"/>
          <w:numId w:val="50"/>
        </w:numPr>
        <w:spacing w:line="259" w:lineRule="auto"/>
        <w:jc w:val="both"/>
        <w:rPr>
          <w:rFonts w:eastAsiaTheme="minorEastAsia"/>
          <w:color w:val="auto"/>
          <w:lang w:val="en-US"/>
        </w:rPr>
      </w:pPr>
      <w:r w:rsidRPr="23D8A931">
        <w:rPr>
          <w:rFonts w:eastAsiaTheme="minorEastAsia"/>
          <w:color w:val="auto"/>
          <w:lang w:val="en-US"/>
        </w:rPr>
        <w:t>Other costs in the Planning Directorate and Corporate functions are expected to remain broadly flat</w:t>
      </w:r>
      <w:r w:rsidR="4EBE5B53" w:rsidRPr="23D8A931">
        <w:rPr>
          <w:rFonts w:eastAsiaTheme="minorEastAsia"/>
          <w:color w:val="auto"/>
          <w:lang w:val="en-US"/>
        </w:rPr>
        <w:t xml:space="preserve"> across the three-year budget horizon</w:t>
      </w:r>
      <w:r w:rsidRPr="23D8A931">
        <w:rPr>
          <w:rFonts w:eastAsiaTheme="minorEastAsia"/>
          <w:color w:val="auto"/>
          <w:lang w:val="en-US"/>
        </w:rPr>
        <w:t xml:space="preserve">, with the main increase being </w:t>
      </w:r>
      <w:r w:rsidR="79F5109E" w:rsidRPr="23D8A931">
        <w:rPr>
          <w:rFonts w:eastAsiaTheme="minorEastAsia"/>
          <w:color w:val="auto"/>
          <w:lang w:val="en-US"/>
        </w:rPr>
        <w:t>related</w:t>
      </w:r>
      <w:r w:rsidRPr="23D8A931">
        <w:rPr>
          <w:rFonts w:eastAsiaTheme="minorEastAsia"/>
          <w:color w:val="auto"/>
          <w:lang w:val="en-US"/>
        </w:rPr>
        <w:t xml:space="preserve"> to inflation in the latter two years.</w:t>
      </w:r>
      <w:r w:rsidR="6EDD9A0D" w:rsidRPr="23D8A931">
        <w:rPr>
          <w:rFonts w:eastAsiaTheme="minorEastAsia"/>
          <w:color w:val="auto"/>
          <w:lang w:val="en-US"/>
        </w:rPr>
        <w:t xml:space="preserve"> See Inflation </w:t>
      </w:r>
      <w:r w:rsidR="045FC2AD" w:rsidRPr="23D8A931">
        <w:rPr>
          <w:rFonts w:eastAsiaTheme="minorEastAsia"/>
          <w:color w:val="auto"/>
          <w:lang w:val="en-US"/>
        </w:rPr>
        <w:t>- T</w:t>
      </w:r>
      <w:r w:rsidR="6EDD9A0D" w:rsidRPr="23D8A931">
        <w:rPr>
          <w:rFonts w:eastAsiaTheme="minorEastAsia"/>
          <w:color w:val="auto"/>
          <w:lang w:val="en-US"/>
        </w:rPr>
        <w:t>able 2 below.</w:t>
      </w:r>
    </w:p>
    <w:p w14:paraId="542D4341" w14:textId="5F2F1489" w:rsidR="72B8FA9C" w:rsidRDefault="561E7267" w:rsidP="006C4C6D">
      <w:pPr>
        <w:pStyle w:val="Heading1"/>
        <w:rPr>
          <w:rStyle w:val="normaltextrun"/>
        </w:rPr>
      </w:pPr>
      <w:r w:rsidRPr="49996C8F">
        <w:rPr>
          <w:rStyle w:val="normaltextrun"/>
        </w:rPr>
        <w:t xml:space="preserve">Value for Money and Savings and Efficiencies </w:t>
      </w:r>
    </w:p>
    <w:p w14:paraId="3F329C69" w14:textId="64B7150F" w:rsidR="001F37B7" w:rsidRPr="00E764A0" w:rsidRDefault="001F37B7" w:rsidP="00786B08">
      <w:pPr>
        <w:pStyle w:val="LONSummaryHeading"/>
        <w:ind w:left="680"/>
        <w:jc w:val="both"/>
        <w:rPr>
          <w:b w:val="0"/>
          <w:color w:val="auto"/>
          <w:u w:val="single"/>
        </w:rPr>
      </w:pPr>
      <w:r w:rsidRPr="3980742F">
        <w:rPr>
          <w:b w:val="0"/>
          <w:color w:val="auto"/>
          <w:u w:val="single"/>
        </w:rPr>
        <w:t xml:space="preserve">Savings and efficiencies </w:t>
      </w:r>
    </w:p>
    <w:p w14:paraId="7EDD1E66" w14:textId="536AB7D5" w:rsidR="00BD4401" w:rsidRPr="006364D9" w:rsidRDefault="192DFF6E" w:rsidP="003B6A3E">
      <w:pPr>
        <w:pStyle w:val="LONBodyTextNumbered"/>
        <w:keepLines/>
        <w:numPr>
          <w:ilvl w:val="0"/>
          <w:numId w:val="36"/>
        </w:numPr>
        <w:spacing w:before="240" w:after="0" w:line="276" w:lineRule="auto"/>
        <w:jc w:val="both"/>
        <w:rPr>
          <w:rStyle w:val="normaltextrun"/>
          <w:rFonts w:cs="Arial"/>
          <w:color w:val="auto"/>
        </w:rPr>
      </w:pPr>
      <w:r w:rsidRPr="49996C8F">
        <w:rPr>
          <w:rStyle w:val="normaltextrun"/>
          <w:rFonts w:cs="Arial"/>
          <w:color w:val="auto"/>
        </w:rPr>
        <w:t xml:space="preserve">OPDC is working closely across the GLA group to </w:t>
      </w:r>
      <w:r w:rsidR="5D9FA744" w:rsidRPr="49996C8F">
        <w:rPr>
          <w:rStyle w:val="normaltextrun"/>
          <w:rFonts w:eastAsiaTheme="minorEastAsia" w:cs="Arial"/>
          <w:color w:val="auto"/>
        </w:rPr>
        <w:t>leverage best practice and drive value for money, r</w:t>
      </w:r>
      <w:r w:rsidRPr="49996C8F">
        <w:rPr>
          <w:rStyle w:val="normaltextrun"/>
          <w:rFonts w:cs="Arial"/>
          <w:color w:val="auto"/>
        </w:rPr>
        <w:t xml:space="preserve">educing the </w:t>
      </w:r>
      <w:r w:rsidR="38056D99" w:rsidRPr="49996C8F">
        <w:rPr>
          <w:rStyle w:val="normaltextrun"/>
          <w:rFonts w:cs="Arial"/>
          <w:color w:val="auto"/>
        </w:rPr>
        <w:t xml:space="preserve">need to </w:t>
      </w:r>
      <w:r w:rsidRPr="49996C8F">
        <w:rPr>
          <w:rStyle w:val="normaltextrun"/>
          <w:rFonts w:cs="Arial"/>
          <w:color w:val="auto"/>
        </w:rPr>
        <w:t xml:space="preserve">use </w:t>
      </w:r>
      <w:r w:rsidR="5D9FA744" w:rsidRPr="49996C8F">
        <w:rPr>
          <w:rStyle w:val="normaltextrun"/>
          <w:rFonts w:cs="Arial"/>
          <w:color w:val="auto"/>
        </w:rPr>
        <w:t>external resources</w:t>
      </w:r>
      <w:r w:rsidRPr="49996C8F">
        <w:rPr>
          <w:rStyle w:val="normaltextrun"/>
          <w:rFonts w:cs="Arial"/>
          <w:color w:val="auto"/>
        </w:rPr>
        <w:t>, as outlined below:</w:t>
      </w:r>
    </w:p>
    <w:p w14:paraId="75C9047E" w14:textId="7B084002" w:rsidR="5226852F" w:rsidRDefault="00A25C8E" w:rsidP="001A3480">
      <w:pPr>
        <w:pStyle w:val="LONBodyTextNumbered"/>
        <w:keepLines/>
        <w:numPr>
          <w:ilvl w:val="0"/>
          <w:numId w:val="23"/>
        </w:numPr>
        <w:spacing w:after="0" w:line="276" w:lineRule="auto"/>
        <w:jc w:val="both"/>
        <w:rPr>
          <w:rStyle w:val="normaltextrun"/>
          <w:rFonts w:cs="Arial"/>
          <w:color w:val="auto"/>
        </w:rPr>
      </w:pPr>
      <w:r>
        <w:rPr>
          <w:rStyle w:val="normaltextrun"/>
          <w:rFonts w:cs="Arial"/>
          <w:color w:val="auto"/>
        </w:rPr>
        <w:t xml:space="preserve">utilising </w:t>
      </w:r>
      <w:r w:rsidR="192DFF6E" w:rsidRPr="49996C8F">
        <w:rPr>
          <w:rStyle w:val="normaltextrun"/>
          <w:rFonts w:cs="Arial"/>
          <w:color w:val="auto"/>
        </w:rPr>
        <w:t>T</w:t>
      </w:r>
      <w:r w:rsidR="07C3F624" w:rsidRPr="49996C8F">
        <w:rPr>
          <w:rStyle w:val="normaltextrun"/>
          <w:rFonts w:cs="Arial"/>
          <w:color w:val="auto"/>
        </w:rPr>
        <w:t>f</w:t>
      </w:r>
      <w:r w:rsidR="192DFF6E" w:rsidRPr="49996C8F">
        <w:rPr>
          <w:rStyle w:val="normaltextrun"/>
          <w:rFonts w:cs="Arial"/>
          <w:color w:val="auto"/>
        </w:rPr>
        <w:t xml:space="preserve">L shared services for </w:t>
      </w:r>
      <w:proofErr w:type="gramStart"/>
      <w:r w:rsidR="192DFF6E" w:rsidRPr="49996C8F">
        <w:rPr>
          <w:rStyle w:val="normaltextrun"/>
          <w:rFonts w:cs="Arial"/>
          <w:color w:val="auto"/>
        </w:rPr>
        <w:t>all of</w:t>
      </w:r>
      <w:proofErr w:type="gramEnd"/>
      <w:r w:rsidR="192DFF6E" w:rsidRPr="49996C8F">
        <w:rPr>
          <w:rStyle w:val="normaltextrun"/>
          <w:rFonts w:cs="Arial"/>
          <w:color w:val="auto"/>
        </w:rPr>
        <w:t xml:space="preserve"> our IT platforms</w:t>
      </w:r>
      <w:r w:rsidR="2DCE04D6" w:rsidRPr="49996C8F">
        <w:rPr>
          <w:rStyle w:val="normaltextrun"/>
          <w:rFonts w:cs="Arial"/>
          <w:color w:val="auto"/>
        </w:rPr>
        <w:t>, including</w:t>
      </w:r>
      <w:r w:rsidR="6FB98BE9" w:rsidRPr="49996C8F">
        <w:rPr>
          <w:rStyle w:val="normaltextrun"/>
          <w:rFonts w:cs="Arial"/>
          <w:color w:val="auto"/>
        </w:rPr>
        <w:t xml:space="preserve"> hardware</w:t>
      </w:r>
      <w:r w:rsidR="1138571C" w:rsidRPr="49996C8F">
        <w:rPr>
          <w:rStyle w:val="normaltextrun"/>
          <w:rFonts w:cs="Arial"/>
          <w:color w:val="auto"/>
        </w:rPr>
        <w:t xml:space="preserve">, </w:t>
      </w:r>
      <w:r w:rsidR="096BBA74" w:rsidRPr="49996C8F">
        <w:rPr>
          <w:rStyle w:val="normaltextrun"/>
          <w:rFonts w:cs="Arial"/>
          <w:color w:val="auto"/>
        </w:rPr>
        <w:t>helpdesk</w:t>
      </w:r>
      <w:r w:rsidR="25011ABB" w:rsidRPr="49996C8F">
        <w:rPr>
          <w:rStyle w:val="normaltextrun"/>
          <w:rFonts w:cs="Arial"/>
          <w:color w:val="auto"/>
        </w:rPr>
        <w:t>, finance and HR solutions</w:t>
      </w:r>
    </w:p>
    <w:p w14:paraId="5500AF9C" w14:textId="3BBADC1F" w:rsidR="002F5799" w:rsidRDefault="00A25C8E" w:rsidP="001A3480">
      <w:pPr>
        <w:pStyle w:val="LONBodyTextNumbered"/>
        <w:keepLines/>
        <w:numPr>
          <w:ilvl w:val="0"/>
          <w:numId w:val="23"/>
        </w:numPr>
        <w:spacing w:after="0" w:line="276" w:lineRule="auto"/>
        <w:jc w:val="both"/>
        <w:rPr>
          <w:rStyle w:val="normaltextrun"/>
          <w:rFonts w:cs="Arial"/>
          <w:color w:val="auto"/>
        </w:rPr>
      </w:pPr>
      <w:r>
        <w:rPr>
          <w:rStyle w:val="normaltextrun"/>
          <w:rFonts w:cs="Arial"/>
          <w:color w:val="auto"/>
        </w:rPr>
        <w:t>ut</w:t>
      </w:r>
      <w:r w:rsidR="00056910">
        <w:rPr>
          <w:rStyle w:val="normaltextrun"/>
          <w:rFonts w:cs="Arial"/>
          <w:color w:val="auto"/>
        </w:rPr>
        <w:t xml:space="preserve">ilising </w:t>
      </w:r>
      <w:r w:rsidR="0076522B">
        <w:rPr>
          <w:rStyle w:val="normaltextrun"/>
          <w:rFonts w:cs="Arial"/>
          <w:color w:val="auto"/>
        </w:rPr>
        <w:t>i</w:t>
      </w:r>
      <w:r w:rsidR="002F5799">
        <w:rPr>
          <w:rStyle w:val="normaltextrun"/>
          <w:rFonts w:cs="Arial"/>
          <w:color w:val="auto"/>
        </w:rPr>
        <w:t xml:space="preserve">nternal </w:t>
      </w:r>
      <w:r w:rsidR="00D948CF">
        <w:rPr>
          <w:rStyle w:val="normaltextrun"/>
          <w:rFonts w:cs="Arial"/>
          <w:color w:val="auto"/>
        </w:rPr>
        <w:t>a</w:t>
      </w:r>
      <w:r w:rsidR="002F5799">
        <w:rPr>
          <w:rStyle w:val="normaltextrun"/>
          <w:rFonts w:cs="Arial"/>
          <w:color w:val="auto"/>
        </w:rPr>
        <w:t xml:space="preserve">udit function </w:t>
      </w:r>
      <w:r w:rsidR="00302E59">
        <w:rPr>
          <w:rStyle w:val="normaltextrun"/>
          <w:rFonts w:cs="Arial"/>
          <w:color w:val="auto"/>
        </w:rPr>
        <w:t xml:space="preserve">through </w:t>
      </w:r>
      <w:r w:rsidR="00EB647D">
        <w:rPr>
          <w:rStyle w:val="normaltextrun"/>
          <w:rFonts w:cs="Arial"/>
          <w:color w:val="auto"/>
        </w:rPr>
        <w:t>an arrangement with MOPAC</w:t>
      </w:r>
    </w:p>
    <w:p w14:paraId="09B2502E" w14:textId="5B19580C" w:rsidR="00927141" w:rsidRDefault="0076522B" w:rsidP="001A3480">
      <w:pPr>
        <w:pStyle w:val="LONBodyTextNumbered"/>
        <w:keepLines/>
        <w:numPr>
          <w:ilvl w:val="0"/>
          <w:numId w:val="23"/>
        </w:numPr>
        <w:spacing w:after="0" w:line="276" w:lineRule="auto"/>
        <w:jc w:val="both"/>
        <w:rPr>
          <w:rStyle w:val="normaltextrun"/>
          <w:rFonts w:cs="Arial"/>
          <w:color w:val="auto"/>
        </w:rPr>
      </w:pPr>
      <w:r>
        <w:rPr>
          <w:rStyle w:val="normaltextrun"/>
          <w:rFonts w:cs="Arial"/>
          <w:color w:val="auto"/>
        </w:rPr>
        <w:t>l</w:t>
      </w:r>
      <w:r w:rsidR="00391DF6">
        <w:rPr>
          <w:rStyle w:val="normaltextrun"/>
          <w:rFonts w:cs="Arial"/>
          <w:color w:val="auto"/>
        </w:rPr>
        <w:t xml:space="preserve">egal provision through TfL </w:t>
      </w:r>
      <w:r w:rsidR="0006444A">
        <w:rPr>
          <w:rStyle w:val="normaltextrun"/>
          <w:rFonts w:cs="Arial"/>
          <w:color w:val="auto"/>
        </w:rPr>
        <w:t>arrangement</w:t>
      </w:r>
      <w:r w:rsidR="00D948CF">
        <w:rPr>
          <w:rStyle w:val="normaltextrun"/>
          <w:rFonts w:cs="Arial"/>
          <w:color w:val="auto"/>
        </w:rPr>
        <w:t>s</w:t>
      </w:r>
      <w:r w:rsidR="0006444A">
        <w:rPr>
          <w:rStyle w:val="normaltextrun"/>
          <w:rFonts w:cs="Arial"/>
          <w:color w:val="auto"/>
        </w:rPr>
        <w:t xml:space="preserve"> to provide a consistent and compliant service</w:t>
      </w:r>
    </w:p>
    <w:p w14:paraId="306C0BD7" w14:textId="0CB1B6EA" w:rsidR="5226852F" w:rsidRDefault="00A25C8E" w:rsidP="001A3480">
      <w:pPr>
        <w:pStyle w:val="LONBodyTextNumbered"/>
        <w:keepLines/>
        <w:numPr>
          <w:ilvl w:val="0"/>
          <w:numId w:val="23"/>
        </w:numPr>
        <w:spacing w:after="0" w:line="276" w:lineRule="auto"/>
        <w:jc w:val="both"/>
        <w:rPr>
          <w:rStyle w:val="normaltextrun"/>
          <w:rFonts w:cs="Arial"/>
          <w:color w:val="auto"/>
        </w:rPr>
      </w:pPr>
      <w:r>
        <w:rPr>
          <w:rStyle w:val="normaltextrun"/>
          <w:rFonts w:cs="Arial"/>
          <w:color w:val="auto"/>
        </w:rPr>
        <w:t xml:space="preserve">consulting </w:t>
      </w:r>
      <w:r w:rsidR="5226852F" w:rsidRPr="3980742F">
        <w:rPr>
          <w:rStyle w:val="normaltextrun"/>
          <w:rFonts w:cs="Arial"/>
          <w:color w:val="auto"/>
        </w:rPr>
        <w:t>LLDC on tax and accounting matters, learning from their experience as the first MDC</w:t>
      </w:r>
    </w:p>
    <w:p w14:paraId="71C7BDCE" w14:textId="1426F806" w:rsidR="00183AEF" w:rsidRPr="000E316A" w:rsidRDefault="00A25C8E" w:rsidP="001A3480">
      <w:pPr>
        <w:pStyle w:val="LONBodyTextNumbered"/>
        <w:keepLines/>
        <w:numPr>
          <w:ilvl w:val="0"/>
          <w:numId w:val="23"/>
        </w:numPr>
        <w:spacing w:after="0" w:line="276" w:lineRule="auto"/>
        <w:jc w:val="both"/>
        <w:rPr>
          <w:rStyle w:val="normaltextrun"/>
          <w:rFonts w:cs="Arial"/>
          <w:color w:val="auto"/>
        </w:rPr>
      </w:pPr>
      <w:r>
        <w:rPr>
          <w:rStyle w:val="normaltextrun"/>
          <w:rFonts w:cs="Arial"/>
          <w:color w:val="auto"/>
        </w:rPr>
        <w:t xml:space="preserve">consulting </w:t>
      </w:r>
      <w:r w:rsidR="192DFF6E" w:rsidRPr="49996C8F">
        <w:rPr>
          <w:rStyle w:val="normaltextrun"/>
          <w:rFonts w:cs="Arial"/>
          <w:color w:val="auto"/>
        </w:rPr>
        <w:t>London Fire Brigade on our approach to identifying and managing risk across our estate</w:t>
      </w:r>
    </w:p>
    <w:p w14:paraId="47ACFA41" w14:textId="64146912" w:rsidR="00330AEB" w:rsidRPr="00A12502" w:rsidRDefault="0076522B" w:rsidP="001A3480">
      <w:pPr>
        <w:pStyle w:val="LONBodyTextNumbered"/>
        <w:keepLines/>
        <w:numPr>
          <w:ilvl w:val="0"/>
          <w:numId w:val="23"/>
        </w:numPr>
        <w:spacing w:after="0" w:line="276" w:lineRule="auto"/>
        <w:jc w:val="both"/>
        <w:rPr>
          <w:rFonts w:cs="Arial"/>
          <w:color w:val="auto"/>
        </w:rPr>
      </w:pPr>
      <w:r>
        <w:rPr>
          <w:color w:val="auto"/>
        </w:rPr>
        <w:t>e</w:t>
      </w:r>
      <w:r w:rsidR="1E9C46C9" w:rsidRPr="49996C8F">
        <w:rPr>
          <w:color w:val="auto"/>
        </w:rPr>
        <w:t>mbedding collaborative procurement</w:t>
      </w:r>
      <w:r w:rsidR="0895D22F" w:rsidRPr="49996C8F">
        <w:rPr>
          <w:color w:val="auto"/>
        </w:rPr>
        <w:t xml:space="preserve"> </w:t>
      </w:r>
      <w:r w:rsidR="68B59306" w:rsidRPr="49996C8F">
        <w:rPr>
          <w:color w:val="auto"/>
        </w:rPr>
        <w:t>measures</w:t>
      </w:r>
      <w:r w:rsidR="63C9A28C" w:rsidRPr="49996C8F">
        <w:rPr>
          <w:rStyle w:val="normaltextrun"/>
          <w:rFonts w:eastAsiaTheme="minorEastAsia" w:cs="Arial"/>
          <w:color w:val="auto"/>
        </w:rPr>
        <w:t xml:space="preserve"> to improve supply chain diversity, measuring spend with Micro, Small and Medium Enterprises s</w:t>
      </w:r>
      <w:r w:rsidR="63C9A28C" w:rsidRPr="49996C8F">
        <w:rPr>
          <w:rStyle w:val="normaltextrun"/>
          <w:rFonts w:cs="Arial"/>
          <w:color w:val="auto"/>
        </w:rPr>
        <w:t xml:space="preserve">uppliers and </w:t>
      </w:r>
      <w:r w:rsidR="29FCBCD5" w:rsidRPr="49996C8F">
        <w:rPr>
          <w:rStyle w:val="normaltextrun"/>
          <w:rFonts w:cs="Arial"/>
          <w:color w:val="auto"/>
        </w:rPr>
        <w:t>leverage</w:t>
      </w:r>
      <w:r w:rsidR="60B16B03" w:rsidRPr="49996C8F">
        <w:rPr>
          <w:rStyle w:val="normaltextrun"/>
          <w:rFonts w:cs="Arial"/>
          <w:color w:val="auto"/>
        </w:rPr>
        <w:t xml:space="preserve"> </w:t>
      </w:r>
      <w:r w:rsidR="29FCBCD5" w:rsidRPr="49996C8F">
        <w:rPr>
          <w:rStyle w:val="normaltextrun"/>
          <w:rFonts w:cs="Arial"/>
          <w:color w:val="auto"/>
        </w:rPr>
        <w:t>group buying power.</w:t>
      </w:r>
      <w:r w:rsidR="1E9C46C9" w:rsidRPr="49996C8F">
        <w:rPr>
          <w:color w:val="auto"/>
        </w:rPr>
        <w:t xml:space="preserve">  </w:t>
      </w:r>
    </w:p>
    <w:p w14:paraId="22C98E4D" w14:textId="0A9B5EF7" w:rsidR="00E34AF7" w:rsidRPr="00643D2C" w:rsidRDefault="0A01D0A1" w:rsidP="003B6A3E">
      <w:pPr>
        <w:pStyle w:val="LONBodyTextNumbered"/>
        <w:keepLines/>
        <w:numPr>
          <w:ilvl w:val="0"/>
          <w:numId w:val="36"/>
        </w:numPr>
        <w:shd w:val="clear" w:color="auto" w:fill="FFFFFF" w:themeFill="background1"/>
        <w:spacing w:before="240" w:after="0" w:line="276" w:lineRule="auto"/>
        <w:jc w:val="both"/>
        <w:rPr>
          <w:rStyle w:val="normaltextrun"/>
          <w:rFonts w:cs="Arial"/>
          <w:color w:val="auto"/>
        </w:rPr>
      </w:pPr>
      <w:r w:rsidRPr="49996C8F">
        <w:rPr>
          <w:rStyle w:val="normaltextrun"/>
          <w:rFonts w:cs="Arial"/>
          <w:color w:val="auto"/>
        </w:rPr>
        <w:t xml:space="preserve">OPDC </w:t>
      </w:r>
      <w:r w:rsidR="00157946" w:rsidRPr="49996C8F">
        <w:rPr>
          <w:rStyle w:val="normaltextrun"/>
          <w:rFonts w:cs="Arial"/>
          <w:color w:val="auto"/>
        </w:rPr>
        <w:t>ha</w:t>
      </w:r>
      <w:r w:rsidR="00157946">
        <w:rPr>
          <w:rStyle w:val="normaltextrun"/>
          <w:rFonts w:cs="Arial"/>
          <w:color w:val="auto"/>
        </w:rPr>
        <w:t>s</w:t>
      </w:r>
      <w:r w:rsidR="00157946" w:rsidRPr="49996C8F">
        <w:rPr>
          <w:rStyle w:val="normaltextrun"/>
          <w:rFonts w:cs="Arial"/>
          <w:color w:val="auto"/>
        </w:rPr>
        <w:t xml:space="preserve"> </w:t>
      </w:r>
      <w:r w:rsidRPr="49996C8F">
        <w:rPr>
          <w:rStyle w:val="normaltextrun"/>
          <w:rFonts w:cs="Arial"/>
          <w:color w:val="auto"/>
        </w:rPr>
        <w:t xml:space="preserve">also built in savings </w:t>
      </w:r>
      <w:r w:rsidR="3FFA32D5" w:rsidRPr="49996C8F">
        <w:rPr>
          <w:rStyle w:val="normaltextrun"/>
          <w:rFonts w:cs="Arial"/>
          <w:color w:val="auto"/>
        </w:rPr>
        <w:t xml:space="preserve">to the budget </w:t>
      </w:r>
      <w:r w:rsidR="766AF0CD" w:rsidRPr="49996C8F">
        <w:rPr>
          <w:rStyle w:val="normaltextrun"/>
          <w:rFonts w:cs="Arial"/>
          <w:color w:val="auto"/>
        </w:rPr>
        <w:t xml:space="preserve">reducing </w:t>
      </w:r>
      <w:r w:rsidR="00E06982">
        <w:rPr>
          <w:rStyle w:val="normaltextrun"/>
          <w:rFonts w:cs="Arial"/>
          <w:color w:val="auto"/>
        </w:rPr>
        <w:t>our</w:t>
      </w:r>
      <w:r w:rsidR="49166E31" w:rsidRPr="49996C8F">
        <w:rPr>
          <w:rStyle w:val="normaltextrun"/>
          <w:rFonts w:cs="Arial"/>
          <w:color w:val="auto"/>
        </w:rPr>
        <w:t xml:space="preserve"> reliance </w:t>
      </w:r>
      <w:r w:rsidR="08F49560" w:rsidRPr="49996C8F">
        <w:rPr>
          <w:rStyle w:val="normaltextrun"/>
          <w:rFonts w:cs="Arial"/>
          <w:color w:val="auto"/>
        </w:rPr>
        <w:t xml:space="preserve">on external professional fees as we have </w:t>
      </w:r>
      <w:r w:rsidR="6710206C" w:rsidRPr="49996C8F">
        <w:rPr>
          <w:rStyle w:val="normaltextrun"/>
          <w:rFonts w:cs="Arial"/>
          <w:color w:val="auto"/>
        </w:rPr>
        <w:t xml:space="preserve">continued to </w:t>
      </w:r>
      <w:r w:rsidR="598F1C7D" w:rsidRPr="49996C8F">
        <w:rPr>
          <w:rStyle w:val="normaltextrun"/>
          <w:rFonts w:cs="Arial"/>
          <w:color w:val="auto"/>
        </w:rPr>
        <w:t xml:space="preserve">recruit </w:t>
      </w:r>
      <w:r w:rsidR="08159A3C" w:rsidRPr="49996C8F">
        <w:rPr>
          <w:rStyle w:val="normaltextrun"/>
          <w:rFonts w:cs="Arial"/>
          <w:color w:val="auto"/>
        </w:rPr>
        <w:t>to our target operating model</w:t>
      </w:r>
      <w:r w:rsidR="0C2B3AA0" w:rsidRPr="49996C8F">
        <w:rPr>
          <w:rStyle w:val="normaltextrun"/>
          <w:rFonts w:cs="Arial"/>
          <w:color w:val="auto"/>
        </w:rPr>
        <w:t xml:space="preserve">, improving our </w:t>
      </w:r>
      <w:r w:rsidR="494A548F" w:rsidRPr="49996C8F">
        <w:rPr>
          <w:rStyle w:val="normaltextrun"/>
          <w:rFonts w:cs="Arial"/>
          <w:color w:val="auto"/>
        </w:rPr>
        <w:t>capacity and capability</w:t>
      </w:r>
      <w:r w:rsidR="58B30A01" w:rsidRPr="49996C8F">
        <w:rPr>
          <w:rStyle w:val="normaltextrun"/>
          <w:rFonts w:cs="Arial"/>
          <w:color w:val="auto"/>
        </w:rPr>
        <w:t xml:space="preserve"> to perform more tasks internally.</w:t>
      </w:r>
    </w:p>
    <w:p w14:paraId="6EAA7D82" w14:textId="7BD26572" w:rsidR="678D5708" w:rsidRDefault="38836405" w:rsidP="003B6A3E">
      <w:pPr>
        <w:pStyle w:val="LONBodyTextNumbered"/>
        <w:keepLines/>
        <w:numPr>
          <w:ilvl w:val="0"/>
          <w:numId w:val="36"/>
        </w:numPr>
        <w:shd w:val="clear" w:color="auto" w:fill="FFFFFF" w:themeFill="background1"/>
        <w:spacing w:before="240" w:after="0" w:line="276" w:lineRule="auto"/>
        <w:jc w:val="both"/>
        <w:rPr>
          <w:rStyle w:val="normaltextrun"/>
          <w:rFonts w:cs="Arial"/>
          <w:color w:val="auto"/>
        </w:rPr>
      </w:pPr>
      <w:r w:rsidRPr="678D5708">
        <w:rPr>
          <w:rStyle w:val="normaltextrun"/>
          <w:rFonts w:cs="Arial"/>
          <w:color w:val="auto"/>
        </w:rPr>
        <w:t xml:space="preserve">In reducing the overall </w:t>
      </w:r>
      <w:r w:rsidR="0B9A21E8" w:rsidRPr="678D5708">
        <w:rPr>
          <w:rStyle w:val="normaltextrun"/>
          <w:rFonts w:cs="Arial"/>
          <w:color w:val="auto"/>
        </w:rPr>
        <w:t xml:space="preserve">net </w:t>
      </w:r>
      <w:r w:rsidRPr="678D5708">
        <w:rPr>
          <w:rStyle w:val="normaltextrun"/>
          <w:rFonts w:cs="Arial"/>
          <w:color w:val="auto"/>
        </w:rPr>
        <w:t>revenue ask</w:t>
      </w:r>
      <w:r w:rsidR="6F481862" w:rsidRPr="678D5708">
        <w:rPr>
          <w:rStyle w:val="normaltextrun"/>
          <w:rFonts w:cs="Arial"/>
          <w:color w:val="auto"/>
        </w:rPr>
        <w:t>,</w:t>
      </w:r>
      <w:r w:rsidRPr="678D5708">
        <w:rPr>
          <w:rStyle w:val="normaltextrun"/>
          <w:rFonts w:cs="Arial"/>
          <w:color w:val="auto"/>
        </w:rPr>
        <w:t xml:space="preserve"> OPDC </w:t>
      </w:r>
      <w:r w:rsidR="00157946" w:rsidRPr="678D5708">
        <w:rPr>
          <w:rStyle w:val="normaltextrun"/>
          <w:rFonts w:cs="Arial"/>
          <w:color w:val="auto"/>
        </w:rPr>
        <w:t>ha</w:t>
      </w:r>
      <w:r w:rsidR="00157946">
        <w:rPr>
          <w:rStyle w:val="normaltextrun"/>
          <w:rFonts w:cs="Arial"/>
          <w:color w:val="auto"/>
        </w:rPr>
        <w:t>s</w:t>
      </w:r>
      <w:r w:rsidR="00157946" w:rsidRPr="678D5708">
        <w:rPr>
          <w:rStyle w:val="normaltextrun"/>
          <w:rFonts w:cs="Arial"/>
          <w:color w:val="auto"/>
        </w:rPr>
        <w:t xml:space="preserve"> </w:t>
      </w:r>
      <w:r w:rsidR="55DE38D9" w:rsidRPr="678D5708">
        <w:rPr>
          <w:rStyle w:val="normaltextrun"/>
          <w:rFonts w:cs="Arial"/>
          <w:color w:val="auto"/>
        </w:rPr>
        <w:t xml:space="preserve">sought </w:t>
      </w:r>
      <w:r w:rsidR="7C264527" w:rsidRPr="678D5708">
        <w:rPr>
          <w:rStyle w:val="normaltextrun"/>
          <w:rFonts w:cs="Arial"/>
          <w:color w:val="auto"/>
        </w:rPr>
        <w:t>other</w:t>
      </w:r>
      <w:r w:rsidR="55DE38D9" w:rsidRPr="678D5708">
        <w:rPr>
          <w:rStyle w:val="normaltextrun"/>
          <w:rFonts w:cs="Arial"/>
          <w:color w:val="auto"/>
        </w:rPr>
        <w:t xml:space="preserve"> funding opportunities </w:t>
      </w:r>
      <w:r w:rsidR="0B9A21E8" w:rsidRPr="678D5708">
        <w:rPr>
          <w:rStyle w:val="normaltextrun"/>
          <w:rFonts w:cs="Arial"/>
          <w:color w:val="auto"/>
        </w:rPr>
        <w:t>to mitigate increased costs</w:t>
      </w:r>
      <w:r w:rsidR="673D05D6" w:rsidRPr="678D5708">
        <w:rPr>
          <w:rStyle w:val="normaltextrun"/>
          <w:rFonts w:cs="Arial"/>
          <w:color w:val="auto"/>
        </w:rPr>
        <w:t>,</w:t>
      </w:r>
      <w:r w:rsidR="0B9A21E8" w:rsidRPr="678D5708">
        <w:rPr>
          <w:rStyle w:val="normaltextrun"/>
          <w:rFonts w:cs="Arial"/>
          <w:color w:val="auto"/>
        </w:rPr>
        <w:t xml:space="preserve"> as </w:t>
      </w:r>
      <w:r w:rsidR="445E362A" w:rsidRPr="678D5708">
        <w:rPr>
          <w:rStyle w:val="normaltextrun"/>
          <w:rFonts w:cs="Arial"/>
          <w:color w:val="auto"/>
        </w:rPr>
        <w:t>our focus switches to delivery</w:t>
      </w:r>
      <w:r w:rsidR="673D05D6" w:rsidRPr="678D5708">
        <w:rPr>
          <w:rStyle w:val="normaltextrun"/>
          <w:rFonts w:cs="Arial"/>
          <w:color w:val="auto"/>
        </w:rPr>
        <w:t xml:space="preserve">, from </w:t>
      </w:r>
      <w:r w:rsidR="381132F1" w:rsidRPr="678D5708">
        <w:rPr>
          <w:rStyle w:val="normaltextrun"/>
          <w:rFonts w:cs="Arial"/>
          <w:color w:val="auto"/>
        </w:rPr>
        <w:t xml:space="preserve">increased </w:t>
      </w:r>
      <w:r w:rsidR="59B8C69C" w:rsidRPr="678D5708">
        <w:rPr>
          <w:rStyle w:val="normaltextrun"/>
          <w:rFonts w:cs="Arial"/>
          <w:color w:val="auto"/>
        </w:rPr>
        <w:t xml:space="preserve">revenue opportunities through </w:t>
      </w:r>
      <w:r w:rsidR="3B63ADFE" w:rsidRPr="678D5708">
        <w:rPr>
          <w:rStyle w:val="normaltextrun"/>
          <w:rFonts w:cs="Arial"/>
          <w:color w:val="auto"/>
        </w:rPr>
        <w:t>s.106</w:t>
      </w:r>
      <w:r w:rsidR="65028B26" w:rsidRPr="678D5708">
        <w:rPr>
          <w:rStyle w:val="normaltextrun"/>
          <w:rFonts w:cs="Arial"/>
          <w:color w:val="auto"/>
        </w:rPr>
        <w:t xml:space="preserve">, CIL and </w:t>
      </w:r>
      <w:r w:rsidR="1EF95783" w:rsidRPr="678D5708">
        <w:rPr>
          <w:rStyle w:val="normaltextrun"/>
          <w:rFonts w:cs="Arial"/>
          <w:color w:val="auto"/>
        </w:rPr>
        <w:t xml:space="preserve">rental </w:t>
      </w:r>
      <w:r w:rsidR="44D3F54B" w:rsidRPr="678D5708">
        <w:rPr>
          <w:rStyle w:val="normaltextrun"/>
          <w:rFonts w:cs="Arial"/>
          <w:color w:val="auto"/>
        </w:rPr>
        <w:t>income</w:t>
      </w:r>
      <w:r w:rsidR="5F955F13" w:rsidRPr="678D5708">
        <w:rPr>
          <w:rStyle w:val="normaltextrun"/>
          <w:rFonts w:cs="Arial"/>
          <w:color w:val="auto"/>
        </w:rPr>
        <w:t>.</w:t>
      </w:r>
      <w:r w:rsidR="3B63ADFE" w:rsidRPr="678D5708">
        <w:rPr>
          <w:rStyle w:val="normaltextrun"/>
          <w:rFonts w:cs="Arial"/>
          <w:color w:val="auto"/>
        </w:rPr>
        <w:t xml:space="preserve"> </w:t>
      </w:r>
    </w:p>
    <w:p w14:paraId="226A5CE6" w14:textId="77777777" w:rsidR="009916DC" w:rsidRDefault="009916DC" w:rsidP="002F0BA2">
      <w:pPr>
        <w:pStyle w:val="LONSummaryHeading"/>
        <w:ind w:left="680"/>
        <w:rPr>
          <w:b w:val="0"/>
          <w:color w:val="auto"/>
          <w:u w:val="single"/>
        </w:rPr>
      </w:pPr>
    </w:p>
    <w:p w14:paraId="0CDE7419" w14:textId="77777777" w:rsidR="009916DC" w:rsidRDefault="009916DC" w:rsidP="002F0BA2">
      <w:pPr>
        <w:pStyle w:val="LONSummaryHeading"/>
        <w:ind w:left="680"/>
        <w:rPr>
          <w:b w:val="0"/>
          <w:color w:val="auto"/>
          <w:u w:val="single"/>
        </w:rPr>
      </w:pPr>
    </w:p>
    <w:p w14:paraId="492A8A3C" w14:textId="6D91C925" w:rsidR="003E0A72" w:rsidRDefault="003E0A72" w:rsidP="002F0BA2">
      <w:pPr>
        <w:pStyle w:val="LONSummaryHeading"/>
        <w:ind w:left="680"/>
        <w:rPr>
          <w:b w:val="0"/>
          <w:color w:val="auto"/>
          <w:u w:val="single"/>
        </w:rPr>
      </w:pPr>
      <w:r w:rsidRPr="3980742F">
        <w:rPr>
          <w:b w:val="0"/>
          <w:color w:val="auto"/>
          <w:u w:val="single"/>
        </w:rPr>
        <w:lastRenderedPageBreak/>
        <w:t xml:space="preserve">Inflation </w:t>
      </w:r>
    </w:p>
    <w:p w14:paraId="63BCE5DE" w14:textId="77777777" w:rsidR="00D672DF" w:rsidRDefault="00D672DF" w:rsidP="002F0BA2">
      <w:pPr>
        <w:pStyle w:val="LONSummaryHeading"/>
        <w:ind w:left="680"/>
        <w:rPr>
          <w:b w:val="0"/>
          <w:color w:val="auto"/>
          <w:u w:val="single"/>
        </w:rPr>
      </w:pPr>
    </w:p>
    <w:p w14:paraId="00060674" w14:textId="4F9F1192" w:rsidR="003E0A72" w:rsidRPr="00E764A0" w:rsidRDefault="1A22122C" w:rsidP="003B6A3E">
      <w:pPr>
        <w:pStyle w:val="LONBodyTextNumbered"/>
        <w:keepLines/>
        <w:numPr>
          <w:ilvl w:val="0"/>
          <w:numId w:val="36"/>
        </w:numPr>
        <w:spacing w:line="276" w:lineRule="auto"/>
        <w:rPr>
          <w:color w:val="auto"/>
        </w:rPr>
      </w:pPr>
      <w:r w:rsidRPr="07195704">
        <w:rPr>
          <w:color w:val="auto"/>
        </w:rPr>
        <w:t>The budget includes a provision for inflation of £</w:t>
      </w:r>
      <w:r w:rsidR="55F7D1C5" w:rsidRPr="07195704">
        <w:rPr>
          <w:color w:val="auto"/>
        </w:rPr>
        <w:t>0.</w:t>
      </w:r>
      <w:r w:rsidR="562219FA" w:rsidRPr="07195704">
        <w:rPr>
          <w:color w:val="auto"/>
        </w:rPr>
        <w:t>2</w:t>
      </w:r>
      <w:r w:rsidRPr="07195704">
        <w:rPr>
          <w:color w:val="auto"/>
        </w:rPr>
        <w:t xml:space="preserve"> million. </w:t>
      </w:r>
    </w:p>
    <w:p w14:paraId="16A88959" w14:textId="5823983A" w:rsidR="148E5B9D" w:rsidRDefault="148E5B9D" w:rsidP="07195704">
      <w:pPr>
        <w:pStyle w:val="LONBodyTextNumbered"/>
        <w:keepLines/>
        <w:spacing w:line="276" w:lineRule="auto"/>
        <w:ind w:left="680"/>
        <w:rPr>
          <w:b/>
          <w:bCs/>
          <w:color w:val="auto"/>
        </w:rPr>
      </w:pPr>
      <w:r w:rsidRPr="07195704">
        <w:rPr>
          <w:b/>
          <w:bCs/>
          <w:color w:val="auto"/>
        </w:rPr>
        <w:t xml:space="preserve">Table 2: </w:t>
      </w:r>
      <w:r w:rsidR="5F1399B3" w:rsidRPr="07195704">
        <w:rPr>
          <w:b/>
          <w:bCs/>
          <w:color w:val="auto"/>
        </w:rPr>
        <w:t xml:space="preserve">OPDC - </w:t>
      </w:r>
      <w:r w:rsidRPr="07195704">
        <w:rPr>
          <w:b/>
          <w:bCs/>
          <w:color w:val="auto"/>
        </w:rPr>
        <w:t>Inflation</w:t>
      </w:r>
    </w:p>
    <w:tbl>
      <w:tblPr>
        <w:tblW w:w="6804" w:type="dxa"/>
        <w:tblInd w:w="602" w:type="dxa"/>
        <w:tblLook w:val="04A0" w:firstRow="1" w:lastRow="0" w:firstColumn="1" w:lastColumn="0" w:noHBand="0" w:noVBand="1"/>
      </w:tblPr>
      <w:tblGrid>
        <w:gridCol w:w="2996"/>
        <w:gridCol w:w="1286"/>
        <w:gridCol w:w="1388"/>
        <w:gridCol w:w="1134"/>
      </w:tblGrid>
      <w:tr w:rsidR="003E0A72" w:rsidRPr="00EB0D2B" w14:paraId="2A1157F9" w14:textId="77777777" w:rsidTr="49996C8F">
        <w:trPr>
          <w:trHeight w:val="300"/>
        </w:trPr>
        <w:tc>
          <w:tcPr>
            <w:tcW w:w="2996" w:type="dxa"/>
            <w:tcBorders>
              <w:top w:val="single" w:sz="8" w:space="0" w:color="A5A6A5"/>
              <w:left w:val="single" w:sz="8" w:space="0" w:color="FFFFFF" w:themeColor="background1"/>
              <w:bottom w:val="nil"/>
              <w:right w:val="nil"/>
            </w:tcBorders>
            <w:shd w:val="clear" w:color="auto" w:fill="FFFFFF" w:themeFill="background1"/>
            <w:vAlign w:val="center"/>
            <w:hideMark/>
          </w:tcPr>
          <w:p w14:paraId="0232493D" w14:textId="77777777" w:rsidR="003E0A72" w:rsidRPr="0084006B" w:rsidRDefault="003E0A72">
            <w:pPr>
              <w:rPr>
                <w:rFonts w:cs="Calibri"/>
                <w:b/>
                <w:color w:val="auto"/>
                <w:sz w:val="22"/>
                <w:szCs w:val="22"/>
              </w:rPr>
            </w:pPr>
            <w:r w:rsidRPr="3980742F">
              <w:rPr>
                <w:rFonts w:cs="Calibri"/>
                <w:b/>
                <w:color w:val="auto"/>
                <w:sz w:val="22"/>
                <w:szCs w:val="22"/>
              </w:rPr>
              <w:t>Inflation for 2025-26</w:t>
            </w:r>
          </w:p>
        </w:tc>
        <w:tc>
          <w:tcPr>
            <w:tcW w:w="1286" w:type="dxa"/>
            <w:tcBorders>
              <w:top w:val="single" w:sz="8" w:space="0" w:color="A5A6A5"/>
              <w:left w:val="nil"/>
              <w:bottom w:val="nil"/>
              <w:right w:val="nil"/>
            </w:tcBorders>
            <w:shd w:val="clear" w:color="auto" w:fill="FFFFFF" w:themeFill="background1"/>
            <w:vAlign w:val="center"/>
            <w:hideMark/>
          </w:tcPr>
          <w:p w14:paraId="5E306C5F" w14:textId="77777777" w:rsidR="003E0A72" w:rsidRPr="0084006B" w:rsidRDefault="003E0A72">
            <w:pPr>
              <w:jc w:val="right"/>
              <w:rPr>
                <w:rFonts w:cs="Calibri"/>
                <w:b/>
                <w:color w:val="auto"/>
                <w:sz w:val="22"/>
                <w:szCs w:val="22"/>
              </w:rPr>
            </w:pPr>
            <w:r w:rsidRPr="3980742F">
              <w:rPr>
                <w:rFonts w:cs="Calibri"/>
                <w:b/>
                <w:color w:val="auto"/>
                <w:sz w:val="22"/>
                <w:szCs w:val="22"/>
              </w:rPr>
              <w:t xml:space="preserve">Pay </w:t>
            </w:r>
          </w:p>
        </w:tc>
        <w:tc>
          <w:tcPr>
            <w:tcW w:w="1388" w:type="dxa"/>
            <w:tcBorders>
              <w:top w:val="single" w:sz="8" w:space="0" w:color="A5A6A5"/>
              <w:left w:val="nil"/>
              <w:bottom w:val="nil"/>
              <w:right w:val="nil"/>
            </w:tcBorders>
            <w:shd w:val="clear" w:color="auto" w:fill="FFFFFF" w:themeFill="background1"/>
            <w:vAlign w:val="center"/>
            <w:hideMark/>
          </w:tcPr>
          <w:p w14:paraId="02BA5D63" w14:textId="61156CB0" w:rsidR="003E0A72" w:rsidRPr="0084006B" w:rsidRDefault="001544C6" w:rsidP="3980742F">
            <w:pPr>
              <w:spacing w:line="259" w:lineRule="auto"/>
              <w:jc w:val="right"/>
              <w:rPr>
                <w:rFonts w:cs="Calibri"/>
                <w:b/>
                <w:color w:val="auto"/>
                <w:sz w:val="22"/>
                <w:szCs w:val="22"/>
              </w:rPr>
            </w:pPr>
            <w:r w:rsidRPr="3980742F">
              <w:rPr>
                <w:rFonts w:cs="Calibri"/>
                <w:b/>
                <w:color w:val="auto"/>
                <w:sz w:val="22"/>
                <w:szCs w:val="22"/>
              </w:rPr>
              <w:t>Non-Pay</w:t>
            </w:r>
          </w:p>
        </w:tc>
        <w:tc>
          <w:tcPr>
            <w:tcW w:w="1134" w:type="dxa"/>
            <w:tcBorders>
              <w:top w:val="single" w:sz="8" w:space="0" w:color="A5A6A5"/>
              <w:left w:val="nil"/>
              <w:bottom w:val="nil"/>
              <w:right w:val="nil"/>
            </w:tcBorders>
            <w:shd w:val="clear" w:color="auto" w:fill="FFFFFF" w:themeFill="background1"/>
            <w:vAlign w:val="center"/>
            <w:hideMark/>
          </w:tcPr>
          <w:p w14:paraId="429D5D4E" w14:textId="77777777" w:rsidR="003E0A72" w:rsidRPr="0084006B" w:rsidRDefault="003E0A72">
            <w:pPr>
              <w:jc w:val="right"/>
              <w:rPr>
                <w:rFonts w:cs="Calibri"/>
                <w:b/>
                <w:color w:val="auto"/>
                <w:sz w:val="22"/>
                <w:szCs w:val="22"/>
              </w:rPr>
            </w:pPr>
            <w:r w:rsidRPr="3980742F">
              <w:rPr>
                <w:rFonts w:cs="Calibri"/>
                <w:b/>
                <w:color w:val="auto"/>
                <w:sz w:val="22"/>
                <w:szCs w:val="22"/>
              </w:rPr>
              <w:t>Total</w:t>
            </w:r>
          </w:p>
        </w:tc>
      </w:tr>
      <w:tr w:rsidR="003E0A72" w:rsidRPr="00EB0D2B" w14:paraId="0A84021D" w14:textId="77777777" w:rsidTr="49996C8F">
        <w:trPr>
          <w:trHeight w:val="300"/>
        </w:trPr>
        <w:tc>
          <w:tcPr>
            <w:tcW w:w="2996" w:type="dxa"/>
            <w:tcBorders>
              <w:top w:val="nil"/>
              <w:left w:val="single" w:sz="8" w:space="0" w:color="FFFFFF" w:themeColor="background1"/>
              <w:bottom w:val="nil"/>
              <w:right w:val="nil"/>
            </w:tcBorders>
            <w:vAlign w:val="center"/>
            <w:hideMark/>
          </w:tcPr>
          <w:p w14:paraId="7668C5BE" w14:textId="77777777" w:rsidR="003E0A72" w:rsidRPr="0084006B" w:rsidRDefault="003E0A72" w:rsidP="49996C8F">
            <w:pPr>
              <w:rPr>
                <w:rFonts w:cs="Calibri"/>
                <w:b/>
                <w:bCs/>
                <w:color w:val="auto"/>
                <w:sz w:val="22"/>
                <w:szCs w:val="22"/>
              </w:rPr>
            </w:pPr>
          </w:p>
        </w:tc>
        <w:tc>
          <w:tcPr>
            <w:tcW w:w="1286" w:type="dxa"/>
            <w:tcBorders>
              <w:top w:val="nil"/>
              <w:left w:val="nil"/>
              <w:bottom w:val="nil"/>
              <w:right w:val="nil"/>
            </w:tcBorders>
            <w:shd w:val="clear" w:color="auto" w:fill="FFFFFF" w:themeFill="background1"/>
            <w:vAlign w:val="center"/>
            <w:hideMark/>
          </w:tcPr>
          <w:p w14:paraId="2C770582" w14:textId="77777777" w:rsidR="003E0A72" w:rsidRPr="0084006B" w:rsidRDefault="003E0A72">
            <w:pPr>
              <w:jc w:val="right"/>
              <w:rPr>
                <w:rFonts w:cs="Calibri"/>
                <w:b/>
                <w:color w:val="auto"/>
                <w:sz w:val="22"/>
                <w:szCs w:val="22"/>
              </w:rPr>
            </w:pPr>
            <w:r w:rsidRPr="3980742F">
              <w:rPr>
                <w:rFonts w:cs="Calibri"/>
                <w:b/>
                <w:color w:val="auto"/>
                <w:sz w:val="22"/>
                <w:szCs w:val="22"/>
              </w:rPr>
              <w:t>2025-26</w:t>
            </w:r>
          </w:p>
        </w:tc>
        <w:tc>
          <w:tcPr>
            <w:tcW w:w="1388" w:type="dxa"/>
            <w:tcBorders>
              <w:top w:val="nil"/>
              <w:left w:val="nil"/>
              <w:bottom w:val="nil"/>
              <w:right w:val="nil"/>
            </w:tcBorders>
            <w:shd w:val="clear" w:color="auto" w:fill="FFFFFF" w:themeFill="background1"/>
            <w:vAlign w:val="center"/>
            <w:hideMark/>
          </w:tcPr>
          <w:p w14:paraId="6D1B0CE3" w14:textId="77777777" w:rsidR="003E0A72" w:rsidRPr="0084006B" w:rsidRDefault="003E0A72" w:rsidP="3980742F">
            <w:pPr>
              <w:spacing w:line="259" w:lineRule="auto"/>
              <w:jc w:val="right"/>
              <w:rPr>
                <w:rFonts w:cs="Calibri"/>
                <w:b/>
                <w:color w:val="auto"/>
                <w:sz w:val="22"/>
                <w:szCs w:val="22"/>
              </w:rPr>
            </w:pPr>
            <w:r w:rsidRPr="3980742F">
              <w:rPr>
                <w:rFonts w:cs="Calibri"/>
                <w:b/>
                <w:color w:val="auto"/>
                <w:sz w:val="22"/>
                <w:szCs w:val="22"/>
              </w:rPr>
              <w:t>2025-26</w:t>
            </w:r>
          </w:p>
        </w:tc>
        <w:tc>
          <w:tcPr>
            <w:tcW w:w="1134" w:type="dxa"/>
            <w:tcBorders>
              <w:top w:val="nil"/>
              <w:left w:val="nil"/>
              <w:bottom w:val="nil"/>
              <w:right w:val="nil"/>
            </w:tcBorders>
            <w:shd w:val="clear" w:color="auto" w:fill="FFFFFF" w:themeFill="background1"/>
            <w:vAlign w:val="center"/>
            <w:hideMark/>
          </w:tcPr>
          <w:p w14:paraId="41CA574D" w14:textId="77777777" w:rsidR="003E0A72" w:rsidRPr="0084006B" w:rsidRDefault="003E0A72">
            <w:pPr>
              <w:jc w:val="right"/>
              <w:rPr>
                <w:rFonts w:cs="Calibri"/>
                <w:b/>
                <w:color w:val="auto"/>
                <w:sz w:val="22"/>
                <w:szCs w:val="22"/>
              </w:rPr>
            </w:pPr>
            <w:r w:rsidRPr="3980742F">
              <w:rPr>
                <w:rFonts w:cs="Calibri"/>
                <w:b/>
                <w:color w:val="auto"/>
                <w:sz w:val="22"/>
                <w:szCs w:val="22"/>
              </w:rPr>
              <w:t>2025-26</w:t>
            </w:r>
          </w:p>
        </w:tc>
      </w:tr>
      <w:tr w:rsidR="003E0A72" w:rsidRPr="00EB0D2B" w14:paraId="7BA31B73" w14:textId="77777777" w:rsidTr="49996C8F">
        <w:trPr>
          <w:trHeight w:val="300"/>
        </w:trPr>
        <w:tc>
          <w:tcPr>
            <w:tcW w:w="2996" w:type="dxa"/>
            <w:tcBorders>
              <w:top w:val="nil"/>
              <w:left w:val="single" w:sz="8" w:space="0" w:color="FFFFFF" w:themeColor="background1"/>
              <w:bottom w:val="single" w:sz="12" w:space="0" w:color="D9D9D9" w:themeColor="background1" w:themeShade="D9"/>
              <w:right w:val="nil"/>
            </w:tcBorders>
            <w:vAlign w:val="center"/>
            <w:hideMark/>
          </w:tcPr>
          <w:p w14:paraId="0551BD8C" w14:textId="77777777" w:rsidR="003E0A72" w:rsidRPr="0084006B" w:rsidRDefault="003E0A72" w:rsidP="49996C8F">
            <w:pPr>
              <w:rPr>
                <w:rFonts w:cs="Calibri"/>
                <w:b/>
                <w:bCs/>
                <w:color w:val="auto"/>
                <w:sz w:val="22"/>
                <w:szCs w:val="22"/>
              </w:rPr>
            </w:pPr>
          </w:p>
        </w:tc>
        <w:tc>
          <w:tcPr>
            <w:tcW w:w="1286" w:type="dxa"/>
            <w:tcBorders>
              <w:top w:val="nil"/>
              <w:left w:val="nil"/>
              <w:bottom w:val="single" w:sz="12" w:space="0" w:color="D9D9D9" w:themeColor="background1" w:themeShade="D9"/>
              <w:right w:val="nil"/>
            </w:tcBorders>
            <w:shd w:val="clear" w:color="auto" w:fill="FFFFFF" w:themeFill="background1"/>
            <w:vAlign w:val="center"/>
            <w:hideMark/>
          </w:tcPr>
          <w:p w14:paraId="2BE16161" w14:textId="77777777" w:rsidR="003E0A72" w:rsidRPr="0084006B" w:rsidRDefault="003E0A72">
            <w:pPr>
              <w:jc w:val="right"/>
              <w:rPr>
                <w:rFonts w:cs="Calibri"/>
                <w:b/>
                <w:color w:val="auto"/>
                <w:sz w:val="22"/>
                <w:szCs w:val="22"/>
              </w:rPr>
            </w:pPr>
            <w:r w:rsidRPr="3980742F">
              <w:rPr>
                <w:rFonts w:cs="Calibri"/>
                <w:b/>
                <w:color w:val="auto"/>
                <w:sz w:val="22"/>
                <w:szCs w:val="22"/>
              </w:rPr>
              <w:t>£m</w:t>
            </w:r>
          </w:p>
        </w:tc>
        <w:tc>
          <w:tcPr>
            <w:tcW w:w="1388" w:type="dxa"/>
            <w:tcBorders>
              <w:top w:val="nil"/>
              <w:left w:val="nil"/>
              <w:bottom w:val="single" w:sz="12" w:space="0" w:color="D9D9D9" w:themeColor="background1" w:themeShade="D9"/>
              <w:right w:val="nil"/>
            </w:tcBorders>
            <w:shd w:val="clear" w:color="auto" w:fill="FFFFFF" w:themeFill="background1"/>
            <w:vAlign w:val="center"/>
            <w:hideMark/>
          </w:tcPr>
          <w:p w14:paraId="00617E97" w14:textId="77777777" w:rsidR="003E0A72" w:rsidRPr="0084006B" w:rsidRDefault="003E0A72" w:rsidP="3980742F">
            <w:pPr>
              <w:spacing w:line="259" w:lineRule="auto"/>
              <w:jc w:val="right"/>
              <w:rPr>
                <w:rFonts w:cs="Calibri"/>
                <w:b/>
                <w:color w:val="auto"/>
                <w:sz w:val="22"/>
                <w:szCs w:val="22"/>
              </w:rPr>
            </w:pPr>
            <w:r w:rsidRPr="3980742F">
              <w:rPr>
                <w:rFonts w:cs="Calibri"/>
                <w:b/>
                <w:color w:val="auto"/>
                <w:sz w:val="22"/>
                <w:szCs w:val="22"/>
              </w:rPr>
              <w:t>£m</w:t>
            </w:r>
          </w:p>
        </w:tc>
        <w:tc>
          <w:tcPr>
            <w:tcW w:w="1134" w:type="dxa"/>
            <w:tcBorders>
              <w:top w:val="nil"/>
              <w:left w:val="nil"/>
              <w:bottom w:val="single" w:sz="12" w:space="0" w:color="D9D9D9" w:themeColor="background1" w:themeShade="D9"/>
              <w:right w:val="nil"/>
            </w:tcBorders>
            <w:shd w:val="clear" w:color="auto" w:fill="FFFFFF" w:themeFill="background1"/>
            <w:vAlign w:val="center"/>
            <w:hideMark/>
          </w:tcPr>
          <w:p w14:paraId="37420ABF" w14:textId="77777777" w:rsidR="003E0A72" w:rsidRPr="0084006B" w:rsidRDefault="003E0A72">
            <w:pPr>
              <w:jc w:val="right"/>
              <w:rPr>
                <w:rFonts w:cs="Calibri"/>
                <w:b/>
                <w:color w:val="auto"/>
                <w:sz w:val="22"/>
                <w:szCs w:val="22"/>
              </w:rPr>
            </w:pPr>
            <w:r w:rsidRPr="3980742F">
              <w:rPr>
                <w:rFonts w:cs="Calibri"/>
                <w:b/>
                <w:color w:val="auto"/>
                <w:sz w:val="22"/>
                <w:szCs w:val="22"/>
              </w:rPr>
              <w:t>£m</w:t>
            </w:r>
          </w:p>
        </w:tc>
      </w:tr>
      <w:tr w:rsidR="003E0A72" w:rsidRPr="00EB0D2B" w14:paraId="2BE76179" w14:textId="77777777" w:rsidTr="49996C8F">
        <w:trPr>
          <w:trHeight w:val="315"/>
        </w:trPr>
        <w:tc>
          <w:tcPr>
            <w:tcW w:w="2996" w:type="dxa"/>
            <w:tcBorders>
              <w:top w:val="single" w:sz="12" w:space="0" w:color="D9D9D9" w:themeColor="background1" w:themeShade="D9"/>
              <w:left w:val="none" w:sz="8" w:space="0" w:color="D9D9D9" w:themeColor="background1" w:themeShade="D9"/>
              <w:bottom w:val="none" w:sz="8" w:space="0" w:color="D9D9D9" w:themeColor="background1" w:themeShade="D9"/>
              <w:right w:val="none" w:sz="12" w:space="0" w:color="D9D9D9" w:themeColor="background1" w:themeShade="D9"/>
            </w:tcBorders>
            <w:shd w:val="clear" w:color="auto" w:fill="FFFFFF" w:themeFill="background1"/>
            <w:vAlign w:val="center"/>
          </w:tcPr>
          <w:p w14:paraId="3B60FFBE" w14:textId="6ECACC99" w:rsidR="003E0A72" w:rsidRPr="0084006B" w:rsidRDefault="00AB757C">
            <w:pPr>
              <w:rPr>
                <w:rFonts w:cs="Calibri"/>
                <w:b/>
                <w:color w:val="auto"/>
                <w:sz w:val="22"/>
                <w:szCs w:val="22"/>
              </w:rPr>
            </w:pPr>
            <w:r w:rsidRPr="3980742F">
              <w:rPr>
                <w:rFonts w:cs="Calibri"/>
                <w:b/>
                <w:color w:val="auto"/>
                <w:sz w:val="22"/>
                <w:szCs w:val="22"/>
              </w:rPr>
              <w:t>OPDC</w:t>
            </w:r>
          </w:p>
        </w:tc>
        <w:tc>
          <w:tcPr>
            <w:tcW w:w="1286" w:type="dxa"/>
            <w:tcBorders>
              <w:top w:val="single" w:sz="12" w:space="0" w:color="D9D9D9" w:themeColor="background1" w:themeShade="D9"/>
              <w:left w:val="none" w:sz="12" w:space="0" w:color="D9D9D9" w:themeColor="background1" w:themeShade="D9"/>
              <w:bottom w:val="none" w:sz="8" w:space="0" w:color="D9D9D9" w:themeColor="background1" w:themeShade="D9"/>
              <w:right w:val="none" w:sz="12" w:space="0" w:color="D9D9D9" w:themeColor="background1" w:themeShade="D9"/>
            </w:tcBorders>
            <w:shd w:val="clear" w:color="auto" w:fill="FFFFFF" w:themeFill="background1"/>
            <w:vAlign w:val="center"/>
          </w:tcPr>
          <w:p w14:paraId="133FE455" w14:textId="14FD2DFE" w:rsidR="003E0A72" w:rsidRPr="00EC354A" w:rsidRDefault="6A02A061">
            <w:pPr>
              <w:jc w:val="right"/>
              <w:rPr>
                <w:rFonts w:cs="Calibri"/>
                <w:color w:val="auto"/>
                <w:sz w:val="22"/>
                <w:szCs w:val="22"/>
              </w:rPr>
            </w:pPr>
            <w:r w:rsidRPr="3980742F">
              <w:rPr>
                <w:rFonts w:cs="Calibri"/>
                <w:color w:val="auto"/>
                <w:sz w:val="22"/>
                <w:szCs w:val="22"/>
              </w:rPr>
              <w:t>0.1</w:t>
            </w:r>
          </w:p>
        </w:tc>
        <w:tc>
          <w:tcPr>
            <w:tcW w:w="1388" w:type="dxa"/>
            <w:tcBorders>
              <w:top w:val="single" w:sz="12" w:space="0" w:color="D9D9D9" w:themeColor="background1" w:themeShade="D9"/>
              <w:left w:val="none" w:sz="12" w:space="0" w:color="D9D9D9" w:themeColor="background1" w:themeShade="D9"/>
              <w:bottom w:val="none" w:sz="8" w:space="0" w:color="D9D9D9" w:themeColor="background1" w:themeShade="D9"/>
              <w:right w:val="none" w:sz="12" w:space="0" w:color="D9D9D9" w:themeColor="background1" w:themeShade="D9"/>
            </w:tcBorders>
            <w:shd w:val="clear" w:color="auto" w:fill="FFFFFF" w:themeFill="background1"/>
            <w:vAlign w:val="center"/>
          </w:tcPr>
          <w:p w14:paraId="15274F39" w14:textId="134BDD2C" w:rsidR="003E0A72" w:rsidRPr="00EC354A" w:rsidRDefault="2C295CDF" w:rsidP="3980742F">
            <w:pPr>
              <w:spacing w:line="259" w:lineRule="auto"/>
              <w:jc w:val="right"/>
              <w:rPr>
                <w:rFonts w:cs="Calibri"/>
                <w:color w:val="auto"/>
                <w:sz w:val="22"/>
                <w:szCs w:val="22"/>
              </w:rPr>
            </w:pPr>
            <w:r w:rsidRPr="3980742F">
              <w:rPr>
                <w:rFonts w:cs="Calibri"/>
                <w:color w:val="auto"/>
                <w:sz w:val="22"/>
                <w:szCs w:val="22"/>
              </w:rPr>
              <w:t>0.1</w:t>
            </w:r>
          </w:p>
        </w:tc>
        <w:tc>
          <w:tcPr>
            <w:tcW w:w="1134" w:type="dxa"/>
            <w:tcBorders>
              <w:top w:val="single" w:sz="12" w:space="0" w:color="D9D9D9" w:themeColor="background1" w:themeShade="D9"/>
              <w:left w:val="none" w:sz="12" w:space="0" w:color="D9D9D9" w:themeColor="background1" w:themeShade="D9"/>
              <w:bottom w:val="none" w:sz="8" w:space="0" w:color="D9D9D9" w:themeColor="background1" w:themeShade="D9"/>
              <w:right w:val="none" w:sz="12" w:space="0" w:color="D9D9D9" w:themeColor="background1" w:themeShade="D9"/>
            </w:tcBorders>
            <w:shd w:val="clear" w:color="auto" w:fill="FFFFFF" w:themeFill="background1"/>
            <w:vAlign w:val="center"/>
          </w:tcPr>
          <w:p w14:paraId="2016F5FB" w14:textId="5DCF1B0E" w:rsidR="003E0A72" w:rsidRPr="00EC354A" w:rsidRDefault="488C9F4D">
            <w:pPr>
              <w:jc w:val="right"/>
              <w:rPr>
                <w:rFonts w:cs="Calibri"/>
                <w:color w:val="auto"/>
                <w:sz w:val="22"/>
                <w:szCs w:val="22"/>
              </w:rPr>
            </w:pPr>
            <w:r w:rsidRPr="3980742F">
              <w:rPr>
                <w:rFonts w:cs="Calibri"/>
                <w:color w:val="auto"/>
                <w:sz w:val="22"/>
                <w:szCs w:val="22"/>
              </w:rPr>
              <w:t>0.</w:t>
            </w:r>
            <w:r w:rsidR="4194DA80" w:rsidRPr="3980742F">
              <w:rPr>
                <w:rFonts w:cs="Calibri"/>
                <w:color w:val="auto"/>
                <w:sz w:val="22"/>
                <w:szCs w:val="22"/>
              </w:rPr>
              <w:t>2</w:t>
            </w:r>
          </w:p>
        </w:tc>
      </w:tr>
    </w:tbl>
    <w:p w14:paraId="30DC243F" w14:textId="3E7A2190" w:rsidR="00646E6E" w:rsidRPr="00646E6E" w:rsidRDefault="4A7CADDC" w:rsidP="003B6A3E">
      <w:pPr>
        <w:pStyle w:val="LONBodyTextNumbered"/>
        <w:keepLines/>
        <w:numPr>
          <w:ilvl w:val="0"/>
          <w:numId w:val="36"/>
        </w:numPr>
        <w:spacing w:before="240" w:line="276" w:lineRule="auto"/>
        <w:jc w:val="both"/>
        <w:rPr>
          <w:rStyle w:val="normaltextrun"/>
          <w:color w:val="auto"/>
        </w:rPr>
      </w:pPr>
      <w:r w:rsidRPr="49996C8F">
        <w:rPr>
          <w:color w:val="auto"/>
        </w:rPr>
        <w:t>This includes £</w:t>
      </w:r>
      <w:r w:rsidR="1CF0B692" w:rsidRPr="49996C8F">
        <w:rPr>
          <w:color w:val="auto"/>
        </w:rPr>
        <w:t>0.1</w:t>
      </w:r>
      <w:r w:rsidRPr="49996C8F">
        <w:rPr>
          <w:color w:val="auto"/>
        </w:rPr>
        <w:t xml:space="preserve"> million relating to </w:t>
      </w:r>
      <w:r w:rsidR="79065D9D" w:rsidRPr="49996C8F">
        <w:rPr>
          <w:color w:val="auto"/>
        </w:rPr>
        <w:t>a provision for a 2 per cent pay award</w:t>
      </w:r>
      <w:r w:rsidR="4DB71923" w:rsidRPr="49996C8F">
        <w:rPr>
          <w:color w:val="auto"/>
        </w:rPr>
        <w:t>.</w:t>
      </w:r>
      <w:r w:rsidR="044C574A" w:rsidRPr="49996C8F">
        <w:rPr>
          <w:color w:val="auto"/>
        </w:rPr>
        <w:t xml:space="preserve"> </w:t>
      </w:r>
      <w:r w:rsidR="4AE0F8AF" w:rsidRPr="49996C8F">
        <w:rPr>
          <w:color w:val="auto"/>
        </w:rPr>
        <w:t>An estimate of the i</w:t>
      </w:r>
      <w:r w:rsidR="12F8E3A1" w:rsidRPr="49996C8F">
        <w:rPr>
          <w:color w:val="auto"/>
        </w:rPr>
        <w:t xml:space="preserve">mpact of </w:t>
      </w:r>
      <w:r w:rsidR="41368FE9" w:rsidRPr="49996C8F">
        <w:rPr>
          <w:color w:val="auto"/>
        </w:rPr>
        <w:t xml:space="preserve">non-pay </w:t>
      </w:r>
      <w:r w:rsidR="12F8E3A1" w:rsidRPr="49996C8F">
        <w:rPr>
          <w:color w:val="auto"/>
        </w:rPr>
        <w:t>inflation</w:t>
      </w:r>
      <w:r w:rsidR="7C9C8F37" w:rsidRPr="49996C8F">
        <w:rPr>
          <w:color w:val="auto"/>
        </w:rPr>
        <w:t>,</w:t>
      </w:r>
      <w:r w:rsidR="12F8E3A1" w:rsidRPr="49996C8F">
        <w:rPr>
          <w:color w:val="auto"/>
        </w:rPr>
        <w:t xml:space="preserve"> based on </w:t>
      </w:r>
      <w:r w:rsidR="127470F7" w:rsidRPr="49996C8F">
        <w:rPr>
          <w:color w:val="auto"/>
        </w:rPr>
        <w:t xml:space="preserve">the current </w:t>
      </w:r>
      <w:r w:rsidR="12F8E3A1" w:rsidRPr="49996C8F">
        <w:rPr>
          <w:color w:val="auto"/>
        </w:rPr>
        <w:t>CPI</w:t>
      </w:r>
      <w:r w:rsidR="7DE0CF7D" w:rsidRPr="49996C8F">
        <w:rPr>
          <w:color w:val="auto"/>
        </w:rPr>
        <w:t xml:space="preserve"> </w:t>
      </w:r>
      <w:r w:rsidR="7A3DEAAF" w:rsidRPr="49996C8F">
        <w:rPr>
          <w:color w:val="auto"/>
        </w:rPr>
        <w:t>of 1.7 per cent</w:t>
      </w:r>
      <w:r w:rsidR="658C6BAC" w:rsidRPr="49996C8F">
        <w:rPr>
          <w:color w:val="auto"/>
        </w:rPr>
        <w:t>,</w:t>
      </w:r>
      <w:r w:rsidR="7A3DEAAF" w:rsidRPr="49996C8F">
        <w:rPr>
          <w:color w:val="auto"/>
        </w:rPr>
        <w:t xml:space="preserve"> is £0.1 million.</w:t>
      </w:r>
    </w:p>
    <w:p w14:paraId="6DB54AFA" w14:textId="34173D6B" w:rsidR="00B42DB0" w:rsidRDefault="237A4489" w:rsidP="006C4C6D">
      <w:pPr>
        <w:pStyle w:val="Heading1"/>
        <w:rPr>
          <w:rStyle w:val="normaltextrun"/>
        </w:rPr>
      </w:pPr>
      <w:r w:rsidRPr="49996C8F">
        <w:rPr>
          <w:rStyle w:val="normaltextrun"/>
        </w:rPr>
        <w:t>Reserves</w:t>
      </w:r>
      <w:r w:rsidR="56FE0279" w:rsidRPr="49996C8F">
        <w:rPr>
          <w:rStyle w:val="normaltextrun"/>
        </w:rPr>
        <w:t xml:space="preserve"> </w:t>
      </w:r>
    </w:p>
    <w:p w14:paraId="4BBCE1DB" w14:textId="77777777" w:rsidR="00B42DB0" w:rsidRPr="00B42DB0" w:rsidRDefault="00B42DB0" w:rsidP="00B42DB0"/>
    <w:p w14:paraId="766BE402" w14:textId="43B6863D" w:rsidR="00E76FD9" w:rsidRDefault="2F458C06" w:rsidP="003B6A3E">
      <w:pPr>
        <w:pStyle w:val="Normal21"/>
        <w:numPr>
          <w:ilvl w:val="0"/>
          <w:numId w:val="51"/>
        </w:numPr>
        <w:jc w:val="both"/>
      </w:pPr>
      <w:r>
        <w:t>OPDC’s net operational expenditure of £14.</w:t>
      </w:r>
      <w:r w:rsidR="7260277A">
        <w:t>2</w:t>
      </w:r>
      <w:r>
        <w:t xml:space="preserve"> million is funded by retained business rates and from the GLA’s MDC Reserve. The use of reserves has increased by £2.</w:t>
      </w:r>
      <w:r w:rsidR="240AA433">
        <w:t>4</w:t>
      </w:r>
      <w:r>
        <w:t xml:space="preserve"> million in 2025-26 compared to the 2024-25 budget, predominantly to support increased expenditure as OPDC move</w:t>
      </w:r>
      <w:r w:rsidR="050D099F">
        <w:t>s</w:t>
      </w:r>
      <w:r>
        <w:t xml:space="preserve"> from a strategic planning phase to delivery.</w:t>
      </w:r>
    </w:p>
    <w:p w14:paraId="460EA5A8" w14:textId="6911AC2F" w:rsidR="009536CE" w:rsidRDefault="2F458C06" w:rsidP="003B6A3E">
      <w:pPr>
        <w:pStyle w:val="Normal21"/>
        <w:numPr>
          <w:ilvl w:val="0"/>
          <w:numId w:val="51"/>
        </w:numPr>
        <w:jc w:val="both"/>
      </w:pPr>
      <w:r>
        <w:t>OPDC will receive £7.4 million in funding via retained business rates in 2025-26, an increase of £0.2 million compared to 2024-25. A further £</w:t>
      </w:r>
      <w:r w:rsidR="34556BD0">
        <w:t>6</w:t>
      </w:r>
      <w:r>
        <w:t>.</w:t>
      </w:r>
      <w:r w:rsidR="6BDF0FC0">
        <w:t>8</w:t>
      </w:r>
      <w:r>
        <w:t xml:space="preserve"> million is funded by the GLA’s MDC Reserve </w:t>
      </w:r>
      <w:r w:rsidR="5DD63E47">
        <w:t>(£4.7million)</w:t>
      </w:r>
      <w:r w:rsidR="0089657B">
        <w:t xml:space="preserve"> </w:t>
      </w:r>
      <w:r w:rsidR="46B5A64F">
        <w:t xml:space="preserve">and </w:t>
      </w:r>
      <w:proofErr w:type="spellStart"/>
      <w:r w:rsidR="529E0C2F">
        <w:t>unringfenced</w:t>
      </w:r>
      <w:proofErr w:type="spellEnd"/>
      <w:r w:rsidR="529E0C2F">
        <w:t xml:space="preserve"> government grants (£0.1million)</w:t>
      </w:r>
    </w:p>
    <w:p w14:paraId="2C521728" w14:textId="36070319" w:rsidR="00E76FD9" w:rsidRDefault="7543CB33" w:rsidP="003B6A3E">
      <w:pPr>
        <w:pStyle w:val="Normal21"/>
        <w:numPr>
          <w:ilvl w:val="0"/>
          <w:numId w:val="51"/>
        </w:numPr>
        <w:jc w:val="both"/>
      </w:pPr>
      <w:r w:rsidRPr="49996C8F">
        <w:t xml:space="preserve">As OPDC acquires and develops capital assets, opportunities for </w:t>
      </w:r>
      <w:r w:rsidR="7C525CEF" w:rsidRPr="49996C8F">
        <w:t>capitalising</w:t>
      </w:r>
      <w:r w:rsidRPr="49996C8F">
        <w:t xml:space="preserve"> </w:t>
      </w:r>
      <w:r w:rsidR="3935CDAD" w:rsidRPr="49996C8F">
        <w:t>expenditure</w:t>
      </w:r>
      <w:r w:rsidRPr="49996C8F">
        <w:t xml:space="preserve"> will al</w:t>
      </w:r>
      <w:r w:rsidR="577338B0" w:rsidRPr="49996C8F">
        <w:t>so be pursued which may result in less funding being req</w:t>
      </w:r>
      <w:r w:rsidR="2C10D7CF" w:rsidRPr="49996C8F">
        <w:t>uire</w:t>
      </w:r>
      <w:r w:rsidR="577338B0" w:rsidRPr="49996C8F">
        <w:t>d to be dra</w:t>
      </w:r>
      <w:r w:rsidR="3D87CFEE" w:rsidRPr="49996C8F">
        <w:t>w</w:t>
      </w:r>
      <w:r w:rsidR="577338B0" w:rsidRPr="49996C8F">
        <w:t>n in fut</w:t>
      </w:r>
      <w:r w:rsidR="7F1777CB" w:rsidRPr="49996C8F">
        <w:t>u</w:t>
      </w:r>
      <w:r w:rsidR="577338B0" w:rsidRPr="49996C8F">
        <w:t>re from the MDC reserve.</w:t>
      </w:r>
    </w:p>
    <w:p w14:paraId="51348F0C" w14:textId="5F05E242" w:rsidR="002658FC" w:rsidRPr="00E34AF7" w:rsidRDefault="2AC6BADE" w:rsidP="006C4C6D">
      <w:pPr>
        <w:pStyle w:val="Heading1"/>
        <w:rPr>
          <w:rStyle w:val="normaltextrun"/>
        </w:rPr>
      </w:pPr>
      <w:r w:rsidRPr="49996C8F">
        <w:rPr>
          <w:rStyle w:val="normaltextrun"/>
        </w:rPr>
        <w:t xml:space="preserve">Environmental impact and </w:t>
      </w:r>
      <w:r w:rsidR="00600DD0">
        <w:rPr>
          <w:rStyle w:val="normaltextrun"/>
        </w:rPr>
        <w:t>c</w:t>
      </w:r>
      <w:r w:rsidRPr="49996C8F">
        <w:rPr>
          <w:rStyle w:val="normaltextrun"/>
        </w:rPr>
        <w:t xml:space="preserve">limate </w:t>
      </w:r>
      <w:r w:rsidR="00600DD0">
        <w:rPr>
          <w:rStyle w:val="normaltextrun"/>
        </w:rPr>
        <w:t>b</w:t>
      </w:r>
      <w:r w:rsidRPr="49996C8F">
        <w:rPr>
          <w:rStyle w:val="normaltextrun"/>
        </w:rPr>
        <w:t>udget </w:t>
      </w:r>
    </w:p>
    <w:p w14:paraId="3624B908" w14:textId="756604C2" w:rsidR="0000727E" w:rsidRDefault="1766AB6D" w:rsidP="003B6A3E">
      <w:pPr>
        <w:pStyle w:val="LONBodyTextNumbered"/>
        <w:keepLines/>
        <w:numPr>
          <w:ilvl w:val="0"/>
          <w:numId w:val="37"/>
        </w:numPr>
        <w:spacing w:before="240" w:line="276" w:lineRule="auto"/>
        <w:jc w:val="both"/>
        <w:rPr>
          <w:color w:val="auto"/>
        </w:rPr>
      </w:pPr>
      <w:r w:rsidRPr="49996C8F">
        <w:rPr>
          <w:color w:val="auto"/>
        </w:rPr>
        <w:t>T</w:t>
      </w:r>
      <w:r w:rsidR="1D2D8BD0" w:rsidRPr="49996C8F">
        <w:rPr>
          <w:color w:val="auto"/>
        </w:rPr>
        <w:t xml:space="preserve">he Mayor of London’s </w:t>
      </w:r>
      <w:r w:rsidR="00020468">
        <w:rPr>
          <w:color w:val="auto"/>
        </w:rPr>
        <w:t>commitment</w:t>
      </w:r>
      <w:r w:rsidR="1D2D8BD0" w:rsidRPr="49996C8F">
        <w:rPr>
          <w:color w:val="auto"/>
        </w:rPr>
        <w:t xml:space="preserve"> to </w:t>
      </w:r>
      <w:r w:rsidR="6F0742E7" w:rsidRPr="49996C8F">
        <w:rPr>
          <w:color w:val="auto"/>
        </w:rPr>
        <w:t xml:space="preserve">achieve net </w:t>
      </w:r>
      <w:r w:rsidR="1D2D8BD0" w:rsidRPr="49996C8F">
        <w:rPr>
          <w:color w:val="auto"/>
        </w:rPr>
        <w:t>zero</w:t>
      </w:r>
      <w:r w:rsidR="6F0742E7" w:rsidRPr="49996C8F">
        <w:rPr>
          <w:color w:val="auto"/>
        </w:rPr>
        <w:t xml:space="preserve"> by 2030</w:t>
      </w:r>
      <w:r w:rsidR="245DE887" w:rsidRPr="49996C8F">
        <w:rPr>
          <w:color w:val="auto"/>
        </w:rPr>
        <w:t xml:space="preserve"> </w:t>
      </w:r>
      <w:r w:rsidR="1FDF36B4" w:rsidRPr="49996C8F">
        <w:rPr>
          <w:color w:val="auto"/>
        </w:rPr>
        <w:t xml:space="preserve">is integrated into our current strategies and policies. </w:t>
      </w:r>
    </w:p>
    <w:p w14:paraId="00E49FDC" w14:textId="191A45F0" w:rsidR="00B87E55" w:rsidRPr="0003334B" w:rsidRDefault="1FDF36B4" w:rsidP="003B6A3E">
      <w:pPr>
        <w:pStyle w:val="LONBodyTextNumbered"/>
        <w:keepLines/>
        <w:numPr>
          <w:ilvl w:val="0"/>
          <w:numId w:val="37"/>
        </w:numPr>
        <w:spacing w:before="240" w:line="276" w:lineRule="auto"/>
        <w:jc w:val="both"/>
        <w:rPr>
          <w:rFonts w:eastAsiaTheme="minorEastAsia"/>
          <w:color w:val="auto"/>
        </w:rPr>
      </w:pPr>
      <w:r w:rsidRPr="49996C8F">
        <w:rPr>
          <w:color w:val="auto"/>
        </w:rPr>
        <w:t xml:space="preserve">OPDC does not directly produce carbon emissions as it does not have any operational estate or fleet, although we </w:t>
      </w:r>
      <w:r w:rsidR="1FD0B43B" w:rsidRPr="49996C8F">
        <w:rPr>
          <w:color w:val="auto"/>
        </w:rPr>
        <w:t>have</w:t>
      </w:r>
      <w:r w:rsidRPr="49996C8F">
        <w:rPr>
          <w:color w:val="auto"/>
        </w:rPr>
        <w:t xml:space="preserve"> now acquir</w:t>
      </w:r>
      <w:r w:rsidR="1DA356BC" w:rsidRPr="49996C8F">
        <w:rPr>
          <w:color w:val="auto"/>
        </w:rPr>
        <w:t>ed</w:t>
      </w:r>
      <w:r w:rsidRPr="49996C8F">
        <w:rPr>
          <w:color w:val="auto"/>
        </w:rPr>
        <w:t xml:space="preserve"> several </w:t>
      </w:r>
      <w:r w:rsidR="5FBA2D08" w:rsidRPr="49996C8F">
        <w:rPr>
          <w:color w:val="auto"/>
        </w:rPr>
        <w:t>strategic assets to facilitate the delivery of our programme</w:t>
      </w:r>
      <w:r w:rsidR="3CD51ACA" w:rsidRPr="49996C8F">
        <w:rPr>
          <w:color w:val="auto"/>
        </w:rPr>
        <w:t xml:space="preserve">, with existing </w:t>
      </w:r>
      <w:r w:rsidR="4C70D72E" w:rsidRPr="49996C8F">
        <w:rPr>
          <w:color w:val="auto"/>
        </w:rPr>
        <w:t>tenanc</w:t>
      </w:r>
      <w:r w:rsidR="684E7141" w:rsidRPr="49996C8F">
        <w:rPr>
          <w:color w:val="auto"/>
        </w:rPr>
        <w:t>ies and uses</w:t>
      </w:r>
      <w:r w:rsidR="5FBA2D08" w:rsidRPr="49996C8F">
        <w:rPr>
          <w:color w:val="auto"/>
        </w:rPr>
        <w:t xml:space="preserve">. </w:t>
      </w:r>
      <w:r w:rsidR="00333898" w:rsidRPr="00333898">
        <w:rPr>
          <w:color w:val="auto"/>
        </w:rPr>
        <w:t>W</w:t>
      </w:r>
      <w:r w:rsidR="5395216F" w:rsidRPr="0003334B">
        <w:rPr>
          <w:color w:val="auto"/>
        </w:rPr>
        <w:t>e are establish</w:t>
      </w:r>
      <w:r w:rsidR="00333898" w:rsidRPr="0003334B">
        <w:rPr>
          <w:color w:val="auto"/>
        </w:rPr>
        <w:t>ing</w:t>
      </w:r>
      <w:r w:rsidR="5395216F" w:rsidRPr="0003334B">
        <w:rPr>
          <w:color w:val="auto"/>
        </w:rPr>
        <w:t xml:space="preserve"> a framework for monitoring and reporting on these emissions, ensuring alignment with our sustainability objectives.</w:t>
      </w:r>
    </w:p>
    <w:p w14:paraId="4CBE7C8D" w14:textId="7C27843D" w:rsidR="00FE286E" w:rsidRDefault="35D65FCD" w:rsidP="003B6A3E">
      <w:pPr>
        <w:pStyle w:val="LONBodyTextNumbered"/>
        <w:keepLines/>
        <w:numPr>
          <w:ilvl w:val="0"/>
          <w:numId w:val="37"/>
        </w:numPr>
        <w:spacing w:before="240" w:line="276" w:lineRule="auto"/>
        <w:jc w:val="both"/>
        <w:rPr>
          <w:color w:val="auto"/>
        </w:rPr>
      </w:pPr>
      <w:r w:rsidRPr="49996C8F">
        <w:rPr>
          <w:color w:val="auto"/>
        </w:rPr>
        <w:t xml:space="preserve">Our budget will have an impact on </w:t>
      </w:r>
      <w:r w:rsidR="00E075DA">
        <w:rPr>
          <w:color w:val="auto"/>
        </w:rPr>
        <w:t>lowering</w:t>
      </w:r>
      <w:r w:rsidRPr="49996C8F">
        <w:rPr>
          <w:color w:val="auto"/>
        </w:rPr>
        <w:t xml:space="preserve"> G</w:t>
      </w:r>
      <w:r w:rsidR="00CD2538">
        <w:rPr>
          <w:color w:val="auto"/>
        </w:rPr>
        <w:t xml:space="preserve">reen </w:t>
      </w:r>
      <w:r w:rsidRPr="49996C8F">
        <w:rPr>
          <w:color w:val="auto"/>
        </w:rPr>
        <w:t>H</w:t>
      </w:r>
      <w:r w:rsidR="00CD2538">
        <w:rPr>
          <w:color w:val="auto"/>
        </w:rPr>
        <w:t xml:space="preserve">ouse </w:t>
      </w:r>
      <w:r w:rsidRPr="49996C8F">
        <w:rPr>
          <w:color w:val="auto"/>
        </w:rPr>
        <w:t>G</w:t>
      </w:r>
      <w:r w:rsidR="00CD2538">
        <w:rPr>
          <w:color w:val="auto"/>
        </w:rPr>
        <w:t>as (</w:t>
      </w:r>
      <w:r w:rsidRPr="49996C8F">
        <w:rPr>
          <w:color w:val="auto"/>
        </w:rPr>
        <w:t>GHG</w:t>
      </w:r>
      <w:r w:rsidR="00CC2A49">
        <w:rPr>
          <w:color w:val="auto"/>
        </w:rPr>
        <w:t>)</w:t>
      </w:r>
      <w:r w:rsidRPr="49996C8F">
        <w:rPr>
          <w:color w:val="auto"/>
        </w:rPr>
        <w:t xml:space="preserve"> emissions more widely in London, and these measures are captured in the 202</w:t>
      </w:r>
      <w:r w:rsidR="286B88DF" w:rsidRPr="49996C8F">
        <w:rPr>
          <w:color w:val="auto"/>
        </w:rPr>
        <w:t>5</w:t>
      </w:r>
      <w:r w:rsidRPr="49996C8F">
        <w:rPr>
          <w:color w:val="auto"/>
        </w:rPr>
        <w:t>-2</w:t>
      </w:r>
      <w:r w:rsidR="286B88DF" w:rsidRPr="49996C8F">
        <w:rPr>
          <w:color w:val="auto"/>
        </w:rPr>
        <w:t>6</w:t>
      </w:r>
      <w:r w:rsidRPr="49996C8F">
        <w:rPr>
          <w:color w:val="auto"/>
        </w:rPr>
        <w:t xml:space="preserve"> climate budget. These initiatives actively contribute to the reduction of carbon emissions within the OPDC area and beyond.</w:t>
      </w:r>
    </w:p>
    <w:p w14:paraId="6DB3F754" w14:textId="788A6749" w:rsidR="006D52EF" w:rsidRPr="00723864" w:rsidRDefault="03361EED" w:rsidP="003B6A3E">
      <w:pPr>
        <w:pStyle w:val="LONBodyTextNumbered"/>
        <w:keepLines/>
        <w:numPr>
          <w:ilvl w:val="0"/>
          <w:numId w:val="37"/>
        </w:numPr>
        <w:spacing w:before="240" w:line="276" w:lineRule="auto"/>
        <w:jc w:val="both"/>
        <w:rPr>
          <w:color w:val="auto"/>
        </w:rPr>
      </w:pPr>
      <w:r w:rsidRPr="49996C8F">
        <w:rPr>
          <w:color w:val="auto"/>
        </w:rPr>
        <w:lastRenderedPageBreak/>
        <w:t>OPDC aligns with the requirements of the GLA’s Responsible Procurement Implementation Plan (RPIP</w:t>
      </w:r>
      <w:r w:rsidR="5CB18045" w:rsidRPr="36A56128">
        <w:rPr>
          <w:color w:val="auto"/>
        </w:rPr>
        <w:t>)</w:t>
      </w:r>
      <w:r w:rsidR="00E321B3">
        <w:rPr>
          <w:color w:val="auto"/>
        </w:rPr>
        <w:t xml:space="preserve"> </w:t>
      </w:r>
      <w:r w:rsidR="00AA38D0">
        <w:rPr>
          <w:color w:val="auto"/>
        </w:rPr>
        <w:t>which is</w:t>
      </w:r>
      <w:r w:rsidRPr="49996C8F">
        <w:rPr>
          <w:color w:val="auto"/>
        </w:rPr>
        <w:t xml:space="preserve"> committed to actively </w:t>
      </w:r>
      <w:r w:rsidR="5CB18045" w:rsidRPr="36A56128">
        <w:rPr>
          <w:color w:val="auto"/>
        </w:rPr>
        <w:t>collaborat</w:t>
      </w:r>
      <w:r w:rsidR="00E321B3">
        <w:rPr>
          <w:color w:val="auto"/>
        </w:rPr>
        <w:t>ing</w:t>
      </w:r>
      <w:r w:rsidRPr="49996C8F">
        <w:rPr>
          <w:color w:val="auto"/>
        </w:rPr>
        <w:t xml:space="preserve"> with its suppliers</w:t>
      </w:r>
      <w:r w:rsidR="00C039B2">
        <w:rPr>
          <w:color w:val="auto"/>
        </w:rPr>
        <w:t xml:space="preserve"> and</w:t>
      </w:r>
      <w:r w:rsidRPr="49996C8F">
        <w:rPr>
          <w:color w:val="auto"/>
        </w:rPr>
        <w:t xml:space="preserve"> intended to initiate and implement strategies aimed at reducing carbon emissions within the supply chain. </w:t>
      </w:r>
    </w:p>
    <w:p w14:paraId="1635050B" w14:textId="1F7AB75D" w:rsidR="00380657" w:rsidRDefault="00380657" w:rsidP="00DB40C4">
      <w:pPr>
        <w:pStyle w:val="LONBodyTextNumbered"/>
        <w:keepLines/>
        <w:spacing w:before="240" w:after="0" w:line="276" w:lineRule="auto"/>
        <w:ind w:left="680"/>
        <w:jc w:val="both"/>
        <w:rPr>
          <w:color w:val="auto"/>
        </w:rPr>
      </w:pPr>
      <w:r w:rsidRPr="3980742F">
        <w:rPr>
          <w:color w:val="auto"/>
          <w:u w:val="single"/>
        </w:rPr>
        <w:t>Energy</w:t>
      </w:r>
    </w:p>
    <w:p w14:paraId="589583C5" w14:textId="17B22C35" w:rsidR="008D4C9C" w:rsidRDefault="00156C5B" w:rsidP="003B6A3E">
      <w:pPr>
        <w:pStyle w:val="LONBodyTextNumbered"/>
        <w:keepLines/>
        <w:numPr>
          <w:ilvl w:val="0"/>
          <w:numId w:val="37"/>
        </w:numPr>
        <w:spacing w:before="240" w:line="276" w:lineRule="auto"/>
        <w:jc w:val="both"/>
        <w:rPr>
          <w:color w:val="auto"/>
        </w:rPr>
      </w:pPr>
      <w:r>
        <w:rPr>
          <w:color w:val="auto"/>
        </w:rPr>
        <w:t>We have</w:t>
      </w:r>
      <w:r w:rsidR="1ECDC6AA" w:rsidRPr="36A56128">
        <w:rPr>
          <w:color w:val="auto"/>
        </w:rPr>
        <w:t xml:space="preserve"> published </w:t>
      </w:r>
      <w:r w:rsidR="00341AA5">
        <w:rPr>
          <w:color w:val="auto"/>
        </w:rPr>
        <w:t>a</w:t>
      </w:r>
      <w:r w:rsidR="1ECDC6AA" w:rsidRPr="36A56128">
        <w:rPr>
          <w:color w:val="auto"/>
        </w:rPr>
        <w:t xml:space="preserve"> Local Area Energy Plan (LAEP)</w:t>
      </w:r>
      <w:r w:rsidR="000D40C1">
        <w:rPr>
          <w:color w:val="auto"/>
        </w:rPr>
        <w:t xml:space="preserve"> for the OPDC area</w:t>
      </w:r>
      <w:r w:rsidR="1ECDC6AA" w:rsidRPr="36A56128">
        <w:rPr>
          <w:color w:val="auto"/>
        </w:rPr>
        <w:t xml:space="preserve"> to support </w:t>
      </w:r>
      <w:r w:rsidR="00B802F6">
        <w:rPr>
          <w:color w:val="auto"/>
        </w:rPr>
        <w:t>our work to</w:t>
      </w:r>
      <w:r w:rsidR="1ECDC6AA" w:rsidRPr="36A56128">
        <w:rPr>
          <w:color w:val="auto"/>
        </w:rPr>
        <w:t xml:space="preserve"> decarbonise Park Royal</w:t>
      </w:r>
      <w:r w:rsidR="008D4C9C">
        <w:rPr>
          <w:color w:val="auto"/>
        </w:rPr>
        <w:t>.</w:t>
      </w:r>
      <w:r w:rsidR="1ECDC6AA" w:rsidRPr="36A56128">
        <w:rPr>
          <w:color w:val="auto"/>
        </w:rPr>
        <w:t xml:space="preserve"> </w:t>
      </w:r>
    </w:p>
    <w:p w14:paraId="7233B368" w14:textId="71EBFC44" w:rsidR="1ECDC6AA" w:rsidRDefault="008D4C9C" w:rsidP="003B6A3E">
      <w:pPr>
        <w:pStyle w:val="LONBodyTextNumbered"/>
        <w:keepLines/>
        <w:numPr>
          <w:ilvl w:val="0"/>
          <w:numId w:val="37"/>
        </w:numPr>
        <w:spacing w:before="240" w:line="276" w:lineRule="auto"/>
        <w:jc w:val="both"/>
        <w:rPr>
          <w:color w:val="auto"/>
        </w:rPr>
      </w:pPr>
      <w:r>
        <w:rPr>
          <w:color w:val="auto"/>
        </w:rPr>
        <w:t>We</w:t>
      </w:r>
      <w:r w:rsidR="1ECDC6AA" w:rsidRPr="36A56128">
        <w:rPr>
          <w:color w:val="auto"/>
        </w:rPr>
        <w:t xml:space="preserve"> collaborat</w:t>
      </w:r>
      <w:r>
        <w:rPr>
          <w:color w:val="auto"/>
        </w:rPr>
        <w:t>e</w:t>
      </w:r>
      <w:r w:rsidR="1ECDC6AA" w:rsidRPr="36A56128">
        <w:rPr>
          <w:color w:val="auto"/>
        </w:rPr>
        <w:t xml:space="preserve"> with </w:t>
      </w:r>
      <w:r w:rsidR="0CC6D3F3" w:rsidRPr="36A56128">
        <w:rPr>
          <w:color w:val="auto"/>
        </w:rPr>
        <w:t xml:space="preserve">Distribution Network Operators </w:t>
      </w:r>
      <w:r w:rsidR="1ECDC6AA" w:rsidRPr="36A56128">
        <w:rPr>
          <w:color w:val="auto"/>
        </w:rPr>
        <w:t xml:space="preserve">to </w:t>
      </w:r>
      <w:r>
        <w:rPr>
          <w:color w:val="auto"/>
        </w:rPr>
        <w:t>secure</w:t>
      </w:r>
      <w:r w:rsidRPr="36A56128">
        <w:rPr>
          <w:color w:val="auto"/>
        </w:rPr>
        <w:t xml:space="preserve"> </w:t>
      </w:r>
      <w:r w:rsidR="1ECDC6AA" w:rsidRPr="36A56128">
        <w:rPr>
          <w:color w:val="auto"/>
        </w:rPr>
        <w:t xml:space="preserve">increased energy capacity </w:t>
      </w:r>
      <w:r w:rsidR="00025462">
        <w:rPr>
          <w:color w:val="auto"/>
        </w:rPr>
        <w:t xml:space="preserve">to </w:t>
      </w:r>
      <w:r w:rsidR="00E0350E">
        <w:rPr>
          <w:color w:val="auto"/>
        </w:rPr>
        <w:t>supply</w:t>
      </w:r>
      <w:r w:rsidR="1ECDC6AA" w:rsidRPr="36A56128">
        <w:rPr>
          <w:color w:val="auto"/>
        </w:rPr>
        <w:t xml:space="preserve"> future </w:t>
      </w:r>
      <w:r w:rsidR="70EAEB10" w:rsidRPr="36A56128">
        <w:rPr>
          <w:color w:val="auto"/>
        </w:rPr>
        <w:t>developments</w:t>
      </w:r>
      <w:r w:rsidR="00E0350E">
        <w:rPr>
          <w:color w:val="auto"/>
        </w:rPr>
        <w:t xml:space="preserve"> with sustainable heat and power</w:t>
      </w:r>
      <w:r w:rsidR="1ECDC6AA" w:rsidRPr="36A56128">
        <w:rPr>
          <w:color w:val="auto"/>
        </w:rPr>
        <w:t>.</w:t>
      </w:r>
    </w:p>
    <w:p w14:paraId="1739BE25" w14:textId="073DAB2C" w:rsidR="709F20DE" w:rsidRDefault="000E2764" w:rsidP="003B6A3E">
      <w:pPr>
        <w:pStyle w:val="LONBodyTextNumbered"/>
        <w:keepLines/>
        <w:numPr>
          <w:ilvl w:val="0"/>
          <w:numId w:val="37"/>
        </w:numPr>
        <w:spacing w:before="240" w:line="276" w:lineRule="auto"/>
        <w:jc w:val="both"/>
        <w:rPr>
          <w:color w:val="auto"/>
        </w:rPr>
      </w:pPr>
      <w:r>
        <w:rPr>
          <w:rFonts w:eastAsiaTheme="minorEastAsia"/>
          <w:color w:val="auto"/>
        </w:rPr>
        <w:t>We have</w:t>
      </w:r>
      <w:r w:rsidR="709F20DE" w:rsidRPr="36A56128">
        <w:rPr>
          <w:rFonts w:eastAsiaTheme="minorEastAsia"/>
          <w:color w:val="auto"/>
        </w:rPr>
        <w:t xml:space="preserve"> secured capital funding </w:t>
      </w:r>
      <w:r w:rsidR="5BA8E218" w:rsidRPr="36A56128">
        <w:rPr>
          <w:rFonts w:eastAsiaTheme="minorEastAsia"/>
          <w:color w:val="auto"/>
        </w:rPr>
        <w:t xml:space="preserve">from DESNZ </w:t>
      </w:r>
      <w:r w:rsidR="709F20DE" w:rsidRPr="36A56128">
        <w:rPr>
          <w:rFonts w:eastAsiaTheme="minorEastAsia"/>
          <w:color w:val="auto"/>
        </w:rPr>
        <w:t xml:space="preserve">to deliver a heat network that will provide net-zero heating for </w:t>
      </w:r>
      <w:r>
        <w:rPr>
          <w:rFonts w:eastAsiaTheme="minorEastAsia"/>
          <w:color w:val="auto"/>
        </w:rPr>
        <w:t xml:space="preserve">over </w:t>
      </w:r>
      <w:r w:rsidR="709F20DE" w:rsidRPr="36A56128">
        <w:rPr>
          <w:rFonts w:eastAsiaTheme="minorEastAsia"/>
          <w:color w:val="auto"/>
        </w:rPr>
        <w:t>1</w:t>
      </w:r>
      <w:r>
        <w:rPr>
          <w:rFonts w:eastAsiaTheme="minorEastAsia"/>
          <w:color w:val="auto"/>
        </w:rPr>
        <w:t>0</w:t>
      </w:r>
      <w:r w:rsidR="709F20DE" w:rsidRPr="36A56128">
        <w:rPr>
          <w:rFonts w:eastAsiaTheme="minorEastAsia"/>
          <w:color w:val="auto"/>
        </w:rPr>
        <w:t xml:space="preserve">,000 homes and businesses, reducing CO₂ emissions by an estimated 101,200 tonnes over 40 years. </w:t>
      </w:r>
      <w:r w:rsidR="00F51010">
        <w:rPr>
          <w:rFonts w:eastAsiaTheme="minorEastAsia"/>
          <w:color w:val="auto"/>
        </w:rPr>
        <w:t>This is supported by</w:t>
      </w:r>
      <w:r w:rsidR="003220C9">
        <w:rPr>
          <w:rFonts w:eastAsiaTheme="minorEastAsia"/>
          <w:color w:val="auto"/>
        </w:rPr>
        <w:t xml:space="preserve"> revenue funding from </w:t>
      </w:r>
      <w:r w:rsidR="709F20DE" w:rsidRPr="36A56128">
        <w:rPr>
          <w:rFonts w:eastAsiaTheme="minorEastAsia"/>
          <w:color w:val="auto"/>
        </w:rPr>
        <w:t xml:space="preserve">the GLA to support </w:t>
      </w:r>
      <w:r w:rsidR="003220C9">
        <w:rPr>
          <w:rFonts w:eastAsiaTheme="minorEastAsia"/>
          <w:color w:val="auto"/>
        </w:rPr>
        <w:t>the</w:t>
      </w:r>
      <w:r w:rsidR="709F20DE" w:rsidRPr="36A56128">
        <w:rPr>
          <w:rFonts w:eastAsiaTheme="minorEastAsia"/>
          <w:color w:val="auto"/>
        </w:rPr>
        <w:t xml:space="preserve"> project</w:t>
      </w:r>
      <w:r w:rsidR="003220C9">
        <w:rPr>
          <w:rFonts w:eastAsiaTheme="minorEastAsia"/>
          <w:color w:val="auto"/>
        </w:rPr>
        <w:t>’s</w:t>
      </w:r>
      <w:r w:rsidR="709F20DE" w:rsidRPr="36A56128">
        <w:rPr>
          <w:rFonts w:eastAsiaTheme="minorEastAsia"/>
          <w:color w:val="auto"/>
        </w:rPr>
        <w:t xml:space="preserve"> development.</w:t>
      </w:r>
    </w:p>
    <w:p w14:paraId="7482A03C" w14:textId="5A9603C3" w:rsidR="4628C1B0" w:rsidRDefault="385B5BBD" w:rsidP="003B6A3E">
      <w:pPr>
        <w:pStyle w:val="LONBodyTextNumbered"/>
        <w:keepLines/>
        <w:numPr>
          <w:ilvl w:val="0"/>
          <w:numId w:val="37"/>
        </w:numPr>
        <w:spacing w:before="240" w:line="276" w:lineRule="auto"/>
        <w:jc w:val="both"/>
        <w:rPr>
          <w:color w:val="auto"/>
        </w:rPr>
      </w:pPr>
      <w:r w:rsidRPr="05D0AAED">
        <w:rPr>
          <w:color w:val="auto"/>
        </w:rPr>
        <w:t>Our two applications to the GLA’s Zero Carbon Accelerator programme were successful, and we will receive support to develop plans for using solar energy, distributed through a private wire network, to supply low-carbon power to major energy consumers in Park Royal. We will also work on creating a Smart Local Energy System (SLES) that integrates solar, battery storage, and peer-to-peer energy trading to benefit local businesses.</w:t>
      </w:r>
    </w:p>
    <w:p w14:paraId="739E996F" w14:textId="2FC115D1" w:rsidR="00C835D6" w:rsidRPr="00654BBB" w:rsidRDefault="1A4530C0" w:rsidP="00DB40C4">
      <w:pPr>
        <w:pStyle w:val="LONBodyTextNumbered"/>
        <w:keepLines/>
        <w:spacing w:before="240" w:after="0" w:line="276" w:lineRule="auto"/>
        <w:ind w:left="680"/>
        <w:jc w:val="both"/>
        <w:rPr>
          <w:color w:val="auto"/>
        </w:rPr>
      </w:pPr>
      <w:r w:rsidRPr="3980742F">
        <w:rPr>
          <w:color w:val="auto"/>
          <w:u w:val="single"/>
        </w:rPr>
        <w:t xml:space="preserve">Buildings </w:t>
      </w:r>
    </w:p>
    <w:p w14:paraId="7961B769" w14:textId="02FB5ED8" w:rsidR="00C835D6" w:rsidRPr="00654BBB" w:rsidRDefault="00225A29" w:rsidP="00DB40C4">
      <w:pPr>
        <w:pStyle w:val="LONBodyTextNumbered"/>
        <w:keepLines/>
        <w:numPr>
          <w:ilvl w:val="0"/>
          <w:numId w:val="37"/>
        </w:numPr>
        <w:spacing w:line="276" w:lineRule="auto"/>
        <w:jc w:val="both"/>
        <w:rPr>
          <w:color w:val="auto"/>
        </w:rPr>
      </w:pPr>
      <w:r>
        <w:rPr>
          <w:color w:val="auto"/>
        </w:rPr>
        <w:t>We</w:t>
      </w:r>
      <w:r w:rsidR="08C3FCC2" w:rsidRPr="49996C8F">
        <w:rPr>
          <w:color w:val="auto"/>
        </w:rPr>
        <w:t xml:space="preserve"> </w:t>
      </w:r>
      <w:r w:rsidR="4BD7D306" w:rsidRPr="49996C8F">
        <w:rPr>
          <w:color w:val="auto"/>
        </w:rPr>
        <w:t xml:space="preserve">will foster innovative technologies, enhance resilience for SMEs, and support local job creation by using </w:t>
      </w:r>
      <w:r w:rsidR="6EAFB7CB" w:rsidRPr="36A56128">
        <w:rPr>
          <w:color w:val="auto"/>
        </w:rPr>
        <w:t>a</w:t>
      </w:r>
      <w:r w:rsidR="4BD7D306" w:rsidRPr="49996C8F">
        <w:rPr>
          <w:color w:val="auto"/>
        </w:rPr>
        <w:t xml:space="preserve"> site </w:t>
      </w:r>
      <w:r>
        <w:rPr>
          <w:color w:val="auto"/>
        </w:rPr>
        <w:t xml:space="preserve">within our ownership </w:t>
      </w:r>
      <w:r w:rsidR="4BD7D306" w:rsidRPr="49996C8F">
        <w:rPr>
          <w:color w:val="auto"/>
        </w:rPr>
        <w:t>for meanwhile use</w:t>
      </w:r>
      <w:r w:rsidR="08C3FCC2" w:rsidRPr="49996C8F">
        <w:rPr>
          <w:color w:val="auto"/>
        </w:rPr>
        <w:t xml:space="preserve"> as a circular economy hub, where local </w:t>
      </w:r>
      <w:r>
        <w:rPr>
          <w:color w:val="auto"/>
        </w:rPr>
        <w:t xml:space="preserve">community-led </w:t>
      </w:r>
      <w:r w:rsidR="08C3FCC2" w:rsidRPr="49996C8F">
        <w:rPr>
          <w:color w:val="auto"/>
        </w:rPr>
        <w:t>organisation</w:t>
      </w:r>
      <w:r w:rsidR="5E97EE5B" w:rsidRPr="49996C8F">
        <w:rPr>
          <w:color w:val="auto"/>
        </w:rPr>
        <w:t>s</w:t>
      </w:r>
      <w:r w:rsidR="08C3FCC2" w:rsidRPr="49996C8F">
        <w:rPr>
          <w:color w:val="auto"/>
        </w:rPr>
        <w:t xml:space="preserve"> will repurpose waste material into new, </w:t>
      </w:r>
      <w:proofErr w:type="gramStart"/>
      <w:r w:rsidR="08C3FCC2" w:rsidRPr="49996C8F">
        <w:rPr>
          <w:color w:val="auto"/>
        </w:rPr>
        <w:t>useful</w:t>
      </w:r>
      <w:proofErr w:type="gramEnd"/>
      <w:r w:rsidR="08C3FCC2" w:rsidRPr="49996C8F">
        <w:rPr>
          <w:color w:val="auto"/>
        </w:rPr>
        <w:t xml:space="preserve"> and affordable products.</w:t>
      </w:r>
    </w:p>
    <w:p w14:paraId="4A106853" w14:textId="1BBE4A7D" w:rsidR="00380657" w:rsidRPr="00471B13" w:rsidRDefault="08C3FCC2" w:rsidP="003B6A3E">
      <w:pPr>
        <w:pStyle w:val="LONBodyTextNumbered"/>
        <w:keepLines/>
        <w:numPr>
          <w:ilvl w:val="0"/>
          <w:numId w:val="37"/>
        </w:numPr>
        <w:spacing w:before="240" w:line="276" w:lineRule="auto"/>
        <w:jc w:val="both"/>
        <w:rPr>
          <w:color w:val="auto"/>
          <w:u w:val="single"/>
        </w:rPr>
      </w:pPr>
      <w:r w:rsidRPr="49996C8F">
        <w:rPr>
          <w:color w:val="auto"/>
        </w:rPr>
        <w:t xml:space="preserve">OPDC’s Small Business Loan Fund </w:t>
      </w:r>
      <w:r w:rsidR="5567353A" w:rsidRPr="36A56128">
        <w:rPr>
          <w:color w:val="auto"/>
        </w:rPr>
        <w:t>assist</w:t>
      </w:r>
      <w:r w:rsidR="00225A29">
        <w:rPr>
          <w:color w:val="auto"/>
        </w:rPr>
        <w:t>s</w:t>
      </w:r>
      <w:r w:rsidRPr="49996C8F">
        <w:rPr>
          <w:color w:val="auto"/>
        </w:rPr>
        <w:t xml:space="preserve"> local workspace providers in Park Royal by encouraging improvements in environmental performance</w:t>
      </w:r>
      <w:r w:rsidR="6181FB21" w:rsidRPr="49996C8F">
        <w:rPr>
          <w:color w:val="auto"/>
        </w:rPr>
        <w:t xml:space="preserve">, </w:t>
      </w:r>
      <w:r w:rsidRPr="49996C8F">
        <w:rPr>
          <w:color w:val="auto"/>
        </w:rPr>
        <w:t>whilst promoting energy-efficient buildings, re</w:t>
      </w:r>
      <w:r w:rsidR="600E551B" w:rsidRPr="49996C8F">
        <w:rPr>
          <w:color w:val="auto"/>
        </w:rPr>
        <w:t>duc</w:t>
      </w:r>
      <w:r w:rsidRPr="49996C8F">
        <w:rPr>
          <w:color w:val="auto"/>
        </w:rPr>
        <w:t xml:space="preserve">ing utility costs for SMEs, and enhancing climate adaptability. </w:t>
      </w:r>
    </w:p>
    <w:p w14:paraId="21DA6FF5" w14:textId="5E14E303" w:rsidR="00380657" w:rsidRPr="000151E8" w:rsidRDefault="23AF363A" w:rsidP="00DB40C4">
      <w:pPr>
        <w:pStyle w:val="LONBodyTextNumbered"/>
        <w:keepLines/>
        <w:spacing w:before="240" w:after="0" w:line="276" w:lineRule="auto"/>
        <w:ind w:left="680"/>
        <w:jc w:val="both"/>
        <w:rPr>
          <w:color w:val="auto"/>
        </w:rPr>
      </w:pPr>
      <w:r w:rsidRPr="49996C8F">
        <w:rPr>
          <w:color w:val="auto"/>
          <w:u w:val="single"/>
        </w:rPr>
        <w:t>Strategy</w:t>
      </w:r>
      <w:r w:rsidR="100E7F5F" w:rsidRPr="49996C8F">
        <w:rPr>
          <w:color w:val="auto"/>
          <w:u w:val="single"/>
        </w:rPr>
        <w:t xml:space="preserve"> </w:t>
      </w:r>
      <w:r w:rsidR="3C5DB647" w:rsidRPr="49996C8F">
        <w:rPr>
          <w:color w:val="auto"/>
          <w:u w:val="single"/>
        </w:rPr>
        <w:t>and Behaviour Change</w:t>
      </w:r>
    </w:p>
    <w:p w14:paraId="32BA4E54" w14:textId="7965BC5D" w:rsidR="00380657" w:rsidRPr="000151E8" w:rsidRDefault="00225A29" w:rsidP="00DB40C4">
      <w:pPr>
        <w:pStyle w:val="LONBodyTextNumbered"/>
        <w:keepLines/>
        <w:numPr>
          <w:ilvl w:val="0"/>
          <w:numId w:val="37"/>
        </w:numPr>
        <w:spacing w:line="276" w:lineRule="auto"/>
        <w:jc w:val="both"/>
        <w:rPr>
          <w:color w:val="auto"/>
        </w:rPr>
      </w:pPr>
      <w:r w:rsidRPr="69C8A05B">
        <w:rPr>
          <w:color w:val="auto"/>
        </w:rPr>
        <w:t>Our</w:t>
      </w:r>
      <w:r w:rsidR="1130E860" w:rsidRPr="49996C8F">
        <w:rPr>
          <w:color w:val="auto"/>
        </w:rPr>
        <w:t xml:space="preserve"> Sustainability Charter </w:t>
      </w:r>
      <w:r w:rsidR="7B2E038F" w:rsidRPr="69C8A05B">
        <w:rPr>
          <w:color w:val="auto"/>
        </w:rPr>
        <w:t>set</w:t>
      </w:r>
      <w:r w:rsidRPr="69C8A05B">
        <w:rPr>
          <w:color w:val="auto"/>
        </w:rPr>
        <w:t>s</w:t>
      </w:r>
      <w:r w:rsidR="1130E860" w:rsidRPr="49996C8F">
        <w:rPr>
          <w:color w:val="auto"/>
        </w:rPr>
        <w:t xml:space="preserve"> out OPDC’s approach to environmental and social sustainability</w:t>
      </w:r>
      <w:r w:rsidR="005A73E2" w:rsidRPr="69C8A05B">
        <w:rPr>
          <w:color w:val="auto"/>
        </w:rPr>
        <w:t>,</w:t>
      </w:r>
      <w:r w:rsidR="1130E860" w:rsidRPr="49996C8F">
        <w:rPr>
          <w:color w:val="auto"/>
        </w:rPr>
        <w:t xml:space="preserve"> ensuring </w:t>
      </w:r>
      <w:r w:rsidR="002B3BB0" w:rsidRPr="69C8A05B">
        <w:rPr>
          <w:color w:val="auto"/>
        </w:rPr>
        <w:t>all our work</w:t>
      </w:r>
      <w:r w:rsidR="001A6223" w:rsidRPr="69C8A05B">
        <w:rPr>
          <w:color w:val="auto"/>
        </w:rPr>
        <w:t xml:space="preserve"> </w:t>
      </w:r>
      <w:r w:rsidR="00D13C7B" w:rsidRPr="69C8A05B">
        <w:rPr>
          <w:color w:val="auto"/>
        </w:rPr>
        <w:t>reduces</w:t>
      </w:r>
      <w:r w:rsidR="6EC8ABB0" w:rsidRPr="49996C8F">
        <w:rPr>
          <w:color w:val="auto"/>
        </w:rPr>
        <w:t xml:space="preserve"> carbon </w:t>
      </w:r>
      <w:r w:rsidR="009B0612" w:rsidRPr="69C8A05B">
        <w:rPr>
          <w:color w:val="auto"/>
        </w:rPr>
        <w:t>enhances</w:t>
      </w:r>
      <w:r w:rsidR="6EC8ABB0" w:rsidRPr="49996C8F">
        <w:rPr>
          <w:color w:val="auto"/>
        </w:rPr>
        <w:t xml:space="preserve"> resource efficiency and </w:t>
      </w:r>
      <w:r w:rsidR="00955842" w:rsidRPr="69C8A05B">
        <w:rPr>
          <w:color w:val="auto"/>
        </w:rPr>
        <w:t>creates</w:t>
      </w:r>
      <w:r w:rsidR="74C90D82" w:rsidRPr="69C8A05B">
        <w:rPr>
          <w:color w:val="auto"/>
        </w:rPr>
        <w:t xml:space="preserve"> </w:t>
      </w:r>
      <w:r w:rsidR="6EC8ABB0" w:rsidRPr="49996C8F">
        <w:rPr>
          <w:color w:val="auto"/>
        </w:rPr>
        <w:t>economic opportunities</w:t>
      </w:r>
      <w:r w:rsidR="00A37C2B" w:rsidRPr="69C8A05B">
        <w:rPr>
          <w:color w:val="auto"/>
        </w:rPr>
        <w:t xml:space="preserve"> and good growth</w:t>
      </w:r>
      <w:r w:rsidR="74C90D82" w:rsidRPr="69C8A05B">
        <w:rPr>
          <w:color w:val="auto"/>
        </w:rPr>
        <w:t>.</w:t>
      </w:r>
      <w:r w:rsidR="27893DD5" w:rsidRPr="69C8A05B">
        <w:rPr>
          <w:color w:val="auto"/>
        </w:rPr>
        <w:t xml:space="preserve"> </w:t>
      </w:r>
      <w:r w:rsidR="00A37C2B" w:rsidRPr="69C8A05B">
        <w:rPr>
          <w:color w:val="auto"/>
        </w:rPr>
        <w:t>Our</w:t>
      </w:r>
      <w:r w:rsidR="7124D6A0" w:rsidRPr="49996C8F">
        <w:rPr>
          <w:color w:val="auto"/>
        </w:rPr>
        <w:t xml:space="preserve"> Sustainability </w:t>
      </w:r>
      <w:r w:rsidR="00A37C2B" w:rsidRPr="69C8A05B">
        <w:rPr>
          <w:color w:val="auto"/>
        </w:rPr>
        <w:t>F</w:t>
      </w:r>
      <w:r w:rsidR="27893DD5" w:rsidRPr="69C8A05B">
        <w:rPr>
          <w:color w:val="auto"/>
        </w:rPr>
        <w:t>ramework</w:t>
      </w:r>
      <w:r w:rsidR="00A37C2B" w:rsidRPr="69C8A05B">
        <w:rPr>
          <w:color w:val="auto"/>
        </w:rPr>
        <w:t xml:space="preserve"> underpins the charter and</w:t>
      </w:r>
      <w:r w:rsidR="7124D6A0" w:rsidRPr="49996C8F">
        <w:rPr>
          <w:color w:val="auto"/>
        </w:rPr>
        <w:t xml:space="preserve"> </w:t>
      </w:r>
      <w:r w:rsidR="27893DD5" w:rsidRPr="69C8A05B">
        <w:rPr>
          <w:color w:val="auto"/>
        </w:rPr>
        <w:t>set</w:t>
      </w:r>
      <w:r w:rsidR="00A37C2B" w:rsidRPr="69C8A05B">
        <w:rPr>
          <w:color w:val="auto"/>
        </w:rPr>
        <w:t>s</w:t>
      </w:r>
      <w:r w:rsidR="7124D6A0" w:rsidRPr="49996C8F">
        <w:rPr>
          <w:color w:val="auto"/>
        </w:rPr>
        <w:t xml:space="preserve"> minimum and stretch targets for each </w:t>
      </w:r>
      <w:r w:rsidR="56AEA4A3" w:rsidRPr="5F2B22D5">
        <w:rPr>
          <w:color w:val="auto"/>
        </w:rPr>
        <w:t>objective</w:t>
      </w:r>
      <w:r w:rsidR="7124D6A0" w:rsidRPr="49996C8F">
        <w:rPr>
          <w:color w:val="auto"/>
        </w:rPr>
        <w:t>, ensuring consistency in achieving sustainability objectives.</w:t>
      </w:r>
      <w:r w:rsidR="705B44E6" w:rsidRPr="49996C8F">
        <w:rPr>
          <w:color w:val="auto"/>
        </w:rPr>
        <w:t xml:space="preserve"> </w:t>
      </w:r>
    </w:p>
    <w:p w14:paraId="305BAFE1" w14:textId="77777777" w:rsidR="00380657" w:rsidRPr="00F34BF3" w:rsidRDefault="00380657" w:rsidP="00DB40C4">
      <w:pPr>
        <w:pStyle w:val="LONBodyTextNumbered"/>
        <w:keepLines/>
        <w:spacing w:before="240" w:after="0" w:line="276" w:lineRule="auto"/>
        <w:ind w:left="680"/>
        <w:jc w:val="both"/>
        <w:rPr>
          <w:color w:val="auto"/>
          <w:u w:val="single"/>
        </w:rPr>
      </w:pPr>
      <w:r w:rsidRPr="3980742F">
        <w:rPr>
          <w:color w:val="auto"/>
          <w:u w:val="single"/>
        </w:rPr>
        <w:t xml:space="preserve">Public Realm </w:t>
      </w:r>
    </w:p>
    <w:p w14:paraId="56AA9D64" w14:textId="59A64AB4" w:rsidR="00E17C03" w:rsidRDefault="00A37C2B" w:rsidP="00DB40C4">
      <w:pPr>
        <w:pStyle w:val="LONBodyTextNumbered"/>
        <w:keepLines/>
        <w:numPr>
          <w:ilvl w:val="0"/>
          <w:numId w:val="37"/>
        </w:numPr>
        <w:spacing w:line="276" w:lineRule="auto"/>
        <w:jc w:val="both"/>
        <w:rPr>
          <w:color w:val="auto"/>
        </w:rPr>
      </w:pPr>
      <w:r>
        <w:rPr>
          <w:color w:val="auto"/>
        </w:rPr>
        <w:t>Our recently adopted</w:t>
      </w:r>
      <w:r w:rsidRPr="36A56128">
        <w:rPr>
          <w:color w:val="auto"/>
        </w:rPr>
        <w:t xml:space="preserve"> </w:t>
      </w:r>
      <w:r w:rsidR="00B8616B" w:rsidRPr="36A56128">
        <w:rPr>
          <w:color w:val="auto"/>
        </w:rPr>
        <w:t>S</w:t>
      </w:r>
      <w:r w:rsidR="00B8616B">
        <w:rPr>
          <w:color w:val="auto"/>
        </w:rPr>
        <w:t xml:space="preserve">upplementary </w:t>
      </w:r>
      <w:r w:rsidR="699F599C" w:rsidRPr="36A56128">
        <w:rPr>
          <w:color w:val="auto"/>
        </w:rPr>
        <w:t>P</w:t>
      </w:r>
      <w:r w:rsidR="00B8616B">
        <w:rPr>
          <w:color w:val="auto"/>
        </w:rPr>
        <w:t xml:space="preserve">lanning </w:t>
      </w:r>
      <w:r w:rsidR="699F599C" w:rsidRPr="36A56128">
        <w:rPr>
          <w:color w:val="auto"/>
        </w:rPr>
        <w:t>D</w:t>
      </w:r>
      <w:r w:rsidR="00B8616B">
        <w:rPr>
          <w:color w:val="auto"/>
        </w:rPr>
        <w:t>ocument for</w:t>
      </w:r>
      <w:r w:rsidR="0CF2EFED" w:rsidRPr="49996C8F">
        <w:rPr>
          <w:color w:val="auto"/>
        </w:rPr>
        <w:t xml:space="preserve"> Public Realm and Green Infrastructure </w:t>
      </w:r>
      <w:r w:rsidR="00B8616B">
        <w:rPr>
          <w:color w:val="auto"/>
        </w:rPr>
        <w:t>provides</w:t>
      </w:r>
      <w:r w:rsidR="0CF2EFED" w:rsidRPr="49996C8F">
        <w:rPr>
          <w:color w:val="auto"/>
        </w:rPr>
        <w:t xml:space="preserve"> guidance for delivering a high-quality public realm, optimising green infrastructure provision, managing surface water run-off, and improving air quality.</w:t>
      </w:r>
    </w:p>
    <w:p w14:paraId="447B24A8" w14:textId="5CFEEF62" w:rsidR="156F4D5C" w:rsidRDefault="00D3426C" w:rsidP="003B6A3E">
      <w:pPr>
        <w:pStyle w:val="LONBodyTextNumbered"/>
        <w:keepLines/>
        <w:numPr>
          <w:ilvl w:val="0"/>
          <w:numId w:val="37"/>
        </w:numPr>
        <w:spacing w:before="240" w:line="276" w:lineRule="auto"/>
        <w:jc w:val="both"/>
        <w:rPr>
          <w:color w:val="auto"/>
        </w:rPr>
      </w:pPr>
      <w:r>
        <w:rPr>
          <w:color w:val="auto"/>
        </w:rPr>
        <w:lastRenderedPageBreak/>
        <w:t>We run a</w:t>
      </w:r>
      <w:r w:rsidR="100E7F5F" w:rsidRPr="49996C8F">
        <w:rPr>
          <w:color w:val="auto"/>
        </w:rPr>
        <w:t xml:space="preserve"> Greenspace Volunteering programme</w:t>
      </w:r>
      <w:r w:rsidR="00323B7D">
        <w:rPr>
          <w:color w:val="auto"/>
        </w:rPr>
        <w:t>, which</w:t>
      </w:r>
      <w:r w:rsidR="100E7F5F" w:rsidRPr="49996C8F">
        <w:rPr>
          <w:color w:val="auto"/>
        </w:rPr>
        <w:t xml:space="preserve"> focuses on Park Royal and the Grand Union Canal</w:t>
      </w:r>
      <w:r w:rsidR="00323B7D">
        <w:rPr>
          <w:color w:val="auto"/>
        </w:rPr>
        <w:t xml:space="preserve"> to</w:t>
      </w:r>
      <w:r w:rsidR="089C0A1F" w:rsidRPr="49996C8F">
        <w:rPr>
          <w:color w:val="auto"/>
        </w:rPr>
        <w:t xml:space="preserve"> </w:t>
      </w:r>
      <w:r w:rsidR="100E7F5F" w:rsidRPr="49996C8F">
        <w:rPr>
          <w:color w:val="auto"/>
        </w:rPr>
        <w:t>collaborat</w:t>
      </w:r>
      <w:r w:rsidR="00323B7D">
        <w:rPr>
          <w:color w:val="auto"/>
        </w:rPr>
        <w:t>e</w:t>
      </w:r>
      <w:r w:rsidR="100E7F5F" w:rsidRPr="49996C8F">
        <w:rPr>
          <w:color w:val="auto"/>
        </w:rPr>
        <w:t xml:space="preserve"> with local businesses and residents to </w:t>
      </w:r>
      <w:r w:rsidR="0015739D">
        <w:rPr>
          <w:color w:val="auto"/>
        </w:rPr>
        <w:t>undertake</w:t>
      </w:r>
      <w:r w:rsidR="100E7F5F" w:rsidRPr="49996C8F">
        <w:rPr>
          <w:color w:val="auto"/>
        </w:rPr>
        <w:t xml:space="preserve"> planting, maintenance, clean-ups, and events promoting the value of greenspace and sustainability.</w:t>
      </w:r>
      <w:r w:rsidR="1DE07BBA" w:rsidRPr="49996C8F">
        <w:rPr>
          <w:color w:val="auto"/>
        </w:rPr>
        <w:t xml:space="preserve"> </w:t>
      </w:r>
    </w:p>
    <w:p w14:paraId="6C3A2425" w14:textId="5BF2EEAA" w:rsidR="009D2AAB" w:rsidRDefault="1954BB89" w:rsidP="006C4C6D">
      <w:pPr>
        <w:pStyle w:val="Heading1"/>
        <w:rPr>
          <w:rStyle w:val="normaltextrun"/>
        </w:rPr>
      </w:pPr>
      <w:bookmarkStart w:id="5" w:name="_Toc175895693"/>
      <w:r w:rsidRPr="49996C8F">
        <w:rPr>
          <w:rStyle w:val="normaltextrun"/>
        </w:rPr>
        <w:t xml:space="preserve">Equalities </w:t>
      </w:r>
      <w:r w:rsidR="03AC5A61" w:rsidRPr="49996C8F">
        <w:rPr>
          <w:rStyle w:val="normaltextrun"/>
        </w:rPr>
        <w:t>i</w:t>
      </w:r>
      <w:r w:rsidRPr="49996C8F">
        <w:rPr>
          <w:rStyle w:val="normaltextrun"/>
        </w:rPr>
        <w:t>mplications</w:t>
      </w:r>
      <w:bookmarkEnd w:id="5"/>
      <w:r w:rsidR="11FCD798" w:rsidRPr="49996C8F">
        <w:rPr>
          <w:rStyle w:val="normaltextrun"/>
        </w:rPr>
        <w:t xml:space="preserve"> </w:t>
      </w:r>
    </w:p>
    <w:p w14:paraId="25F02661" w14:textId="632E3CDD" w:rsidR="00607202" w:rsidRDefault="44BA539A" w:rsidP="003B6A3E">
      <w:pPr>
        <w:pStyle w:val="LONBodyTextNumbered"/>
        <w:keepLines/>
        <w:numPr>
          <w:ilvl w:val="0"/>
          <w:numId w:val="38"/>
        </w:numPr>
        <w:spacing w:before="240" w:line="276" w:lineRule="auto"/>
        <w:jc w:val="both"/>
        <w:rPr>
          <w:color w:val="auto"/>
        </w:rPr>
      </w:pPr>
      <w:r w:rsidRPr="49996C8F">
        <w:rPr>
          <w:color w:val="auto"/>
        </w:rPr>
        <w:t xml:space="preserve">Equity, </w:t>
      </w:r>
      <w:proofErr w:type="gramStart"/>
      <w:r w:rsidRPr="49996C8F">
        <w:rPr>
          <w:color w:val="auto"/>
        </w:rPr>
        <w:t>Diversity</w:t>
      </w:r>
      <w:proofErr w:type="gramEnd"/>
      <w:r w:rsidRPr="49996C8F">
        <w:rPr>
          <w:color w:val="auto"/>
        </w:rPr>
        <w:t xml:space="preserve"> and Inclusion (EDI) is at the centre of OPDC’s corporate </w:t>
      </w:r>
      <w:r w:rsidR="0015739D">
        <w:rPr>
          <w:color w:val="auto"/>
        </w:rPr>
        <w:t>approach</w:t>
      </w:r>
      <w:r w:rsidRPr="49996C8F">
        <w:rPr>
          <w:color w:val="auto"/>
        </w:rPr>
        <w:t>. The EDI strategy</w:t>
      </w:r>
      <w:r w:rsidR="0015739D">
        <w:rPr>
          <w:color w:val="auto"/>
        </w:rPr>
        <w:t>,</w:t>
      </w:r>
      <w:r w:rsidRPr="49996C8F">
        <w:rPr>
          <w:color w:val="auto"/>
        </w:rPr>
        <w:t xml:space="preserve"> published in 2022</w:t>
      </w:r>
      <w:r w:rsidR="0015739D">
        <w:rPr>
          <w:color w:val="auto"/>
        </w:rPr>
        <w:t>,</w:t>
      </w:r>
      <w:r w:rsidRPr="49996C8F">
        <w:rPr>
          <w:color w:val="auto"/>
        </w:rPr>
        <w:t xml:space="preserve"> supports OPDC’s commitment to ensure EDI is truly embedded both internally, as an exemplar employer</w:t>
      </w:r>
      <w:r w:rsidR="00CA6BD9">
        <w:rPr>
          <w:color w:val="auto"/>
        </w:rPr>
        <w:t>,</w:t>
      </w:r>
      <w:r w:rsidRPr="49996C8F">
        <w:rPr>
          <w:color w:val="auto"/>
        </w:rPr>
        <w:t xml:space="preserve"> and externally to deliver an inclusive, </w:t>
      </w:r>
      <w:proofErr w:type="gramStart"/>
      <w:r w:rsidRPr="49996C8F">
        <w:rPr>
          <w:color w:val="auto"/>
        </w:rPr>
        <w:t>diverse</w:t>
      </w:r>
      <w:proofErr w:type="gramEnd"/>
      <w:r w:rsidRPr="49996C8F">
        <w:rPr>
          <w:color w:val="auto"/>
        </w:rPr>
        <w:t xml:space="preserve"> and accessible new urban district which meets local needs and champions diversity. OPDC’s approach aligns with the Mayor’s Inclusive London strategy.  </w:t>
      </w:r>
    </w:p>
    <w:p w14:paraId="5F5AB901" w14:textId="124E59B3" w:rsidR="00607202" w:rsidRDefault="44BA539A" w:rsidP="00ED4762">
      <w:pPr>
        <w:pStyle w:val="LONBodyTextNumbered"/>
        <w:keepLines/>
        <w:numPr>
          <w:ilvl w:val="0"/>
          <w:numId w:val="38"/>
        </w:numPr>
        <w:spacing w:before="240" w:after="0" w:line="276" w:lineRule="auto"/>
        <w:jc w:val="both"/>
        <w:rPr>
          <w:color w:val="auto"/>
        </w:rPr>
      </w:pPr>
      <w:r w:rsidRPr="49996C8F">
        <w:rPr>
          <w:color w:val="auto"/>
        </w:rPr>
        <w:t xml:space="preserve">OPDC </w:t>
      </w:r>
      <w:r w:rsidR="00CB2EDB">
        <w:rPr>
          <w:color w:val="auto"/>
        </w:rPr>
        <w:t>promotes EDI by</w:t>
      </w:r>
      <w:r w:rsidRPr="49996C8F">
        <w:rPr>
          <w:color w:val="auto"/>
        </w:rPr>
        <w:t xml:space="preserve">: </w:t>
      </w:r>
    </w:p>
    <w:p w14:paraId="5B01E543" w14:textId="152390B2" w:rsidR="008E4F30" w:rsidRDefault="00B505B0" w:rsidP="003B6A3E">
      <w:pPr>
        <w:pStyle w:val="LONBodyTextNumbered"/>
        <w:keepLines/>
        <w:numPr>
          <w:ilvl w:val="0"/>
          <w:numId w:val="30"/>
        </w:numPr>
        <w:spacing w:after="0" w:line="276" w:lineRule="auto"/>
        <w:jc w:val="both"/>
        <w:rPr>
          <w:color w:val="auto"/>
        </w:rPr>
      </w:pPr>
      <w:r>
        <w:rPr>
          <w:color w:val="auto"/>
        </w:rPr>
        <w:t>s</w:t>
      </w:r>
      <w:r w:rsidR="001158A7">
        <w:rPr>
          <w:color w:val="auto"/>
        </w:rPr>
        <w:t xml:space="preserve">pending </w:t>
      </w:r>
      <w:r w:rsidR="7E612677" w:rsidRPr="07195704">
        <w:rPr>
          <w:color w:val="auto"/>
        </w:rPr>
        <w:t xml:space="preserve">35 per cent of </w:t>
      </w:r>
      <w:r w:rsidR="001158A7">
        <w:rPr>
          <w:color w:val="auto"/>
        </w:rPr>
        <w:t>our</w:t>
      </w:r>
      <w:r w:rsidR="00B85332">
        <w:rPr>
          <w:color w:val="auto"/>
        </w:rPr>
        <w:t xml:space="preserve"> </w:t>
      </w:r>
      <w:r w:rsidR="392F8951" w:rsidRPr="60250303">
        <w:rPr>
          <w:color w:val="auto"/>
        </w:rPr>
        <w:t>20</w:t>
      </w:r>
      <w:r w:rsidR="00B85332" w:rsidRPr="60250303">
        <w:rPr>
          <w:color w:val="auto"/>
        </w:rPr>
        <w:t>23</w:t>
      </w:r>
      <w:r w:rsidR="398E643E" w:rsidRPr="60250303">
        <w:rPr>
          <w:color w:val="auto"/>
        </w:rPr>
        <w:t>-</w:t>
      </w:r>
      <w:r w:rsidR="00B85332">
        <w:rPr>
          <w:color w:val="auto"/>
        </w:rPr>
        <w:t xml:space="preserve">24 </w:t>
      </w:r>
      <w:r w:rsidR="001158A7">
        <w:rPr>
          <w:color w:val="auto"/>
        </w:rPr>
        <w:t>budget</w:t>
      </w:r>
      <w:r w:rsidR="7E612677" w:rsidRPr="07195704">
        <w:rPr>
          <w:color w:val="auto"/>
        </w:rPr>
        <w:t xml:space="preserve"> </w:t>
      </w:r>
      <w:r w:rsidR="00B85332">
        <w:rPr>
          <w:color w:val="auto"/>
        </w:rPr>
        <w:t>on</w:t>
      </w:r>
      <w:r w:rsidR="7E612677" w:rsidRPr="07195704">
        <w:rPr>
          <w:color w:val="auto"/>
        </w:rPr>
        <w:t xml:space="preserve"> Micro, Small and Medium sized enterprises (MSMEs), highlighting </w:t>
      </w:r>
      <w:r w:rsidR="00B85332">
        <w:rPr>
          <w:color w:val="auto"/>
        </w:rPr>
        <w:t>our</w:t>
      </w:r>
      <w:r w:rsidR="7E612677" w:rsidRPr="07195704">
        <w:rPr>
          <w:color w:val="auto"/>
        </w:rPr>
        <w:t xml:space="preserve"> commitment to support the Building a Fairer City (BFC) plan and ensuring supplier diversity</w:t>
      </w:r>
    </w:p>
    <w:p w14:paraId="1CC47C88" w14:textId="294084D4" w:rsidR="00E33949" w:rsidRPr="00E33949" w:rsidRDefault="2321CDCF" w:rsidP="003B6A3E">
      <w:pPr>
        <w:pStyle w:val="LONBodyTextNumbered"/>
        <w:keepLines/>
        <w:numPr>
          <w:ilvl w:val="0"/>
          <w:numId w:val="30"/>
        </w:numPr>
        <w:spacing w:after="0" w:line="276" w:lineRule="auto"/>
        <w:jc w:val="both"/>
        <w:rPr>
          <w:color w:val="auto"/>
        </w:rPr>
      </w:pPr>
      <w:r w:rsidRPr="36A56128">
        <w:rPr>
          <w:color w:val="auto"/>
        </w:rPr>
        <w:t>c</w:t>
      </w:r>
      <w:r w:rsidR="601F092A" w:rsidRPr="36A56128">
        <w:rPr>
          <w:color w:val="auto"/>
        </w:rPr>
        <w:t>hampion</w:t>
      </w:r>
      <w:r w:rsidR="12C6C3D7" w:rsidRPr="36A56128">
        <w:rPr>
          <w:color w:val="auto"/>
        </w:rPr>
        <w:t>ing</w:t>
      </w:r>
      <w:r w:rsidR="7E612677" w:rsidRPr="07195704">
        <w:rPr>
          <w:color w:val="auto"/>
        </w:rPr>
        <w:t xml:space="preserve"> diversity and </w:t>
      </w:r>
      <w:r w:rsidR="601F092A" w:rsidRPr="36A56128">
        <w:rPr>
          <w:color w:val="auto"/>
        </w:rPr>
        <w:t>creat</w:t>
      </w:r>
      <w:r w:rsidR="4BBD967F" w:rsidRPr="36A56128">
        <w:rPr>
          <w:color w:val="auto"/>
        </w:rPr>
        <w:t>ing</w:t>
      </w:r>
      <w:r w:rsidR="7E612677" w:rsidRPr="07195704">
        <w:rPr>
          <w:color w:val="auto"/>
        </w:rPr>
        <w:t xml:space="preserve"> opportunities for some of London’s most deprived communities,</w:t>
      </w:r>
      <w:r w:rsidR="2F4256A9" w:rsidRPr="07195704">
        <w:rPr>
          <w:color w:val="auto"/>
        </w:rPr>
        <w:t xml:space="preserve"> </w:t>
      </w:r>
      <w:r w:rsidR="7E612677" w:rsidRPr="07195704">
        <w:rPr>
          <w:color w:val="auto"/>
        </w:rPr>
        <w:t>provid</w:t>
      </w:r>
      <w:r w:rsidR="2F4256A9" w:rsidRPr="07195704">
        <w:rPr>
          <w:color w:val="auto"/>
        </w:rPr>
        <w:t>ing</w:t>
      </w:r>
      <w:r w:rsidR="7E612677" w:rsidRPr="07195704">
        <w:rPr>
          <w:color w:val="auto"/>
        </w:rPr>
        <w:t xml:space="preserve"> funding and support to community-led projects including foodbanks, and culture, </w:t>
      </w:r>
      <w:proofErr w:type="gramStart"/>
      <w:r w:rsidR="7E612677" w:rsidRPr="07195704">
        <w:rPr>
          <w:color w:val="auto"/>
        </w:rPr>
        <w:t>art</w:t>
      </w:r>
      <w:proofErr w:type="gramEnd"/>
      <w:r w:rsidR="7E612677" w:rsidRPr="07195704">
        <w:rPr>
          <w:color w:val="auto"/>
        </w:rPr>
        <w:t xml:space="preserve"> and heritage projects, reaching over 45,000 beneficiaries from West London</w:t>
      </w:r>
      <w:r w:rsidR="32A162AE" w:rsidRPr="07195704">
        <w:rPr>
          <w:color w:val="auto"/>
        </w:rPr>
        <w:t xml:space="preserve"> </w:t>
      </w:r>
    </w:p>
    <w:p w14:paraId="0BA2B142" w14:textId="2B34879E" w:rsidR="00E33949" w:rsidRPr="00E33949" w:rsidRDefault="11E8433A" w:rsidP="003B6A3E">
      <w:pPr>
        <w:pStyle w:val="LONBodyTextNumbered"/>
        <w:keepLines/>
        <w:numPr>
          <w:ilvl w:val="0"/>
          <w:numId w:val="30"/>
        </w:numPr>
        <w:spacing w:after="0" w:line="276" w:lineRule="auto"/>
        <w:jc w:val="both"/>
        <w:rPr>
          <w:color w:val="auto"/>
        </w:rPr>
      </w:pPr>
      <w:r w:rsidRPr="36A56128">
        <w:rPr>
          <w:color w:val="auto"/>
        </w:rPr>
        <w:t>helping</w:t>
      </w:r>
      <w:r w:rsidR="0E2A1B1F" w:rsidRPr="07195704">
        <w:rPr>
          <w:color w:val="auto"/>
        </w:rPr>
        <w:t xml:space="preserve"> 2</w:t>
      </w:r>
      <w:r w:rsidR="00A6771D">
        <w:rPr>
          <w:color w:val="auto"/>
        </w:rPr>
        <w:t>43</w:t>
      </w:r>
      <w:r w:rsidR="0E2A1B1F" w:rsidRPr="07195704">
        <w:rPr>
          <w:color w:val="auto"/>
        </w:rPr>
        <w:t xml:space="preserve"> </w:t>
      </w:r>
      <w:proofErr w:type="gramStart"/>
      <w:r w:rsidR="0E2A1B1F" w:rsidRPr="07195704">
        <w:rPr>
          <w:color w:val="auto"/>
        </w:rPr>
        <w:t xml:space="preserve">local </w:t>
      </w:r>
      <w:r w:rsidR="2442D3AC" w:rsidRPr="07195704">
        <w:rPr>
          <w:color w:val="auto"/>
        </w:rPr>
        <w:t>residents</w:t>
      </w:r>
      <w:proofErr w:type="gramEnd"/>
      <w:r w:rsidR="0E2A1B1F" w:rsidRPr="07195704">
        <w:rPr>
          <w:color w:val="auto"/>
        </w:rPr>
        <w:t xml:space="preserve"> into work in the OPDC area through the </w:t>
      </w:r>
      <w:proofErr w:type="spellStart"/>
      <w:r w:rsidR="0E2A1B1F" w:rsidRPr="07195704">
        <w:rPr>
          <w:color w:val="auto"/>
        </w:rPr>
        <w:t>Forge@Park</w:t>
      </w:r>
      <w:proofErr w:type="spellEnd"/>
      <w:r w:rsidR="0E2A1B1F" w:rsidRPr="07195704">
        <w:rPr>
          <w:color w:val="auto"/>
        </w:rPr>
        <w:t xml:space="preserve"> </w:t>
      </w:r>
      <w:r w:rsidR="343A335E" w:rsidRPr="07195704">
        <w:rPr>
          <w:color w:val="auto"/>
        </w:rPr>
        <w:t>Royal</w:t>
      </w:r>
      <w:r w:rsidR="4D79A0CC" w:rsidRPr="07195704">
        <w:rPr>
          <w:color w:val="auto"/>
        </w:rPr>
        <w:t xml:space="preserve">, </w:t>
      </w:r>
      <w:r w:rsidR="7B6E0B00" w:rsidRPr="07195704">
        <w:rPr>
          <w:color w:val="auto"/>
        </w:rPr>
        <w:t>with over</w:t>
      </w:r>
      <w:r w:rsidR="4D79A0CC" w:rsidRPr="07195704">
        <w:rPr>
          <w:color w:val="auto"/>
        </w:rPr>
        <w:t xml:space="preserve"> 6</w:t>
      </w:r>
      <w:r w:rsidR="005C6B51">
        <w:rPr>
          <w:color w:val="auto"/>
        </w:rPr>
        <w:t>3</w:t>
      </w:r>
      <w:r w:rsidR="4D79A0CC" w:rsidRPr="07195704">
        <w:rPr>
          <w:color w:val="auto"/>
        </w:rPr>
        <w:t xml:space="preserve"> per cent from </w:t>
      </w:r>
      <w:r w:rsidR="00B204F0">
        <w:rPr>
          <w:color w:val="auto"/>
        </w:rPr>
        <w:t xml:space="preserve">women, </w:t>
      </w:r>
      <w:r w:rsidR="002B5441">
        <w:rPr>
          <w:color w:val="auto"/>
        </w:rPr>
        <w:t>an</w:t>
      </w:r>
      <w:r w:rsidR="00B204F0">
        <w:rPr>
          <w:color w:val="auto"/>
        </w:rPr>
        <w:t xml:space="preserve"> ethnicity</w:t>
      </w:r>
      <w:r w:rsidR="4D79A0CC" w:rsidRPr="07195704">
        <w:rPr>
          <w:color w:val="auto"/>
        </w:rPr>
        <w:t xml:space="preserve"> background</w:t>
      </w:r>
      <w:r w:rsidR="00B670E3">
        <w:rPr>
          <w:color w:val="auto"/>
        </w:rPr>
        <w:t xml:space="preserve"> and declared disability</w:t>
      </w:r>
    </w:p>
    <w:p w14:paraId="59752986" w14:textId="194380A2" w:rsidR="00E33949" w:rsidRDefault="6826D7F4" w:rsidP="003B6A3E">
      <w:pPr>
        <w:pStyle w:val="LONBodyTextNumbered"/>
        <w:keepLines/>
        <w:numPr>
          <w:ilvl w:val="0"/>
          <w:numId w:val="30"/>
        </w:numPr>
        <w:spacing w:after="0" w:line="276" w:lineRule="auto"/>
        <w:jc w:val="both"/>
        <w:rPr>
          <w:color w:val="auto"/>
        </w:rPr>
      </w:pPr>
      <w:r w:rsidRPr="36A56128">
        <w:rPr>
          <w:color w:val="auto"/>
        </w:rPr>
        <w:t>increasing</w:t>
      </w:r>
      <w:r w:rsidR="1D8431E7" w:rsidRPr="07195704">
        <w:rPr>
          <w:color w:val="auto"/>
        </w:rPr>
        <w:t xml:space="preserve"> </w:t>
      </w:r>
      <w:r w:rsidR="2BBCF421" w:rsidRPr="07195704">
        <w:rPr>
          <w:color w:val="auto"/>
        </w:rPr>
        <w:t xml:space="preserve">our </w:t>
      </w:r>
      <w:r w:rsidR="1D8431E7" w:rsidRPr="07195704">
        <w:rPr>
          <w:color w:val="auto"/>
        </w:rPr>
        <w:t xml:space="preserve">engagement </w:t>
      </w:r>
      <w:r w:rsidR="7F91C2D7" w:rsidRPr="07195704">
        <w:rPr>
          <w:color w:val="auto"/>
        </w:rPr>
        <w:t xml:space="preserve">activities </w:t>
      </w:r>
      <w:r w:rsidR="1D8431E7" w:rsidRPr="07195704">
        <w:rPr>
          <w:color w:val="auto"/>
        </w:rPr>
        <w:t xml:space="preserve">with community members from </w:t>
      </w:r>
      <w:r w:rsidR="00490130">
        <w:rPr>
          <w:color w:val="auto"/>
        </w:rPr>
        <w:t>diverse</w:t>
      </w:r>
      <w:r w:rsidR="37704585" w:rsidRPr="36A56128">
        <w:rPr>
          <w:color w:val="auto"/>
        </w:rPr>
        <w:t xml:space="preserve"> background</w:t>
      </w:r>
      <w:r w:rsidR="00490130">
        <w:rPr>
          <w:color w:val="auto"/>
        </w:rPr>
        <w:t>s</w:t>
      </w:r>
      <w:r w:rsidR="1D8431E7" w:rsidRPr="07195704">
        <w:rPr>
          <w:color w:val="auto"/>
        </w:rPr>
        <w:t xml:space="preserve"> by 44 per cent</w:t>
      </w:r>
      <w:r w:rsidR="251F6368" w:rsidRPr="36A56128">
        <w:rPr>
          <w:color w:val="auto"/>
        </w:rPr>
        <w:t xml:space="preserve"> </w:t>
      </w:r>
    </w:p>
    <w:p w14:paraId="5453BE02" w14:textId="20249D41" w:rsidR="001D186B" w:rsidRDefault="00900D42" w:rsidP="003B6A3E">
      <w:pPr>
        <w:pStyle w:val="LONBodyTextNumbered"/>
        <w:keepLines/>
        <w:numPr>
          <w:ilvl w:val="0"/>
          <w:numId w:val="30"/>
        </w:numPr>
        <w:spacing w:after="0" w:line="276" w:lineRule="auto"/>
        <w:jc w:val="both"/>
        <w:rPr>
          <w:color w:val="auto"/>
        </w:rPr>
      </w:pPr>
      <w:r>
        <w:rPr>
          <w:color w:val="auto"/>
        </w:rPr>
        <w:t>industry recognition</w:t>
      </w:r>
      <w:r w:rsidR="00AB497E">
        <w:rPr>
          <w:color w:val="auto"/>
        </w:rPr>
        <w:t>, receiving</w:t>
      </w:r>
      <w:r w:rsidR="6F0A9900" w:rsidRPr="07195704">
        <w:rPr>
          <w:color w:val="auto"/>
        </w:rPr>
        <w:t xml:space="preserve"> the </w:t>
      </w:r>
      <w:r w:rsidR="588E255F" w:rsidRPr="07195704">
        <w:rPr>
          <w:color w:val="auto"/>
        </w:rPr>
        <w:t xml:space="preserve">Stonewall Workplace Equality Index </w:t>
      </w:r>
      <w:r w:rsidR="6F0A9900" w:rsidRPr="07195704">
        <w:rPr>
          <w:color w:val="auto"/>
        </w:rPr>
        <w:t xml:space="preserve">gold award </w:t>
      </w:r>
      <w:r w:rsidR="588E255F" w:rsidRPr="07195704">
        <w:rPr>
          <w:color w:val="auto"/>
        </w:rPr>
        <w:t xml:space="preserve">for </w:t>
      </w:r>
      <w:r w:rsidR="18CDF693" w:rsidRPr="07195704">
        <w:rPr>
          <w:color w:val="auto"/>
        </w:rPr>
        <w:t xml:space="preserve">our </w:t>
      </w:r>
      <w:r w:rsidR="5B5FB078" w:rsidRPr="07195704">
        <w:rPr>
          <w:color w:val="auto"/>
        </w:rPr>
        <w:t>achievements and progress on LGBTQ+ inclusion in the workplace</w:t>
      </w:r>
      <w:r w:rsidR="77C82CD8" w:rsidRPr="07195704">
        <w:rPr>
          <w:color w:val="auto"/>
        </w:rPr>
        <w:t xml:space="preserve"> </w:t>
      </w:r>
      <w:r w:rsidR="00AB497E">
        <w:rPr>
          <w:color w:val="auto"/>
        </w:rPr>
        <w:t>- ranking</w:t>
      </w:r>
      <w:r w:rsidR="486F7920" w:rsidRPr="07195704">
        <w:rPr>
          <w:color w:val="auto"/>
        </w:rPr>
        <w:t xml:space="preserve"> </w:t>
      </w:r>
      <w:r w:rsidR="23B18A7E" w:rsidRPr="07195704">
        <w:rPr>
          <w:color w:val="auto"/>
        </w:rPr>
        <w:t>49</w:t>
      </w:r>
      <w:r w:rsidR="23B18A7E" w:rsidRPr="07195704">
        <w:rPr>
          <w:color w:val="auto"/>
          <w:vertAlign w:val="superscript"/>
        </w:rPr>
        <w:t>th</w:t>
      </w:r>
      <w:r w:rsidR="16646F79" w:rsidRPr="07195704">
        <w:rPr>
          <w:color w:val="auto"/>
        </w:rPr>
        <w:t xml:space="preserve"> </w:t>
      </w:r>
      <w:r w:rsidR="00AB497E">
        <w:rPr>
          <w:color w:val="auto"/>
        </w:rPr>
        <w:t>i</w:t>
      </w:r>
      <w:r w:rsidR="585E6D97" w:rsidRPr="36A56128">
        <w:rPr>
          <w:color w:val="auto"/>
        </w:rPr>
        <w:t>n</w:t>
      </w:r>
      <w:r w:rsidR="16646F79" w:rsidRPr="07195704">
        <w:rPr>
          <w:color w:val="auto"/>
        </w:rPr>
        <w:t xml:space="preserve"> the</w:t>
      </w:r>
      <w:r w:rsidR="77FFF7E4" w:rsidRPr="07195704">
        <w:rPr>
          <w:color w:val="auto"/>
        </w:rPr>
        <w:t xml:space="preserve"> </w:t>
      </w:r>
      <w:r w:rsidR="16646F79" w:rsidRPr="07195704">
        <w:rPr>
          <w:color w:val="auto"/>
        </w:rPr>
        <w:t xml:space="preserve">top 100 employer list. </w:t>
      </w:r>
    </w:p>
    <w:p w14:paraId="39B7D801" w14:textId="64FD2EDD" w:rsidR="00607202" w:rsidRDefault="00AB497E" w:rsidP="003B6A3E">
      <w:pPr>
        <w:pStyle w:val="LONBodyTextNumbered"/>
        <w:keepLines/>
        <w:numPr>
          <w:ilvl w:val="0"/>
          <w:numId w:val="38"/>
        </w:numPr>
        <w:spacing w:before="240" w:line="276" w:lineRule="auto"/>
        <w:rPr>
          <w:color w:val="auto"/>
        </w:rPr>
      </w:pPr>
      <w:r w:rsidRPr="48E0C549">
        <w:rPr>
          <w:color w:val="auto"/>
        </w:rPr>
        <w:t xml:space="preserve">To build on these achievements, we will </w:t>
      </w:r>
      <w:r w:rsidR="0097782D" w:rsidRPr="48E0C549">
        <w:rPr>
          <w:color w:val="auto"/>
        </w:rPr>
        <w:t>undertake the following activities across 2025</w:t>
      </w:r>
      <w:r w:rsidR="62E775B6" w:rsidRPr="48E0C549">
        <w:rPr>
          <w:color w:val="auto"/>
        </w:rPr>
        <w:t>-</w:t>
      </w:r>
      <w:r w:rsidR="0097782D" w:rsidRPr="48E0C549">
        <w:rPr>
          <w:color w:val="auto"/>
        </w:rPr>
        <w:t>26</w:t>
      </w:r>
      <w:r w:rsidR="44BA539A" w:rsidRPr="48E0C549">
        <w:rPr>
          <w:color w:val="auto"/>
        </w:rPr>
        <w:t xml:space="preserve">: </w:t>
      </w:r>
    </w:p>
    <w:p w14:paraId="5CE67F8B" w14:textId="77777777" w:rsidR="00607202" w:rsidRDefault="44BA539A" w:rsidP="004116FF">
      <w:pPr>
        <w:pStyle w:val="LONBodyTextNumbered"/>
        <w:keepLines/>
        <w:spacing w:after="0" w:line="276" w:lineRule="auto"/>
        <w:ind w:left="680"/>
        <w:rPr>
          <w:b/>
          <w:bCs/>
          <w:color w:val="auto"/>
        </w:rPr>
      </w:pPr>
      <w:r w:rsidRPr="49996C8F">
        <w:rPr>
          <w:b/>
          <w:bCs/>
          <w:color w:val="auto"/>
        </w:rPr>
        <w:t xml:space="preserve">Internally focused </w:t>
      </w:r>
    </w:p>
    <w:p w14:paraId="11B7E7E4" w14:textId="6233C789" w:rsidR="00607202" w:rsidRPr="000A298D" w:rsidRDefault="542E0C65" w:rsidP="003B6A3E">
      <w:pPr>
        <w:pStyle w:val="LONBodyTextNumbered"/>
        <w:keepLines/>
        <w:numPr>
          <w:ilvl w:val="0"/>
          <w:numId w:val="27"/>
        </w:numPr>
        <w:spacing w:after="0" w:line="276" w:lineRule="auto"/>
        <w:rPr>
          <w:color w:val="auto"/>
        </w:rPr>
      </w:pPr>
      <w:r w:rsidRPr="36A56128">
        <w:rPr>
          <w:color w:val="auto"/>
        </w:rPr>
        <w:t xml:space="preserve">conduct </w:t>
      </w:r>
      <w:r w:rsidR="7E6F10BE" w:rsidRPr="36A56128">
        <w:rPr>
          <w:color w:val="auto"/>
        </w:rPr>
        <w:t>an</w:t>
      </w:r>
      <w:r w:rsidR="08719F92" w:rsidRPr="07195704">
        <w:rPr>
          <w:color w:val="auto"/>
        </w:rPr>
        <w:t xml:space="preserve"> employee survey </w:t>
      </w:r>
      <w:r w:rsidR="001B09C7">
        <w:rPr>
          <w:color w:val="auto"/>
        </w:rPr>
        <w:t>to collect sentiment data and feedback on our work around EDI</w:t>
      </w:r>
      <w:r w:rsidR="5691232F" w:rsidRPr="07195704">
        <w:rPr>
          <w:color w:val="auto"/>
        </w:rPr>
        <w:t xml:space="preserve"> in </w:t>
      </w:r>
      <w:r w:rsidR="00524E5C">
        <w:rPr>
          <w:color w:val="auto"/>
        </w:rPr>
        <w:t xml:space="preserve">the workplace </w:t>
      </w:r>
    </w:p>
    <w:p w14:paraId="5747DAFC" w14:textId="548BE16C" w:rsidR="00607202" w:rsidRDefault="002D7414" w:rsidP="003B6A3E">
      <w:pPr>
        <w:pStyle w:val="LONBodyTextNumbered"/>
        <w:keepLines/>
        <w:numPr>
          <w:ilvl w:val="0"/>
          <w:numId w:val="27"/>
        </w:numPr>
        <w:spacing w:after="0" w:line="276" w:lineRule="auto"/>
        <w:rPr>
          <w:color w:val="auto"/>
        </w:rPr>
      </w:pPr>
      <w:r>
        <w:rPr>
          <w:color w:val="auto"/>
        </w:rPr>
        <w:t>e</w:t>
      </w:r>
      <w:r w:rsidR="72503B2C" w:rsidRPr="49996C8F">
        <w:rPr>
          <w:color w:val="auto"/>
        </w:rPr>
        <w:t>mbed inclusive behaviours</w:t>
      </w:r>
      <w:r w:rsidR="34AB706A" w:rsidRPr="49996C8F">
        <w:rPr>
          <w:color w:val="auto"/>
        </w:rPr>
        <w:t xml:space="preserve"> </w:t>
      </w:r>
      <w:r w:rsidR="07EBA7FD" w:rsidRPr="49996C8F">
        <w:rPr>
          <w:color w:val="auto"/>
        </w:rPr>
        <w:t xml:space="preserve">with </w:t>
      </w:r>
      <w:r w:rsidR="72503B2C" w:rsidRPr="49996C8F">
        <w:rPr>
          <w:color w:val="auto"/>
        </w:rPr>
        <w:t>leadership commitment</w:t>
      </w:r>
      <w:r w:rsidR="68C38790" w:rsidRPr="49996C8F">
        <w:rPr>
          <w:color w:val="auto"/>
        </w:rPr>
        <w:t xml:space="preserve">, reinforcing </w:t>
      </w:r>
      <w:r w:rsidR="7DC24367" w:rsidRPr="49996C8F">
        <w:rPr>
          <w:color w:val="auto"/>
        </w:rPr>
        <w:t>their</w:t>
      </w:r>
      <w:r w:rsidR="68C38790" w:rsidRPr="49996C8F">
        <w:rPr>
          <w:color w:val="auto"/>
        </w:rPr>
        <w:t xml:space="preserve"> values through internal and exter</w:t>
      </w:r>
      <w:r w:rsidR="530B0B07" w:rsidRPr="49996C8F">
        <w:rPr>
          <w:color w:val="auto"/>
        </w:rPr>
        <w:t>nal communication</w:t>
      </w:r>
    </w:p>
    <w:p w14:paraId="11C552D5" w14:textId="72726F44" w:rsidR="73B7E59B" w:rsidRDefault="10998AC2" w:rsidP="003B6A3E">
      <w:pPr>
        <w:pStyle w:val="LONBodyTextNumbered"/>
        <w:keepLines/>
        <w:numPr>
          <w:ilvl w:val="0"/>
          <w:numId w:val="27"/>
        </w:numPr>
        <w:spacing w:after="0" w:line="276" w:lineRule="auto"/>
        <w:rPr>
          <w:color w:val="auto"/>
        </w:rPr>
      </w:pPr>
      <w:r w:rsidRPr="36A56128">
        <w:rPr>
          <w:color w:val="auto"/>
        </w:rPr>
        <w:t>r</w:t>
      </w:r>
      <w:r w:rsidR="18F2054D" w:rsidRPr="36A56128">
        <w:rPr>
          <w:color w:val="auto"/>
        </w:rPr>
        <w:t>oll</w:t>
      </w:r>
      <w:r w:rsidR="0A2C2834" w:rsidRPr="36A56128">
        <w:rPr>
          <w:color w:val="auto"/>
        </w:rPr>
        <w:t xml:space="preserve"> </w:t>
      </w:r>
      <w:r w:rsidR="18F2054D" w:rsidRPr="36A56128">
        <w:rPr>
          <w:color w:val="auto"/>
        </w:rPr>
        <w:t>out</w:t>
      </w:r>
      <w:r w:rsidR="65B60F96" w:rsidRPr="36A56128">
        <w:rPr>
          <w:color w:val="auto"/>
        </w:rPr>
        <w:t xml:space="preserve"> </w:t>
      </w:r>
      <w:r w:rsidR="00AE30BD">
        <w:rPr>
          <w:color w:val="auto"/>
        </w:rPr>
        <w:t>both mandatory and voluntary</w:t>
      </w:r>
      <w:r w:rsidR="65B187DA" w:rsidRPr="07195704">
        <w:rPr>
          <w:color w:val="auto"/>
        </w:rPr>
        <w:t xml:space="preserve"> </w:t>
      </w:r>
      <w:r w:rsidR="5F3F7BAC" w:rsidRPr="07195704">
        <w:rPr>
          <w:color w:val="auto"/>
        </w:rPr>
        <w:t xml:space="preserve">EDI training </w:t>
      </w:r>
      <w:r w:rsidR="37D48EEF" w:rsidRPr="07195704">
        <w:rPr>
          <w:color w:val="auto"/>
        </w:rPr>
        <w:t xml:space="preserve">to </w:t>
      </w:r>
      <w:r w:rsidR="00AE30BD">
        <w:rPr>
          <w:color w:val="auto"/>
        </w:rPr>
        <w:t>upskill employees to lead the way in best</w:t>
      </w:r>
      <w:r w:rsidR="00B704F4">
        <w:rPr>
          <w:color w:val="auto"/>
        </w:rPr>
        <w:t>-</w:t>
      </w:r>
      <w:r w:rsidR="00AE30BD">
        <w:rPr>
          <w:color w:val="auto"/>
        </w:rPr>
        <w:t>practice EDI behaviours</w:t>
      </w:r>
    </w:p>
    <w:p w14:paraId="1B1ECFBF" w14:textId="00073C19" w:rsidR="4F191DDD" w:rsidRPr="004116FF" w:rsidRDefault="002D7414" w:rsidP="003B6A3E">
      <w:pPr>
        <w:pStyle w:val="LONBodyTextNumbered"/>
        <w:keepLines/>
        <w:numPr>
          <w:ilvl w:val="0"/>
          <w:numId w:val="27"/>
        </w:numPr>
        <w:spacing w:after="0" w:line="276" w:lineRule="auto"/>
        <w:rPr>
          <w:color w:val="auto"/>
        </w:rPr>
      </w:pPr>
      <w:r>
        <w:rPr>
          <w:color w:val="auto"/>
        </w:rPr>
        <w:t>c</w:t>
      </w:r>
      <w:r w:rsidR="1077BB42" w:rsidRPr="23D8A931">
        <w:rPr>
          <w:color w:val="auto"/>
        </w:rPr>
        <w:t>ontinu</w:t>
      </w:r>
      <w:r w:rsidR="00B704F4">
        <w:rPr>
          <w:color w:val="auto"/>
        </w:rPr>
        <w:t>e</w:t>
      </w:r>
      <w:r w:rsidR="44BA539A" w:rsidRPr="23D8A931">
        <w:rPr>
          <w:color w:val="auto"/>
        </w:rPr>
        <w:t xml:space="preserve"> to embed and track inclusive recruitment</w:t>
      </w:r>
      <w:r w:rsidR="4C95533D" w:rsidRPr="23D8A931">
        <w:rPr>
          <w:color w:val="auto"/>
        </w:rPr>
        <w:t>.</w:t>
      </w:r>
    </w:p>
    <w:p w14:paraId="00F77456" w14:textId="27268C43" w:rsidR="00607202" w:rsidRDefault="589F16E6" w:rsidP="004116FF">
      <w:pPr>
        <w:pStyle w:val="LONBodyTextNumbered"/>
        <w:keepLines/>
        <w:spacing w:before="240" w:after="0" w:line="276" w:lineRule="auto"/>
        <w:ind w:left="680"/>
        <w:rPr>
          <w:b/>
          <w:bCs/>
          <w:color w:val="auto"/>
        </w:rPr>
      </w:pPr>
      <w:r w:rsidRPr="23D8A931">
        <w:rPr>
          <w:b/>
          <w:bCs/>
          <w:color w:val="auto"/>
        </w:rPr>
        <w:t>E</w:t>
      </w:r>
      <w:r w:rsidR="44BA539A" w:rsidRPr="23D8A931">
        <w:rPr>
          <w:b/>
          <w:bCs/>
          <w:color w:val="auto"/>
        </w:rPr>
        <w:t>xternally focused</w:t>
      </w:r>
    </w:p>
    <w:p w14:paraId="57379EBC" w14:textId="2026C0EA" w:rsidR="00C53074" w:rsidRDefault="00251AA3" w:rsidP="003B6A3E">
      <w:pPr>
        <w:pStyle w:val="ListParagraph"/>
        <w:numPr>
          <w:ilvl w:val="0"/>
          <w:numId w:val="40"/>
        </w:numPr>
        <w:rPr>
          <w:color w:val="auto"/>
        </w:rPr>
      </w:pPr>
      <w:r w:rsidRPr="36A56128">
        <w:rPr>
          <w:color w:val="auto"/>
        </w:rPr>
        <w:t>s</w:t>
      </w:r>
      <w:r w:rsidR="37A58C79" w:rsidRPr="36A56128">
        <w:rPr>
          <w:color w:val="auto"/>
        </w:rPr>
        <w:t xml:space="preserve">et up </w:t>
      </w:r>
      <w:r w:rsidR="372955D8" w:rsidRPr="36A56128">
        <w:rPr>
          <w:color w:val="auto"/>
        </w:rPr>
        <w:t>a youth panel</w:t>
      </w:r>
      <w:r w:rsidR="000B662E">
        <w:rPr>
          <w:color w:val="auto"/>
        </w:rPr>
        <w:t xml:space="preserve"> made up of a diverse range of young people in our area to feed into and influence </w:t>
      </w:r>
      <w:r w:rsidR="00E97E2E">
        <w:rPr>
          <w:color w:val="auto"/>
        </w:rPr>
        <w:t>our plans and projects</w:t>
      </w:r>
      <w:r w:rsidR="372955D8" w:rsidRPr="36A56128">
        <w:rPr>
          <w:color w:val="auto"/>
        </w:rPr>
        <w:t xml:space="preserve">, in line with the Mayor of London’s </w:t>
      </w:r>
      <w:r w:rsidR="009B0ACE">
        <w:rPr>
          <w:color w:val="auto"/>
        </w:rPr>
        <w:t xml:space="preserve">commitment to empowering young Londoners </w:t>
      </w:r>
      <w:r w:rsidR="7E3D90DC" w:rsidRPr="36A56128">
        <w:rPr>
          <w:color w:val="auto"/>
        </w:rPr>
        <w:t xml:space="preserve"> </w:t>
      </w:r>
    </w:p>
    <w:p w14:paraId="0A9CAA4A" w14:textId="09C3A767" w:rsidR="00C53074" w:rsidRPr="00C53074" w:rsidRDefault="372955D8" w:rsidP="003B6A3E">
      <w:pPr>
        <w:pStyle w:val="ListParagraph"/>
        <w:numPr>
          <w:ilvl w:val="0"/>
          <w:numId w:val="40"/>
        </w:numPr>
        <w:rPr>
          <w:color w:val="auto"/>
        </w:rPr>
      </w:pPr>
      <w:r w:rsidRPr="36A56128">
        <w:rPr>
          <w:color w:val="auto"/>
        </w:rPr>
        <w:t>incorporat</w:t>
      </w:r>
      <w:r>
        <w:rPr>
          <w:color w:val="auto"/>
        </w:rPr>
        <w:t>e</w:t>
      </w:r>
      <w:r w:rsidRPr="36A56128">
        <w:rPr>
          <w:color w:val="auto"/>
        </w:rPr>
        <w:t xml:space="preserve"> EDI objectives into the criteria for all procurements including </w:t>
      </w:r>
      <w:r w:rsidR="009B0ACE">
        <w:rPr>
          <w:color w:val="auto"/>
        </w:rPr>
        <w:t>for our</w:t>
      </w:r>
      <w:r w:rsidR="73FFC22C" w:rsidRPr="36A56128">
        <w:rPr>
          <w:color w:val="auto"/>
        </w:rPr>
        <w:t xml:space="preserve"> </w:t>
      </w:r>
      <w:r w:rsidRPr="36A56128">
        <w:rPr>
          <w:color w:val="auto"/>
        </w:rPr>
        <w:t xml:space="preserve">development </w:t>
      </w:r>
      <w:r w:rsidR="73FFC22C" w:rsidRPr="36A56128">
        <w:rPr>
          <w:color w:val="auto"/>
        </w:rPr>
        <w:t>partner</w:t>
      </w:r>
      <w:r w:rsidR="009B0ACE">
        <w:rPr>
          <w:color w:val="auto"/>
        </w:rPr>
        <w:t>/</w:t>
      </w:r>
      <w:r w:rsidR="73FFC22C" w:rsidRPr="36A56128">
        <w:rPr>
          <w:color w:val="auto"/>
        </w:rPr>
        <w:t>s</w:t>
      </w:r>
    </w:p>
    <w:p w14:paraId="373D847E" w14:textId="31F9DE74" w:rsidR="00C53074" w:rsidRPr="00C53074" w:rsidRDefault="00C53074" w:rsidP="003B6A3E">
      <w:pPr>
        <w:pStyle w:val="ListParagraph"/>
        <w:numPr>
          <w:ilvl w:val="0"/>
          <w:numId w:val="40"/>
        </w:numPr>
        <w:rPr>
          <w:color w:val="auto"/>
        </w:rPr>
      </w:pPr>
      <w:r w:rsidRPr="36A56128">
        <w:rPr>
          <w:color w:val="auto"/>
        </w:rPr>
        <w:t>implement changes stemming from the new Procurement Act which places a greater focus on social value outcomes</w:t>
      </w:r>
    </w:p>
    <w:p w14:paraId="4E10A4AC" w14:textId="396515BF" w:rsidR="00C53074" w:rsidRDefault="00251AA3" w:rsidP="003B6A3E">
      <w:pPr>
        <w:pStyle w:val="ListParagraph"/>
        <w:numPr>
          <w:ilvl w:val="0"/>
          <w:numId w:val="40"/>
        </w:numPr>
        <w:rPr>
          <w:color w:val="auto"/>
        </w:rPr>
      </w:pPr>
      <w:r w:rsidRPr="36A56128">
        <w:rPr>
          <w:color w:val="auto"/>
        </w:rPr>
        <w:lastRenderedPageBreak/>
        <w:t>l</w:t>
      </w:r>
      <w:r w:rsidR="372955D8" w:rsidRPr="36A56128">
        <w:rPr>
          <w:color w:val="auto"/>
        </w:rPr>
        <w:t xml:space="preserve">aunch </w:t>
      </w:r>
      <w:r w:rsidR="009B0ACE">
        <w:rPr>
          <w:color w:val="auto"/>
        </w:rPr>
        <w:t>our</w:t>
      </w:r>
      <w:r w:rsidR="38CCB5F9" w:rsidRPr="36A56128">
        <w:rPr>
          <w:color w:val="auto"/>
        </w:rPr>
        <w:t xml:space="preserve"> </w:t>
      </w:r>
      <w:r w:rsidR="372955D8" w:rsidRPr="36A56128">
        <w:rPr>
          <w:color w:val="auto"/>
        </w:rPr>
        <w:t xml:space="preserve">Ideas Book </w:t>
      </w:r>
      <w:r w:rsidR="38CCB5F9" w:rsidRPr="36A56128">
        <w:rPr>
          <w:color w:val="auto"/>
        </w:rPr>
        <w:t xml:space="preserve">for Old Oak </w:t>
      </w:r>
      <w:r w:rsidR="73FFC22C" w:rsidRPr="36A56128">
        <w:rPr>
          <w:color w:val="auto"/>
        </w:rPr>
        <w:t>celebrati</w:t>
      </w:r>
      <w:r w:rsidR="00AA4CD7">
        <w:rPr>
          <w:color w:val="auto"/>
        </w:rPr>
        <w:t>ng</w:t>
      </w:r>
      <w:r w:rsidR="372955D8" w:rsidRPr="36A56128">
        <w:rPr>
          <w:color w:val="auto"/>
        </w:rPr>
        <w:t xml:space="preserve"> the </w:t>
      </w:r>
      <w:r w:rsidR="38CCB5F9" w:rsidRPr="36A56128">
        <w:rPr>
          <w:color w:val="auto"/>
        </w:rPr>
        <w:t>diverse communities who have shaped our regeneration plans</w:t>
      </w:r>
      <w:r w:rsidR="372955D8" w:rsidRPr="36A56128">
        <w:rPr>
          <w:color w:val="auto"/>
        </w:rPr>
        <w:t>.</w:t>
      </w:r>
    </w:p>
    <w:p w14:paraId="1BF1FE34" w14:textId="1DAE5A8F" w:rsidR="44BA539A" w:rsidRDefault="12338647" w:rsidP="003B6A3E">
      <w:pPr>
        <w:pStyle w:val="LONBodyTextNumbered"/>
        <w:keepLines/>
        <w:numPr>
          <w:ilvl w:val="0"/>
          <w:numId w:val="38"/>
        </w:numPr>
        <w:spacing w:before="240" w:line="276" w:lineRule="auto"/>
        <w:jc w:val="both"/>
        <w:rPr>
          <w:color w:val="auto"/>
        </w:rPr>
      </w:pPr>
      <w:r w:rsidRPr="23D8A931">
        <w:rPr>
          <w:color w:val="auto"/>
        </w:rPr>
        <w:t xml:space="preserve">In accordance with the Public Sector Equality Duty and the Mayor’s Equality, </w:t>
      </w:r>
      <w:proofErr w:type="gramStart"/>
      <w:r w:rsidRPr="23D8A931">
        <w:rPr>
          <w:color w:val="auto"/>
        </w:rPr>
        <w:t>Diversity</w:t>
      </w:r>
      <w:proofErr w:type="gramEnd"/>
      <w:r w:rsidRPr="23D8A931">
        <w:rPr>
          <w:color w:val="auto"/>
        </w:rPr>
        <w:t xml:space="preserve"> and Inclusion Strategy, OPDC will continue to assess the likely impacts of the proposals set out in this budget on external groups as proposals are further developed and refined. Equalities Impact </w:t>
      </w:r>
      <w:r w:rsidR="43CDD7F9" w:rsidRPr="69C8A05B">
        <w:rPr>
          <w:color w:val="auto"/>
        </w:rPr>
        <w:t>Assessments</w:t>
      </w:r>
      <w:r w:rsidR="3D5268E8" w:rsidRPr="69C8A05B">
        <w:rPr>
          <w:color w:val="auto"/>
        </w:rPr>
        <w:t xml:space="preserve"> </w:t>
      </w:r>
      <w:r w:rsidR="002C0A62" w:rsidRPr="69C8A05B">
        <w:rPr>
          <w:color w:val="auto"/>
        </w:rPr>
        <w:t>(</w:t>
      </w:r>
      <w:proofErr w:type="spellStart"/>
      <w:r w:rsidR="002C0A62" w:rsidRPr="69C8A05B">
        <w:rPr>
          <w:color w:val="auto"/>
        </w:rPr>
        <w:t>EqIAs</w:t>
      </w:r>
      <w:proofErr w:type="spellEnd"/>
      <w:r w:rsidR="002C0A62" w:rsidRPr="69C8A05B">
        <w:rPr>
          <w:color w:val="auto"/>
        </w:rPr>
        <w:t>) for</w:t>
      </w:r>
      <w:r w:rsidRPr="23D8A931">
        <w:rPr>
          <w:color w:val="auto"/>
        </w:rPr>
        <w:t xml:space="preserve"> individual programmes will be carried out as appropriate. </w:t>
      </w:r>
    </w:p>
    <w:p w14:paraId="42C39BA5" w14:textId="71C0CA57" w:rsidR="0074229D" w:rsidRPr="0064305B" w:rsidRDefault="5CA0AD0B" w:rsidP="00CA0548">
      <w:pPr>
        <w:pStyle w:val="Heading1"/>
        <w:numPr>
          <w:ilvl w:val="0"/>
          <w:numId w:val="0"/>
        </w:numPr>
        <w:ind w:left="680"/>
      </w:pPr>
      <w:r>
        <w:t>Appendix A</w:t>
      </w:r>
      <w:r w:rsidR="48846E31">
        <w:t xml:space="preserve"> – Appendix to Revenue Budget</w:t>
      </w:r>
    </w:p>
    <w:p w14:paraId="6536D37E" w14:textId="76CF817F" w:rsidR="0074229D" w:rsidRPr="0064305B" w:rsidRDefault="7692F6AE" w:rsidP="1FA2E292">
      <w:pPr>
        <w:pStyle w:val="Heading2"/>
        <w:keepNext w:val="0"/>
        <w:spacing w:after="0" w:line="300" w:lineRule="exact"/>
        <w:ind w:left="680"/>
        <w:rPr>
          <w:rFonts w:ascii="Foundry Form Sans" w:hAnsi="Foundry Form Sans" w:cs="Times New Roman"/>
          <w:i w:val="0"/>
          <w:iCs w:val="0"/>
          <w:color w:val="auto"/>
          <w:sz w:val="24"/>
          <w:szCs w:val="24"/>
        </w:rPr>
      </w:pPr>
      <w:r w:rsidRPr="1FA2E292">
        <w:rPr>
          <w:rFonts w:ascii="Foundry Form Sans" w:hAnsi="Foundry Form Sans" w:cs="Times New Roman"/>
          <w:i w:val="0"/>
          <w:iCs w:val="0"/>
          <w:color w:val="auto"/>
          <w:sz w:val="24"/>
          <w:szCs w:val="24"/>
        </w:rPr>
        <w:t xml:space="preserve">Appendix </w:t>
      </w:r>
      <w:r w:rsidR="4609EC46" w:rsidRPr="1FA2E292">
        <w:rPr>
          <w:rFonts w:ascii="Foundry Form Sans" w:hAnsi="Foundry Form Sans" w:cs="Times New Roman"/>
          <w:i w:val="0"/>
          <w:iCs w:val="0"/>
          <w:color w:val="auto"/>
          <w:sz w:val="24"/>
          <w:szCs w:val="24"/>
        </w:rPr>
        <w:t xml:space="preserve">Table 1:  OPDC - Subjective analysis </w:t>
      </w:r>
    </w:p>
    <w:tbl>
      <w:tblPr>
        <w:tblW w:w="9890" w:type="dxa"/>
        <w:tblInd w:w="602" w:type="dxa"/>
        <w:tblLayout w:type="fixed"/>
        <w:tblLook w:val="04A0" w:firstRow="1" w:lastRow="0" w:firstColumn="1" w:lastColumn="0" w:noHBand="0" w:noVBand="1"/>
      </w:tblPr>
      <w:tblGrid>
        <w:gridCol w:w="2325"/>
        <w:gridCol w:w="1170"/>
        <w:gridCol w:w="1074"/>
        <w:gridCol w:w="1380"/>
        <w:gridCol w:w="1785"/>
        <w:gridCol w:w="1076"/>
        <w:gridCol w:w="1080"/>
      </w:tblGrid>
      <w:tr w:rsidR="1FA2E292" w14:paraId="2A4D6D73" w14:textId="77777777" w:rsidTr="00AF5ED7">
        <w:trPr>
          <w:trHeight w:val="510"/>
        </w:trPr>
        <w:tc>
          <w:tcPr>
            <w:tcW w:w="2325" w:type="dxa"/>
            <w:tcBorders>
              <w:top w:val="single" w:sz="8" w:space="0" w:color="A5A6A5"/>
              <w:left w:val="single" w:sz="8" w:space="0" w:color="FFFFFF" w:themeColor="background1"/>
              <w:bottom w:val="nil"/>
              <w:right w:val="nil"/>
            </w:tcBorders>
            <w:shd w:val="clear" w:color="auto" w:fill="FFFFFF" w:themeFill="background1"/>
            <w:tcMar>
              <w:left w:w="108" w:type="dxa"/>
              <w:right w:w="108" w:type="dxa"/>
            </w:tcMar>
            <w:vAlign w:val="center"/>
          </w:tcPr>
          <w:p w14:paraId="08FCE22E" w14:textId="5E6230AC" w:rsidR="1FA2E292" w:rsidRDefault="1FA2E292">
            <w:pPr>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Subjective analysis</w:t>
            </w:r>
          </w:p>
        </w:tc>
        <w:tc>
          <w:tcPr>
            <w:tcW w:w="1170" w:type="dxa"/>
            <w:tcBorders>
              <w:top w:val="single" w:sz="8" w:space="0" w:color="A5A6A5"/>
              <w:left w:val="nil"/>
              <w:bottom w:val="nil"/>
              <w:right w:val="nil"/>
            </w:tcBorders>
            <w:shd w:val="clear" w:color="auto" w:fill="FFFFFF" w:themeFill="background1"/>
            <w:tcMar>
              <w:left w:w="108" w:type="dxa"/>
              <w:right w:w="108" w:type="dxa"/>
            </w:tcMar>
            <w:vAlign w:val="bottom"/>
          </w:tcPr>
          <w:p w14:paraId="63F10198" w14:textId="14DC0B64"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Revised budget</w:t>
            </w:r>
          </w:p>
        </w:tc>
        <w:tc>
          <w:tcPr>
            <w:tcW w:w="1074" w:type="dxa"/>
            <w:tcBorders>
              <w:top w:val="single" w:sz="8" w:space="0" w:color="A5A6A5"/>
              <w:left w:val="nil"/>
              <w:bottom w:val="nil"/>
              <w:right w:val="nil"/>
            </w:tcBorders>
            <w:tcMar>
              <w:left w:w="108" w:type="dxa"/>
              <w:right w:w="108" w:type="dxa"/>
            </w:tcMar>
            <w:vAlign w:val="bottom"/>
          </w:tcPr>
          <w:p w14:paraId="677CA30A" w14:textId="71A41F85"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Forecast outturn</w:t>
            </w:r>
          </w:p>
        </w:tc>
        <w:tc>
          <w:tcPr>
            <w:tcW w:w="1380" w:type="dxa"/>
            <w:tcBorders>
              <w:top w:val="single" w:sz="8" w:space="0" w:color="A5A6A5"/>
              <w:left w:val="nil"/>
              <w:bottom w:val="nil"/>
              <w:right w:val="nil"/>
            </w:tcBorders>
            <w:shd w:val="clear" w:color="auto" w:fill="D9D9D9" w:themeFill="background1" w:themeFillShade="D9"/>
            <w:tcMar>
              <w:left w:w="108" w:type="dxa"/>
              <w:right w:w="108" w:type="dxa"/>
            </w:tcMar>
            <w:vAlign w:val="bottom"/>
          </w:tcPr>
          <w:p w14:paraId="3B1660AE" w14:textId="37D7C8B0"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Budget</w:t>
            </w:r>
          </w:p>
        </w:tc>
        <w:tc>
          <w:tcPr>
            <w:tcW w:w="1785" w:type="dxa"/>
            <w:tcBorders>
              <w:top w:val="single" w:sz="8" w:space="0" w:color="A5A6A5"/>
              <w:left w:val="nil"/>
              <w:bottom w:val="nil"/>
              <w:right w:val="nil"/>
            </w:tcBorders>
            <w:shd w:val="clear" w:color="auto" w:fill="D9D9D9" w:themeFill="background1" w:themeFillShade="D9"/>
            <w:tcMar>
              <w:left w:w="108" w:type="dxa"/>
              <w:right w:w="108" w:type="dxa"/>
            </w:tcMar>
            <w:vAlign w:val="bottom"/>
          </w:tcPr>
          <w:p w14:paraId="57C65F4C" w14:textId="42A310C5" w:rsidR="1FA2E292" w:rsidRDefault="1FA2E292" w:rsidP="00587E59">
            <w:pPr>
              <w:jc w:val="right"/>
              <w:rPr>
                <w:rFonts w:eastAsia="Foundry Form Sans" w:cs="Foundry Form Sans"/>
                <w:b/>
                <w:bCs/>
                <w:color w:val="000000" w:themeColor="text1"/>
                <w:sz w:val="20"/>
                <w:szCs w:val="20"/>
              </w:rPr>
            </w:pPr>
            <w:r w:rsidRPr="1FA2E292">
              <w:rPr>
                <w:rFonts w:eastAsia="Foundry Form Sans" w:cs="Foundry Form Sans"/>
                <w:b/>
                <w:bCs/>
                <w:color w:val="000000" w:themeColor="text1"/>
                <w:sz w:val="20"/>
                <w:szCs w:val="20"/>
              </w:rPr>
              <w:t xml:space="preserve">Change (Revised </w:t>
            </w:r>
          </w:p>
        </w:tc>
        <w:tc>
          <w:tcPr>
            <w:tcW w:w="1076" w:type="dxa"/>
            <w:tcBorders>
              <w:top w:val="single" w:sz="8" w:space="0" w:color="A5A6A5"/>
              <w:left w:val="nil"/>
              <w:bottom w:val="nil"/>
              <w:right w:val="nil"/>
            </w:tcBorders>
            <w:shd w:val="clear" w:color="auto" w:fill="FFFFFF" w:themeFill="background1"/>
            <w:tcMar>
              <w:left w:w="108" w:type="dxa"/>
              <w:right w:w="108" w:type="dxa"/>
            </w:tcMar>
            <w:vAlign w:val="bottom"/>
          </w:tcPr>
          <w:p w14:paraId="3B9D5CAE" w14:textId="18F04C46"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Plan</w:t>
            </w:r>
          </w:p>
        </w:tc>
        <w:tc>
          <w:tcPr>
            <w:tcW w:w="1080" w:type="dxa"/>
            <w:tcBorders>
              <w:top w:val="single" w:sz="8" w:space="0" w:color="A5A6A5"/>
              <w:left w:val="nil"/>
              <w:bottom w:val="nil"/>
              <w:right w:val="nil"/>
            </w:tcBorders>
            <w:shd w:val="clear" w:color="auto" w:fill="FFFFFF" w:themeFill="background1"/>
            <w:tcMar>
              <w:left w:w="108" w:type="dxa"/>
              <w:right w:w="108" w:type="dxa"/>
            </w:tcMar>
            <w:vAlign w:val="bottom"/>
          </w:tcPr>
          <w:p w14:paraId="3A0D9B2F" w14:textId="05EBF673"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Plan</w:t>
            </w:r>
          </w:p>
        </w:tc>
      </w:tr>
      <w:tr w:rsidR="1FA2E292" w14:paraId="5CA9C0CF" w14:textId="77777777" w:rsidTr="00AF5ED7">
        <w:trPr>
          <w:trHeight w:val="300"/>
        </w:trPr>
        <w:tc>
          <w:tcPr>
            <w:tcW w:w="2325" w:type="dxa"/>
            <w:tcBorders>
              <w:top w:val="nil"/>
              <w:left w:val="single" w:sz="8" w:space="0" w:color="FFFFFF" w:themeColor="background1"/>
              <w:bottom w:val="nil"/>
              <w:right w:val="nil"/>
            </w:tcBorders>
            <w:tcMar>
              <w:left w:w="108" w:type="dxa"/>
              <w:right w:w="108" w:type="dxa"/>
            </w:tcMar>
            <w:vAlign w:val="center"/>
          </w:tcPr>
          <w:p w14:paraId="624B7B8F" w14:textId="14CFE333" w:rsidR="1FA2E292" w:rsidRDefault="1FA2E292"/>
        </w:tc>
        <w:tc>
          <w:tcPr>
            <w:tcW w:w="1170" w:type="dxa"/>
            <w:shd w:val="clear" w:color="auto" w:fill="FFFFFF" w:themeFill="background1"/>
            <w:tcMar>
              <w:left w:w="108" w:type="dxa"/>
              <w:right w:w="108" w:type="dxa"/>
            </w:tcMar>
            <w:vAlign w:val="bottom"/>
          </w:tcPr>
          <w:p w14:paraId="4EFAE47A" w14:textId="154565C4"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2024-25</w:t>
            </w:r>
          </w:p>
        </w:tc>
        <w:tc>
          <w:tcPr>
            <w:tcW w:w="1074" w:type="dxa"/>
            <w:tcMar>
              <w:left w:w="108" w:type="dxa"/>
              <w:right w:w="108" w:type="dxa"/>
            </w:tcMar>
            <w:vAlign w:val="bottom"/>
          </w:tcPr>
          <w:p w14:paraId="3852477D" w14:textId="13BBFB27" w:rsidR="1FA2E292" w:rsidRDefault="1FA2E292" w:rsidP="00587E59">
            <w:pPr>
              <w:jc w:val="right"/>
              <w:rPr>
                <w:rFonts w:eastAsia="Foundry Form Sans" w:cs="Foundry Form Sans"/>
                <w:b/>
                <w:bCs/>
                <w:sz w:val="22"/>
                <w:szCs w:val="22"/>
              </w:rPr>
            </w:pPr>
            <w:r w:rsidRPr="1FA2E292">
              <w:rPr>
                <w:rFonts w:eastAsia="Foundry Form Sans" w:cs="Foundry Form Sans"/>
                <w:b/>
                <w:bCs/>
                <w:sz w:val="22"/>
                <w:szCs w:val="22"/>
              </w:rPr>
              <w:t>2024-25</w:t>
            </w:r>
          </w:p>
        </w:tc>
        <w:tc>
          <w:tcPr>
            <w:tcW w:w="1380" w:type="dxa"/>
            <w:shd w:val="clear" w:color="auto" w:fill="D9D9D9" w:themeFill="background1" w:themeFillShade="D9"/>
            <w:tcMar>
              <w:left w:w="108" w:type="dxa"/>
              <w:right w:w="108" w:type="dxa"/>
            </w:tcMar>
            <w:vAlign w:val="bottom"/>
          </w:tcPr>
          <w:p w14:paraId="6F90D3F9" w14:textId="0EC38D85"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2025-26</w:t>
            </w:r>
          </w:p>
        </w:tc>
        <w:tc>
          <w:tcPr>
            <w:tcW w:w="1785" w:type="dxa"/>
            <w:shd w:val="clear" w:color="auto" w:fill="D9D9D9" w:themeFill="background1" w:themeFillShade="D9"/>
            <w:tcMar>
              <w:left w:w="108" w:type="dxa"/>
              <w:right w:w="108" w:type="dxa"/>
            </w:tcMar>
            <w:vAlign w:val="bottom"/>
          </w:tcPr>
          <w:p w14:paraId="62BA813F" w14:textId="6380FE11" w:rsidR="1FA2E292" w:rsidRDefault="1FA2E292" w:rsidP="00587E59">
            <w:pPr>
              <w:jc w:val="right"/>
              <w:rPr>
                <w:rFonts w:eastAsia="Foundry Form Sans" w:cs="Foundry Form Sans"/>
                <w:b/>
                <w:bCs/>
                <w:color w:val="000000" w:themeColor="text1"/>
                <w:sz w:val="20"/>
                <w:szCs w:val="20"/>
              </w:rPr>
            </w:pPr>
            <w:r w:rsidRPr="1FA2E292">
              <w:rPr>
                <w:rFonts w:eastAsia="Foundry Form Sans" w:cs="Foundry Form Sans"/>
                <w:b/>
                <w:bCs/>
                <w:color w:val="000000" w:themeColor="text1"/>
                <w:sz w:val="20"/>
                <w:szCs w:val="20"/>
              </w:rPr>
              <w:t>budget to budget)</w:t>
            </w:r>
          </w:p>
        </w:tc>
        <w:tc>
          <w:tcPr>
            <w:tcW w:w="1076" w:type="dxa"/>
            <w:shd w:val="clear" w:color="auto" w:fill="FFFFFF" w:themeFill="background1"/>
            <w:tcMar>
              <w:left w:w="108" w:type="dxa"/>
              <w:right w:w="108" w:type="dxa"/>
            </w:tcMar>
            <w:vAlign w:val="bottom"/>
          </w:tcPr>
          <w:p w14:paraId="3CE36CA0" w14:textId="59690B08"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2026-27</w:t>
            </w:r>
          </w:p>
        </w:tc>
        <w:tc>
          <w:tcPr>
            <w:tcW w:w="1080" w:type="dxa"/>
            <w:shd w:val="clear" w:color="auto" w:fill="FFFFFF" w:themeFill="background1"/>
            <w:tcMar>
              <w:left w:w="108" w:type="dxa"/>
              <w:right w:w="108" w:type="dxa"/>
            </w:tcMar>
            <w:vAlign w:val="bottom"/>
          </w:tcPr>
          <w:p w14:paraId="2A8802E5" w14:textId="6899C94E"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2027-28</w:t>
            </w:r>
          </w:p>
        </w:tc>
      </w:tr>
      <w:tr w:rsidR="1FA2E292" w14:paraId="5B2A195B" w14:textId="77777777" w:rsidTr="00AF5ED7">
        <w:trPr>
          <w:trHeight w:val="315"/>
        </w:trPr>
        <w:tc>
          <w:tcPr>
            <w:tcW w:w="2325" w:type="dxa"/>
            <w:tcBorders>
              <w:top w:val="nil"/>
              <w:left w:val="single" w:sz="8" w:space="0" w:color="FFFFFF" w:themeColor="background1"/>
              <w:bottom w:val="single" w:sz="8" w:space="0" w:color="A5A6A5"/>
              <w:right w:val="nil"/>
            </w:tcBorders>
            <w:tcMar>
              <w:left w:w="108" w:type="dxa"/>
              <w:right w:w="108" w:type="dxa"/>
            </w:tcMar>
            <w:vAlign w:val="center"/>
          </w:tcPr>
          <w:p w14:paraId="2A5A9663" w14:textId="0A3FCD8F" w:rsidR="1FA2E292" w:rsidRDefault="1FA2E292"/>
        </w:tc>
        <w:tc>
          <w:tcPr>
            <w:tcW w:w="1170" w:type="dxa"/>
            <w:tcBorders>
              <w:left w:val="nil"/>
              <w:bottom w:val="single" w:sz="8" w:space="0" w:color="A5A6A5"/>
              <w:right w:val="nil"/>
            </w:tcBorders>
            <w:shd w:val="clear" w:color="auto" w:fill="FFFFFF" w:themeFill="background1"/>
            <w:tcMar>
              <w:left w:w="108" w:type="dxa"/>
              <w:right w:w="108" w:type="dxa"/>
            </w:tcMar>
            <w:vAlign w:val="bottom"/>
          </w:tcPr>
          <w:p w14:paraId="6F7A1DB5" w14:textId="32AB189E"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£m</w:t>
            </w:r>
          </w:p>
        </w:tc>
        <w:tc>
          <w:tcPr>
            <w:tcW w:w="1074" w:type="dxa"/>
            <w:tcBorders>
              <w:left w:val="nil"/>
              <w:bottom w:val="single" w:sz="8" w:space="0" w:color="A5A6A5"/>
              <w:right w:val="nil"/>
            </w:tcBorders>
            <w:tcMar>
              <w:left w:w="108" w:type="dxa"/>
              <w:right w:w="108" w:type="dxa"/>
            </w:tcMar>
            <w:vAlign w:val="bottom"/>
          </w:tcPr>
          <w:p w14:paraId="60C5A7F3" w14:textId="33363CB9" w:rsidR="1FA2E292" w:rsidRDefault="1FA2E292" w:rsidP="00587E59">
            <w:pPr>
              <w:jc w:val="right"/>
              <w:rPr>
                <w:rFonts w:eastAsia="Foundry Form Sans" w:cs="Foundry Form Sans"/>
                <w:b/>
                <w:bCs/>
                <w:sz w:val="22"/>
                <w:szCs w:val="22"/>
              </w:rPr>
            </w:pPr>
            <w:r w:rsidRPr="1FA2E292">
              <w:rPr>
                <w:rFonts w:eastAsia="Foundry Form Sans" w:cs="Foundry Form Sans"/>
                <w:b/>
                <w:bCs/>
                <w:sz w:val="22"/>
                <w:szCs w:val="22"/>
              </w:rPr>
              <w:t>£m</w:t>
            </w:r>
          </w:p>
        </w:tc>
        <w:tc>
          <w:tcPr>
            <w:tcW w:w="1380" w:type="dxa"/>
            <w:tcBorders>
              <w:left w:val="nil"/>
              <w:bottom w:val="single" w:sz="8" w:space="0" w:color="A5A6A5"/>
              <w:right w:val="nil"/>
            </w:tcBorders>
            <w:shd w:val="clear" w:color="auto" w:fill="D9D9D9" w:themeFill="background1" w:themeFillShade="D9"/>
            <w:tcMar>
              <w:left w:w="108" w:type="dxa"/>
              <w:right w:w="108" w:type="dxa"/>
            </w:tcMar>
            <w:vAlign w:val="bottom"/>
          </w:tcPr>
          <w:p w14:paraId="40CD6F9E" w14:textId="4BB73A1D"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£m</w:t>
            </w:r>
          </w:p>
        </w:tc>
        <w:tc>
          <w:tcPr>
            <w:tcW w:w="1785" w:type="dxa"/>
            <w:tcBorders>
              <w:left w:val="nil"/>
              <w:bottom w:val="single" w:sz="8" w:space="0" w:color="A5A6A5"/>
              <w:right w:val="nil"/>
            </w:tcBorders>
            <w:shd w:val="clear" w:color="auto" w:fill="D9D9D9" w:themeFill="background1" w:themeFillShade="D9"/>
            <w:tcMar>
              <w:left w:w="108" w:type="dxa"/>
              <w:right w:w="108" w:type="dxa"/>
            </w:tcMar>
            <w:vAlign w:val="bottom"/>
          </w:tcPr>
          <w:p w14:paraId="16788DEE" w14:textId="08A8C7A5"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£m</w:t>
            </w:r>
          </w:p>
        </w:tc>
        <w:tc>
          <w:tcPr>
            <w:tcW w:w="1076" w:type="dxa"/>
            <w:tcBorders>
              <w:left w:val="nil"/>
              <w:bottom w:val="single" w:sz="8" w:space="0" w:color="A5A6A5"/>
              <w:right w:val="nil"/>
            </w:tcBorders>
            <w:shd w:val="clear" w:color="auto" w:fill="FFFFFF" w:themeFill="background1"/>
            <w:tcMar>
              <w:left w:w="108" w:type="dxa"/>
              <w:right w:w="108" w:type="dxa"/>
            </w:tcMar>
            <w:vAlign w:val="bottom"/>
          </w:tcPr>
          <w:p w14:paraId="616145CF" w14:textId="5A43B91E"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£m</w:t>
            </w:r>
          </w:p>
        </w:tc>
        <w:tc>
          <w:tcPr>
            <w:tcW w:w="1080" w:type="dxa"/>
            <w:tcBorders>
              <w:left w:val="nil"/>
              <w:bottom w:val="single" w:sz="8" w:space="0" w:color="A5A6A5"/>
              <w:right w:val="nil"/>
            </w:tcBorders>
            <w:shd w:val="clear" w:color="auto" w:fill="FFFFFF" w:themeFill="background1"/>
            <w:tcMar>
              <w:left w:w="108" w:type="dxa"/>
              <w:right w:w="108" w:type="dxa"/>
            </w:tcMar>
            <w:vAlign w:val="bottom"/>
          </w:tcPr>
          <w:p w14:paraId="0E8DD2E6" w14:textId="6B77E8CB"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£m</w:t>
            </w:r>
          </w:p>
        </w:tc>
      </w:tr>
      <w:tr w:rsidR="1FA2E292" w14:paraId="37825F60" w14:textId="77777777" w:rsidTr="00AF5ED7">
        <w:trPr>
          <w:trHeight w:val="300"/>
        </w:trPr>
        <w:tc>
          <w:tcPr>
            <w:tcW w:w="2325" w:type="dxa"/>
            <w:tcBorders>
              <w:top w:val="single" w:sz="8" w:space="0" w:color="A5A6A5"/>
              <w:left w:val="single" w:sz="8" w:space="0" w:color="FFFFFF" w:themeColor="background1"/>
              <w:bottom w:val="nil"/>
              <w:right w:val="nil"/>
            </w:tcBorders>
            <w:tcMar>
              <w:left w:w="108" w:type="dxa"/>
              <w:right w:w="108" w:type="dxa"/>
            </w:tcMar>
          </w:tcPr>
          <w:p w14:paraId="517A998B" w14:textId="27C1E46A" w:rsidR="1FA2E292" w:rsidRDefault="1FA2E292">
            <w:pPr>
              <w:rPr>
                <w:rFonts w:eastAsia="Foundry Form Sans" w:cs="Foundry Form Sans"/>
                <w:sz w:val="22"/>
                <w:szCs w:val="22"/>
              </w:rPr>
            </w:pPr>
            <w:r w:rsidRPr="1FA2E292">
              <w:rPr>
                <w:rFonts w:eastAsia="Foundry Form Sans" w:cs="Foundry Form Sans"/>
                <w:sz w:val="22"/>
                <w:szCs w:val="22"/>
              </w:rPr>
              <w:t>Staff costs</w:t>
            </w:r>
          </w:p>
        </w:tc>
        <w:tc>
          <w:tcPr>
            <w:tcW w:w="1170" w:type="dxa"/>
            <w:tcBorders>
              <w:top w:val="single" w:sz="8" w:space="0" w:color="A5A6A5"/>
              <w:left w:val="nil"/>
              <w:bottom w:val="nil"/>
              <w:right w:val="nil"/>
            </w:tcBorders>
            <w:shd w:val="clear" w:color="auto" w:fill="FFFFFF" w:themeFill="background1"/>
            <w:tcMar>
              <w:left w:w="108" w:type="dxa"/>
              <w:right w:w="108" w:type="dxa"/>
            </w:tcMar>
            <w:vAlign w:val="center"/>
          </w:tcPr>
          <w:p w14:paraId="6304F5C2" w14:textId="396631AB"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6.6 </w:t>
            </w:r>
          </w:p>
        </w:tc>
        <w:tc>
          <w:tcPr>
            <w:tcW w:w="1074" w:type="dxa"/>
            <w:tcBorders>
              <w:top w:val="single" w:sz="8" w:space="0" w:color="A5A6A5"/>
              <w:left w:val="nil"/>
              <w:bottom w:val="nil"/>
              <w:right w:val="nil"/>
            </w:tcBorders>
            <w:tcMar>
              <w:left w:w="108" w:type="dxa"/>
              <w:right w:w="108" w:type="dxa"/>
            </w:tcMar>
            <w:vAlign w:val="center"/>
          </w:tcPr>
          <w:p w14:paraId="5516ABCF" w14:textId="2ABE5BC5"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6.7 </w:t>
            </w:r>
          </w:p>
        </w:tc>
        <w:tc>
          <w:tcPr>
            <w:tcW w:w="1380" w:type="dxa"/>
            <w:tcBorders>
              <w:top w:val="single" w:sz="8" w:space="0" w:color="A5A6A5"/>
              <w:left w:val="nil"/>
              <w:bottom w:val="nil"/>
              <w:right w:val="nil"/>
            </w:tcBorders>
            <w:shd w:val="clear" w:color="auto" w:fill="D9D9D9" w:themeFill="background1" w:themeFillShade="D9"/>
            <w:tcMar>
              <w:left w:w="108" w:type="dxa"/>
              <w:right w:w="108" w:type="dxa"/>
            </w:tcMar>
            <w:vAlign w:val="center"/>
          </w:tcPr>
          <w:p w14:paraId="1E7302EA" w14:textId="306A97D7"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7.7 </w:t>
            </w:r>
          </w:p>
        </w:tc>
        <w:tc>
          <w:tcPr>
            <w:tcW w:w="1785" w:type="dxa"/>
            <w:tcBorders>
              <w:top w:val="single" w:sz="8" w:space="0" w:color="A5A6A5"/>
              <w:left w:val="nil"/>
              <w:bottom w:val="nil"/>
              <w:right w:val="nil"/>
            </w:tcBorders>
            <w:shd w:val="clear" w:color="auto" w:fill="D9D9D9" w:themeFill="background1" w:themeFillShade="D9"/>
            <w:tcMar>
              <w:left w:w="108" w:type="dxa"/>
              <w:right w:w="108" w:type="dxa"/>
            </w:tcMar>
            <w:vAlign w:val="center"/>
          </w:tcPr>
          <w:p w14:paraId="2951A7EF" w14:textId="4926B941"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1.1 </w:t>
            </w:r>
          </w:p>
        </w:tc>
        <w:tc>
          <w:tcPr>
            <w:tcW w:w="1076" w:type="dxa"/>
            <w:tcBorders>
              <w:top w:val="single" w:sz="8" w:space="0" w:color="A5A6A5"/>
              <w:left w:val="nil"/>
              <w:bottom w:val="nil"/>
              <w:right w:val="nil"/>
            </w:tcBorders>
            <w:tcMar>
              <w:left w:w="108" w:type="dxa"/>
              <w:right w:w="108" w:type="dxa"/>
            </w:tcMar>
            <w:vAlign w:val="center"/>
          </w:tcPr>
          <w:p w14:paraId="67379C10" w14:textId="14BA31F5"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7.9 </w:t>
            </w:r>
          </w:p>
        </w:tc>
        <w:tc>
          <w:tcPr>
            <w:tcW w:w="1080" w:type="dxa"/>
            <w:tcBorders>
              <w:top w:val="single" w:sz="8" w:space="0" w:color="A5A6A5"/>
              <w:left w:val="nil"/>
              <w:bottom w:val="nil"/>
              <w:right w:val="nil"/>
            </w:tcBorders>
            <w:tcMar>
              <w:left w:w="108" w:type="dxa"/>
              <w:right w:w="108" w:type="dxa"/>
            </w:tcMar>
            <w:vAlign w:val="center"/>
          </w:tcPr>
          <w:p w14:paraId="6E0E2A5C" w14:textId="199FEA7D"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8.2 </w:t>
            </w:r>
          </w:p>
        </w:tc>
      </w:tr>
      <w:tr w:rsidR="1FA2E292" w14:paraId="331A09BF" w14:textId="77777777" w:rsidTr="00AF5ED7">
        <w:trPr>
          <w:trHeight w:val="315"/>
        </w:trPr>
        <w:tc>
          <w:tcPr>
            <w:tcW w:w="2325" w:type="dxa"/>
            <w:tcBorders>
              <w:top w:val="nil"/>
              <w:left w:val="single" w:sz="8" w:space="0" w:color="FFFFFF" w:themeColor="background1"/>
              <w:bottom w:val="nil"/>
              <w:right w:val="nil"/>
            </w:tcBorders>
            <w:tcMar>
              <w:left w:w="108" w:type="dxa"/>
              <w:right w:w="108" w:type="dxa"/>
            </w:tcMar>
          </w:tcPr>
          <w:p w14:paraId="22A20C33" w14:textId="54E80F4F" w:rsidR="1FA2E292" w:rsidRDefault="1FA2E292">
            <w:pPr>
              <w:rPr>
                <w:rFonts w:eastAsia="Foundry Form Sans" w:cs="Foundry Form Sans"/>
                <w:sz w:val="22"/>
                <w:szCs w:val="22"/>
              </w:rPr>
            </w:pPr>
            <w:r w:rsidRPr="1FA2E292">
              <w:rPr>
                <w:rFonts w:eastAsia="Foundry Form Sans" w:cs="Foundry Form Sans"/>
                <w:sz w:val="22"/>
                <w:szCs w:val="22"/>
              </w:rPr>
              <w:t>Premises costs</w:t>
            </w:r>
          </w:p>
        </w:tc>
        <w:tc>
          <w:tcPr>
            <w:tcW w:w="1170" w:type="dxa"/>
            <w:shd w:val="clear" w:color="auto" w:fill="FFFFFF" w:themeFill="background1"/>
            <w:tcMar>
              <w:left w:w="108" w:type="dxa"/>
              <w:right w:w="108" w:type="dxa"/>
            </w:tcMar>
            <w:vAlign w:val="center"/>
          </w:tcPr>
          <w:p w14:paraId="2442B3E8" w14:textId="3C9EF92B"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0.2 </w:t>
            </w:r>
          </w:p>
        </w:tc>
        <w:tc>
          <w:tcPr>
            <w:tcW w:w="1074" w:type="dxa"/>
            <w:tcMar>
              <w:left w:w="108" w:type="dxa"/>
              <w:right w:w="108" w:type="dxa"/>
            </w:tcMar>
            <w:vAlign w:val="center"/>
          </w:tcPr>
          <w:p w14:paraId="7EC1A39A" w14:textId="6DFD4BE7"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0.3 </w:t>
            </w:r>
          </w:p>
        </w:tc>
        <w:tc>
          <w:tcPr>
            <w:tcW w:w="1380" w:type="dxa"/>
            <w:shd w:val="clear" w:color="auto" w:fill="D9D9D9" w:themeFill="background1" w:themeFillShade="D9"/>
            <w:tcMar>
              <w:left w:w="108" w:type="dxa"/>
              <w:right w:w="108" w:type="dxa"/>
            </w:tcMar>
            <w:vAlign w:val="center"/>
          </w:tcPr>
          <w:p w14:paraId="19ADCEB5" w14:textId="5103A2EA"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0.4</w:t>
            </w:r>
          </w:p>
        </w:tc>
        <w:tc>
          <w:tcPr>
            <w:tcW w:w="1785" w:type="dxa"/>
            <w:shd w:val="clear" w:color="auto" w:fill="D9D9D9" w:themeFill="background1" w:themeFillShade="D9"/>
            <w:tcMar>
              <w:left w:w="108" w:type="dxa"/>
              <w:right w:w="108" w:type="dxa"/>
            </w:tcMar>
            <w:vAlign w:val="center"/>
          </w:tcPr>
          <w:p w14:paraId="24D0D307" w14:textId="2818DE0F"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0.2</w:t>
            </w:r>
          </w:p>
        </w:tc>
        <w:tc>
          <w:tcPr>
            <w:tcW w:w="1076" w:type="dxa"/>
            <w:tcMar>
              <w:left w:w="108" w:type="dxa"/>
              <w:right w:w="108" w:type="dxa"/>
            </w:tcMar>
            <w:vAlign w:val="center"/>
          </w:tcPr>
          <w:p w14:paraId="544A3EAF" w14:textId="657D01F9"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0.4</w:t>
            </w:r>
          </w:p>
        </w:tc>
        <w:tc>
          <w:tcPr>
            <w:tcW w:w="1080" w:type="dxa"/>
            <w:tcMar>
              <w:left w:w="108" w:type="dxa"/>
              <w:right w:w="108" w:type="dxa"/>
            </w:tcMar>
            <w:vAlign w:val="center"/>
          </w:tcPr>
          <w:p w14:paraId="51DB5190" w14:textId="03CDFCAD"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0.4</w:t>
            </w:r>
          </w:p>
        </w:tc>
      </w:tr>
      <w:tr w:rsidR="1FA2E292" w14:paraId="5E9E0EB4" w14:textId="77777777" w:rsidTr="00AF5ED7">
        <w:trPr>
          <w:trHeight w:val="315"/>
        </w:trPr>
        <w:tc>
          <w:tcPr>
            <w:tcW w:w="2325" w:type="dxa"/>
            <w:tcBorders>
              <w:top w:val="nil"/>
              <w:left w:val="single" w:sz="8" w:space="0" w:color="FFFFFF" w:themeColor="background1"/>
              <w:bottom w:val="nil"/>
              <w:right w:val="nil"/>
            </w:tcBorders>
            <w:tcMar>
              <w:left w:w="108" w:type="dxa"/>
              <w:right w:w="108" w:type="dxa"/>
            </w:tcMar>
          </w:tcPr>
          <w:p w14:paraId="5FE70A45" w14:textId="6ED9AA06" w:rsidR="1FA2E292" w:rsidRDefault="1FA2E292">
            <w:pPr>
              <w:rPr>
                <w:rFonts w:eastAsia="Foundry Form Sans" w:cs="Foundry Form Sans"/>
                <w:sz w:val="22"/>
                <w:szCs w:val="22"/>
              </w:rPr>
            </w:pPr>
            <w:r w:rsidRPr="1FA2E292">
              <w:rPr>
                <w:rFonts w:eastAsia="Foundry Form Sans" w:cs="Foundry Form Sans"/>
                <w:sz w:val="22"/>
                <w:szCs w:val="22"/>
              </w:rPr>
              <w:t>Supplies and services</w:t>
            </w:r>
          </w:p>
        </w:tc>
        <w:tc>
          <w:tcPr>
            <w:tcW w:w="1170" w:type="dxa"/>
            <w:shd w:val="clear" w:color="auto" w:fill="FFFFFF" w:themeFill="background1"/>
            <w:tcMar>
              <w:left w:w="108" w:type="dxa"/>
              <w:right w:w="108" w:type="dxa"/>
            </w:tcMar>
            <w:vAlign w:val="center"/>
          </w:tcPr>
          <w:p w14:paraId="5F5FD177" w14:textId="36FA3D1B"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7.5 </w:t>
            </w:r>
          </w:p>
        </w:tc>
        <w:tc>
          <w:tcPr>
            <w:tcW w:w="1074" w:type="dxa"/>
            <w:tcMar>
              <w:left w:w="108" w:type="dxa"/>
              <w:right w:w="108" w:type="dxa"/>
            </w:tcMar>
            <w:vAlign w:val="center"/>
          </w:tcPr>
          <w:p w14:paraId="2739D95F" w14:textId="38E4D2FD"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8.5 </w:t>
            </w:r>
          </w:p>
        </w:tc>
        <w:tc>
          <w:tcPr>
            <w:tcW w:w="1380" w:type="dxa"/>
            <w:shd w:val="clear" w:color="auto" w:fill="D9D9D9" w:themeFill="background1" w:themeFillShade="D9"/>
            <w:tcMar>
              <w:left w:w="108" w:type="dxa"/>
              <w:right w:w="108" w:type="dxa"/>
            </w:tcMar>
            <w:vAlign w:val="center"/>
          </w:tcPr>
          <w:p w14:paraId="2D95DFD9" w14:textId="0A863064"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11.7 </w:t>
            </w:r>
          </w:p>
        </w:tc>
        <w:tc>
          <w:tcPr>
            <w:tcW w:w="1785" w:type="dxa"/>
            <w:shd w:val="clear" w:color="auto" w:fill="D9D9D9" w:themeFill="background1" w:themeFillShade="D9"/>
            <w:tcMar>
              <w:left w:w="108" w:type="dxa"/>
              <w:right w:w="108" w:type="dxa"/>
            </w:tcMar>
            <w:vAlign w:val="center"/>
          </w:tcPr>
          <w:p w14:paraId="0A985EE6" w14:textId="69D70D8D"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4.2 </w:t>
            </w:r>
          </w:p>
        </w:tc>
        <w:tc>
          <w:tcPr>
            <w:tcW w:w="1076" w:type="dxa"/>
            <w:tcMar>
              <w:left w:w="108" w:type="dxa"/>
              <w:right w:w="108" w:type="dxa"/>
            </w:tcMar>
            <w:vAlign w:val="center"/>
          </w:tcPr>
          <w:p w14:paraId="02B2E8F8" w14:textId="2ED56435"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10.5 </w:t>
            </w:r>
          </w:p>
        </w:tc>
        <w:tc>
          <w:tcPr>
            <w:tcW w:w="1080" w:type="dxa"/>
            <w:tcMar>
              <w:left w:w="108" w:type="dxa"/>
              <w:right w:w="108" w:type="dxa"/>
            </w:tcMar>
            <w:vAlign w:val="center"/>
          </w:tcPr>
          <w:p w14:paraId="448E7309" w14:textId="11D36DD3"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10.3 </w:t>
            </w:r>
          </w:p>
        </w:tc>
      </w:tr>
      <w:tr w:rsidR="1FA2E292" w14:paraId="4818E44B" w14:textId="77777777" w:rsidTr="00AF5ED7">
        <w:trPr>
          <w:trHeight w:val="315"/>
        </w:trPr>
        <w:tc>
          <w:tcPr>
            <w:tcW w:w="2325" w:type="dxa"/>
            <w:tcBorders>
              <w:top w:val="nil"/>
              <w:left w:val="single" w:sz="8" w:space="0" w:color="FFFFFF" w:themeColor="background1"/>
              <w:bottom w:val="single" w:sz="8" w:space="0" w:color="A6A6A6" w:themeColor="background1" w:themeShade="A6"/>
              <w:right w:val="nil"/>
            </w:tcBorders>
            <w:tcMar>
              <w:left w:w="108" w:type="dxa"/>
              <w:right w:w="108" w:type="dxa"/>
            </w:tcMar>
          </w:tcPr>
          <w:p w14:paraId="49638CBB" w14:textId="09042014" w:rsidR="1FA2E292" w:rsidRDefault="1FA2E292">
            <w:pPr>
              <w:rPr>
                <w:rFonts w:eastAsia="Foundry Form Sans" w:cs="Foundry Form Sans"/>
                <w:sz w:val="22"/>
                <w:szCs w:val="22"/>
              </w:rPr>
            </w:pPr>
            <w:r w:rsidRPr="1FA2E292">
              <w:rPr>
                <w:rFonts w:eastAsia="Foundry Form Sans" w:cs="Foundry Form Sans"/>
                <w:sz w:val="22"/>
                <w:szCs w:val="22"/>
              </w:rPr>
              <w:t>Capital financing costs</w:t>
            </w:r>
          </w:p>
        </w:tc>
        <w:tc>
          <w:tcPr>
            <w:tcW w:w="1170" w:type="dxa"/>
            <w:tcBorders>
              <w:left w:val="nil"/>
              <w:bottom w:val="single" w:sz="8" w:space="0" w:color="A6A6A6" w:themeColor="background1" w:themeShade="A6"/>
              <w:right w:val="nil"/>
            </w:tcBorders>
            <w:shd w:val="clear" w:color="auto" w:fill="FFFFFF" w:themeFill="background1"/>
            <w:tcMar>
              <w:left w:w="108" w:type="dxa"/>
              <w:right w:w="108" w:type="dxa"/>
            </w:tcMar>
            <w:vAlign w:val="center"/>
          </w:tcPr>
          <w:p w14:paraId="5427FBE8" w14:textId="1DD12CEB"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0.0 </w:t>
            </w:r>
          </w:p>
        </w:tc>
        <w:tc>
          <w:tcPr>
            <w:tcW w:w="1074" w:type="dxa"/>
            <w:tcBorders>
              <w:left w:val="nil"/>
              <w:bottom w:val="single" w:sz="8" w:space="0" w:color="A6A6A6" w:themeColor="background1" w:themeShade="A6"/>
              <w:right w:val="nil"/>
            </w:tcBorders>
            <w:tcMar>
              <w:left w:w="108" w:type="dxa"/>
              <w:right w:w="108" w:type="dxa"/>
            </w:tcMar>
            <w:vAlign w:val="center"/>
          </w:tcPr>
          <w:p w14:paraId="48CB1F6D" w14:textId="5E03F0AA"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1.4 </w:t>
            </w:r>
          </w:p>
        </w:tc>
        <w:tc>
          <w:tcPr>
            <w:tcW w:w="1380" w:type="dxa"/>
            <w:tcBorders>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2AD1B63D" w14:textId="60E6A723"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4.5 </w:t>
            </w:r>
          </w:p>
        </w:tc>
        <w:tc>
          <w:tcPr>
            <w:tcW w:w="1785" w:type="dxa"/>
            <w:tcBorders>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3A30695F" w14:textId="5E169751"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4.5 </w:t>
            </w:r>
          </w:p>
        </w:tc>
        <w:tc>
          <w:tcPr>
            <w:tcW w:w="1076" w:type="dxa"/>
            <w:tcBorders>
              <w:left w:val="nil"/>
              <w:bottom w:val="single" w:sz="8" w:space="0" w:color="A6A6A6" w:themeColor="background1" w:themeShade="A6"/>
              <w:right w:val="nil"/>
            </w:tcBorders>
            <w:tcMar>
              <w:left w:w="108" w:type="dxa"/>
              <w:right w:w="108" w:type="dxa"/>
            </w:tcMar>
            <w:vAlign w:val="center"/>
          </w:tcPr>
          <w:p w14:paraId="2930002B" w14:textId="4EEFEB24"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7.3 </w:t>
            </w:r>
          </w:p>
        </w:tc>
        <w:tc>
          <w:tcPr>
            <w:tcW w:w="1080" w:type="dxa"/>
            <w:tcBorders>
              <w:left w:val="nil"/>
              <w:bottom w:val="single" w:sz="8" w:space="0" w:color="A6A6A6" w:themeColor="background1" w:themeShade="A6"/>
              <w:right w:val="nil"/>
            </w:tcBorders>
            <w:tcMar>
              <w:left w:w="108" w:type="dxa"/>
              <w:right w:w="108" w:type="dxa"/>
            </w:tcMar>
            <w:vAlign w:val="center"/>
          </w:tcPr>
          <w:p w14:paraId="4FD86BE0" w14:textId="23D849D5"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 xml:space="preserve">8.1 </w:t>
            </w:r>
          </w:p>
        </w:tc>
      </w:tr>
      <w:tr w:rsidR="1FA2E292" w14:paraId="125E390A" w14:textId="77777777" w:rsidTr="00AF5ED7">
        <w:trPr>
          <w:trHeight w:val="315"/>
        </w:trPr>
        <w:tc>
          <w:tcPr>
            <w:tcW w:w="2325" w:type="dxa"/>
            <w:tcBorders>
              <w:top w:val="single" w:sz="8" w:space="0" w:color="A6A6A6" w:themeColor="background1" w:themeShade="A6"/>
              <w:left w:val="single" w:sz="8" w:space="0" w:color="FFFFFF" w:themeColor="background1"/>
              <w:bottom w:val="single" w:sz="8" w:space="0" w:color="A6A6A6" w:themeColor="background1" w:themeShade="A6"/>
              <w:right w:val="nil"/>
            </w:tcBorders>
            <w:shd w:val="clear" w:color="auto" w:fill="FFFFFF" w:themeFill="background1"/>
            <w:tcMar>
              <w:left w:w="108" w:type="dxa"/>
              <w:right w:w="108" w:type="dxa"/>
            </w:tcMar>
          </w:tcPr>
          <w:p w14:paraId="5576D0BF" w14:textId="01A56065" w:rsidR="1FA2E292" w:rsidRDefault="1FA2E292">
            <w:pPr>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Total gross expenditure</w:t>
            </w:r>
          </w:p>
        </w:tc>
        <w:tc>
          <w:tcPr>
            <w:tcW w:w="1170"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40B0A19D" w14:textId="59AD3885"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14.3 </w:t>
            </w:r>
          </w:p>
        </w:tc>
        <w:tc>
          <w:tcPr>
            <w:tcW w:w="1074"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29829C34" w14:textId="4320BC2B"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16.9 </w:t>
            </w:r>
          </w:p>
        </w:tc>
        <w:tc>
          <w:tcPr>
            <w:tcW w:w="1380"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04F6A6CC" w14:textId="2E12D152"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24.3 </w:t>
            </w:r>
          </w:p>
        </w:tc>
        <w:tc>
          <w:tcPr>
            <w:tcW w:w="178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4E9CF529" w14:textId="3E629274"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10.0 </w:t>
            </w:r>
          </w:p>
        </w:tc>
        <w:tc>
          <w:tcPr>
            <w:tcW w:w="1076"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3F0C287B" w14:textId="7DFFC657"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26.2 </w:t>
            </w:r>
          </w:p>
        </w:tc>
        <w:tc>
          <w:tcPr>
            <w:tcW w:w="1080" w:type="dxa"/>
            <w:tcBorders>
              <w:top w:val="single" w:sz="8" w:space="0" w:color="A6A6A6" w:themeColor="background1" w:themeShade="A6"/>
              <w:left w:val="nil"/>
              <w:bottom w:val="single" w:sz="8" w:space="0" w:color="A6A6A6" w:themeColor="background1" w:themeShade="A6"/>
              <w:right w:val="nil"/>
            </w:tcBorders>
            <w:shd w:val="clear" w:color="auto" w:fill="FFFFFF" w:themeFill="background1"/>
            <w:tcMar>
              <w:left w:w="108" w:type="dxa"/>
              <w:right w:w="108" w:type="dxa"/>
            </w:tcMar>
            <w:vAlign w:val="center"/>
          </w:tcPr>
          <w:p w14:paraId="01A1C5B6" w14:textId="3EEF5C30"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27.1 </w:t>
            </w:r>
          </w:p>
        </w:tc>
      </w:tr>
      <w:tr w:rsidR="1FA2E292" w14:paraId="4D948330" w14:textId="77777777" w:rsidTr="00AF5ED7">
        <w:trPr>
          <w:trHeight w:val="300"/>
        </w:trPr>
        <w:tc>
          <w:tcPr>
            <w:tcW w:w="2325" w:type="dxa"/>
            <w:tcBorders>
              <w:top w:val="single" w:sz="8" w:space="0" w:color="A6A6A6" w:themeColor="background1" w:themeShade="A6"/>
              <w:left w:val="single" w:sz="8" w:space="0" w:color="FFFFFF" w:themeColor="background1"/>
              <w:bottom w:val="single" w:sz="8" w:space="0" w:color="A6A6A6" w:themeColor="background1" w:themeShade="A6"/>
              <w:right w:val="nil"/>
            </w:tcBorders>
            <w:tcMar>
              <w:left w:w="108" w:type="dxa"/>
              <w:right w:w="108" w:type="dxa"/>
            </w:tcMar>
          </w:tcPr>
          <w:p w14:paraId="57A915AF" w14:textId="700714ED" w:rsidR="1FA2E292" w:rsidRDefault="1FA2E292">
            <w:pPr>
              <w:rPr>
                <w:rFonts w:eastAsia="Foundry Form Sans" w:cs="Foundry Form Sans"/>
                <w:sz w:val="22"/>
                <w:szCs w:val="22"/>
              </w:rPr>
            </w:pPr>
            <w:r w:rsidRPr="1FA2E292">
              <w:rPr>
                <w:rFonts w:eastAsia="Foundry Form Sans" w:cs="Foundry Form Sans"/>
                <w:sz w:val="22"/>
                <w:szCs w:val="22"/>
              </w:rPr>
              <w:t xml:space="preserve">Sales, </w:t>
            </w:r>
            <w:proofErr w:type="gramStart"/>
            <w:r w:rsidRPr="1FA2E292">
              <w:rPr>
                <w:rFonts w:eastAsia="Foundry Form Sans" w:cs="Foundry Form Sans"/>
                <w:sz w:val="22"/>
                <w:szCs w:val="22"/>
              </w:rPr>
              <w:t>fees</w:t>
            </w:r>
            <w:proofErr w:type="gramEnd"/>
            <w:r w:rsidRPr="1FA2E292">
              <w:rPr>
                <w:rFonts w:eastAsia="Foundry Form Sans" w:cs="Foundry Form Sans"/>
                <w:sz w:val="22"/>
                <w:szCs w:val="22"/>
              </w:rPr>
              <w:t xml:space="preserve"> and charges</w:t>
            </w:r>
          </w:p>
        </w:tc>
        <w:tc>
          <w:tcPr>
            <w:tcW w:w="117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6237D417" w14:textId="12F2533A"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(2.5)</w:t>
            </w:r>
          </w:p>
        </w:tc>
        <w:tc>
          <w:tcPr>
            <w:tcW w:w="1074"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511D53B5" w14:textId="25F27852"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(3.2)</w:t>
            </w:r>
          </w:p>
        </w:tc>
        <w:tc>
          <w:tcPr>
            <w:tcW w:w="1380"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29E4619E" w14:textId="21AE757B"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(5.6)</w:t>
            </w:r>
          </w:p>
        </w:tc>
        <w:tc>
          <w:tcPr>
            <w:tcW w:w="178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35E1F23C" w14:textId="4FCD8847"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(3.1)</w:t>
            </w:r>
          </w:p>
        </w:tc>
        <w:tc>
          <w:tcPr>
            <w:tcW w:w="1076"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646E8607" w14:textId="5956DA88"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(5.8)</w:t>
            </w:r>
          </w:p>
        </w:tc>
        <w:tc>
          <w:tcPr>
            <w:tcW w:w="108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172A7BF4" w14:textId="42317E24" w:rsidR="1FA2E292" w:rsidRDefault="1FA2E292" w:rsidP="00587E59">
            <w:pPr>
              <w:jc w:val="right"/>
              <w:rPr>
                <w:rFonts w:eastAsia="Foundry Form Sans" w:cs="Foundry Form Sans"/>
                <w:color w:val="000000" w:themeColor="text1"/>
                <w:sz w:val="22"/>
                <w:szCs w:val="22"/>
              </w:rPr>
            </w:pPr>
            <w:r w:rsidRPr="1FA2E292">
              <w:rPr>
                <w:rFonts w:eastAsia="Foundry Form Sans" w:cs="Foundry Form Sans"/>
                <w:color w:val="000000" w:themeColor="text1"/>
                <w:sz w:val="22"/>
                <w:szCs w:val="22"/>
              </w:rPr>
              <w:t>(5.6)</w:t>
            </w:r>
          </w:p>
        </w:tc>
      </w:tr>
      <w:tr w:rsidR="1FA2E292" w14:paraId="74E6FA56" w14:textId="77777777" w:rsidTr="00AF5ED7">
        <w:trPr>
          <w:trHeight w:val="300"/>
        </w:trPr>
        <w:tc>
          <w:tcPr>
            <w:tcW w:w="2325" w:type="dxa"/>
            <w:tcBorders>
              <w:top w:val="single" w:sz="8" w:space="0" w:color="A6A6A6" w:themeColor="background1" w:themeShade="A6"/>
              <w:left w:val="single" w:sz="8" w:space="0" w:color="FFFFFF" w:themeColor="background1"/>
              <w:bottom w:val="single" w:sz="8" w:space="0" w:color="A6A6A6" w:themeColor="background1" w:themeShade="A6"/>
              <w:right w:val="nil"/>
            </w:tcBorders>
            <w:tcMar>
              <w:left w:w="108" w:type="dxa"/>
              <w:right w:w="108" w:type="dxa"/>
            </w:tcMar>
          </w:tcPr>
          <w:p w14:paraId="7E77024B" w14:textId="7694AE80" w:rsidR="1FA2E292" w:rsidRDefault="1FA2E292">
            <w:pPr>
              <w:rPr>
                <w:rFonts w:eastAsia="Foundry Form Sans" w:cs="Foundry Form Sans"/>
                <w:b/>
                <w:bCs/>
                <w:sz w:val="22"/>
                <w:szCs w:val="22"/>
              </w:rPr>
            </w:pPr>
            <w:r w:rsidRPr="1FA2E292">
              <w:rPr>
                <w:rFonts w:eastAsia="Foundry Form Sans" w:cs="Foundry Form Sans"/>
                <w:b/>
                <w:bCs/>
                <w:sz w:val="22"/>
                <w:szCs w:val="22"/>
              </w:rPr>
              <w:t>Total gross Income</w:t>
            </w:r>
          </w:p>
        </w:tc>
        <w:tc>
          <w:tcPr>
            <w:tcW w:w="117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3048C4D8" w14:textId="201C8A54"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(2.5)</w:t>
            </w:r>
          </w:p>
        </w:tc>
        <w:tc>
          <w:tcPr>
            <w:tcW w:w="1074"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55537AB9" w14:textId="328CD9D2"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(3.2)</w:t>
            </w:r>
          </w:p>
        </w:tc>
        <w:tc>
          <w:tcPr>
            <w:tcW w:w="1380"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5AC543FC" w14:textId="510CB0AC"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(5.6)</w:t>
            </w:r>
          </w:p>
        </w:tc>
        <w:tc>
          <w:tcPr>
            <w:tcW w:w="178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6100BEE5" w14:textId="5409F134"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(3.1)</w:t>
            </w:r>
          </w:p>
        </w:tc>
        <w:tc>
          <w:tcPr>
            <w:tcW w:w="1076"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71D0D615" w14:textId="2DBE3851"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(5.8)</w:t>
            </w:r>
          </w:p>
        </w:tc>
        <w:tc>
          <w:tcPr>
            <w:tcW w:w="108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7FD7B688" w14:textId="1F0E29F9"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(5.6)</w:t>
            </w:r>
          </w:p>
        </w:tc>
      </w:tr>
      <w:tr w:rsidR="1FA2E292" w14:paraId="2A51F126" w14:textId="77777777" w:rsidTr="00AF5ED7">
        <w:trPr>
          <w:trHeight w:val="300"/>
        </w:trPr>
        <w:tc>
          <w:tcPr>
            <w:tcW w:w="2325" w:type="dxa"/>
            <w:tcBorders>
              <w:top w:val="single" w:sz="8" w:space="0" w:color="A6A6A6" w:themeColor="background1" w:themeShade="A6"/>
              <w:left w:val="single" w:sz="8" w:space="0" w:color="FFFFFF" w:themeColor="background1"/>
              <w:bottom w:val="single" w:sz="8" w:space="0" w:color="A6A6A6" w:themeColor="background1" w:themeShade="A6"/>
              <w:right w:val="nil"/>
            </w:tcBorders>
            <w:tcMar>
              <w:left w:w="108" w:type="dxa"/>
              <w:right w:w="108" w:type="dxa"/>
            </w:tcMar>
          </w:tcPr>
          <w:p w14:paraId="776BEF87" w14:textId="24D5D32E" w:rsidR="1FA2E292" w:rsidRDefault="1FA2E292">
            <w:pPr>
              <w:rPr>
                <w:rFonts w:eastAsia="Foundry Form Sans" w:cs="Foundry Form Sans"/>
                <w:b/>
                <w:bCs/>
                <w:sz w:val="22"/>
                <w:szCs w:val="22"/>
              </w:rPr>
            </w:pPr>
            <w:r w:rsidRPr="1FA2E292">
              <w:rPr>
                <w:rFonts w:eastAsia="Foundry Form Sans" w:cs="Foundry Form Sans"/>
                <w:b/>
                <w:bCs/>
                <w:sz w:val="22"/>
                <w:szCs w:val="22"/>
              </w:rPr>
              <w:t>Net expenditure</w:t>
            </w:r>
          </w:p>
        </w:tc>
        <w:tc>
          <w:tcPr>
            <w:tcW w:w="117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0E090A05" w14:textId="40495D78"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11.8 </w:t>
            </w:r>
          </w:p>
        </w:tc>
        <w:tc>
          <w:tcPr>
            <w:tcW w:w="1074"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2F547382" w14:textId="08035763"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13.7 </w:t>
            </w:r>
          </w:p>
        </w:tc>
        <w:tc>
          <w:tcPr>
            <w:tcW w:w="1380"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6A5851D8" w14:textId="3527993F"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18.7 </w:t>
            </w:r>
          </w:p>
        </w:tc>
        <w:tc>
          <w:tcPr>
            <w:tcW w:w="1785" w:type="dxa"/>
            <w:tcBorders>
              <w:top w:val="single" w:sz="8" w:space="0" w:color="A6A6A6" w:themeColor="background1" w:themeShade="A6"/>
              <w:left w:val="nil"/>
              <w:bottom w:val="single" w:sz="8" w:space="0" w:color="A6A6A6" w:themeColor="background1" w:themeShade="A6"/>
              <w:right w:val="nil"/>
            </w:tcBorders>
            <w:shd w:val="clear" w:color="auto" w:fill="D9D9D9" w:themeFill="background1" w:themeFillShade="D9"/>
            <w:tcMar>
              <w:left w:w="108" w:type="dxa"/>
              <w:right w:w="108" w:type="dxa"/>
            </w:tcMar>
            <w:vAlign w:val="center"/>
          </w:tcPr>
          <w:p w14:paraId="13183CDF" w14:textId="3BFCFB03"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6.9 </w:t>
            </w:r>
          </w:p>
        </w:tc>
        <w:tc>
          <w:tcPr>
            <w:tcW w:w="1076"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32C9FFA3" w14:textId="53095B50"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 xml:space="preserve">20.3 </w:t>
            </w:r>
          </w:p>
        </w:tc>
        <w:tc>
          <w:tcPr>
            <w:tcW w:w="1080" w:type="dxa"/>
            <w:tcBorders>
              <w:top w:val="single" w:sz="8" w:space="0" w:color="A6A6A6" w:themeColor="background1" w:themeShade="A6"/>
              <w:left w:val="nil"/>
              <w:bottom w:val="single" w:sz="8" w:space="0" w:color="A6A6A6" w:themeColor="background1" w:themeShade="A6"/>
              <w:right w:val="nil"/>
            </w:tcBorders>
            <w:tcMar>
              <w:left w:w="108" w:type="dxa"/>
              <w:right w:w="108" w:type="dxa"/>
            </w:tcMar>
            <w:vAlign w:val="center"/>
          </w:tcPr>
          <w:p w14:paraId="39356BD8" w14:textId="489F4CC0" w:rsidR="1FA2E292" w:rsidRDefault="1FA2E292" w:rsidP="00587E59">
            <w:pPr>
              <w:jc w:val="right"/>
              <w:rPr>
                <w:rFonts w:eastAsia="Foundry Form Sans" w:cs="Foundry Form Sans"/>
                <w:b/>
                <w:bCs/>
                <w:color w:val="000000" w:themeColor="text1"/>
                <w:sz w:val="22"/>
                <w:szCs w:val="22"/>
              </w:rPr>
            </w:pPr>
            <w:r w:rsidRPr="1FA2E292">
              <w:rPr>
                <w:rFonts w:eastAsia="Foundry Form Sans" w:cs="Foundry Form Sans"/>
                <w:b/>
                <w:bCs/>
                <w:color w:val="000000" w:themeColor="text1"/>
                <w:sz w:val="22"/>
                <w:szCs w:val="22"/>
              </w:rPr>
              <w:t>21.4</w:t>
            </w:r>
          </w:p>
        </w:tc>
      </w:tr>
    </w:tbl>
    <w:p w14:paraId="447AD2A0" w14:textId="5BC59BE3" w:rsidR="1FA2E292" w:rsidRPr="00587E59" w:rsidRDefault="1FA2E292" w:rsidP="1FA2E292"/>
    <w:p w14:paraId="769F1367" w14:textId="4B545544" w:rsidR="001F37B7" w:rsidRDefault="4C16D7AB" w:rsidP="006C4C6D">
      <w:pPr>
        <w:pStyle w:val="Heading1"/>
        <w:rPr>
          <w:rStyle w:val="normaltextrun"/>
          <w:rFonts w:cs="Times New Roman"/>
          <w:b w:val="0"/>
          <w:color w:val="000000" w:themeColor="text1"/>
          <w:kern w:val="0"/>
          <w:sz w:val="24"/>
          <w:szCs w:val="24"/>
          <w:shd w:val="clear" w:color="auto" w:fill="auto"/>
        </w:rPr>
      </w:pPr>
      <w:r w:rsidRPr="0F59A3A3">
        <w:rPr>
          <w:rStyle w:val="normaltextrun"/>
        </w:rPr>
        <w:t xml:space="preserve">Capital Strategy </w:t>
      </w:r>
    </w:p>
    <w:p w14:paraId="7A06D85D" w14:textId="463B2168" w:rsidR="0F59A3A3" w:rsidRDefault="0DF67BEE" w:rsidP="16A89082">
      <w:pPr>
        <w:spacing w:before="240"/>
        <w:ind w:firstLine="680"/>
        <w:jc w:val="both"/>
        <w:rPr>
          <w:rFonts w:eastAsiaTheme="minorEastAsia"/>
          <w:b/>
          <w:bCs/>
          <w:color w:val="auto"/>
        </w:rPr>
      </w:pPr>
      <w:r w:rsidRPr="16A89082">
        <w:rPr>
          <w:rFonts w:eastAsiaTheme="minorEastAsia"/>
          <w:b/>
          <w:bCs/>
          <w:color w:val="auto"/>
        </w:rPr>
        <w:t>Introduction</w:t>
      </w:r>
    </w:p>
    <w:p w14:paraId="4C20A195" w14:textId="3BCAE95C" w:rsidR="0F59A3A3" w:rsidRDefault="0F59A3A3" w:rsidP="678D5708">
      <w:pPr>
        <w:pStyle w:val="ListParagraph"/>
        <w:ind w:left="-9" w:hanging="567"/>
        <w:jc w:val="both"/>
        <w:rPr>
          <w:rFonts w:eastAsiaTheme="minorEastAsia"/>
          <w:color w:val="FF0000"/>
        </w:rPr>
      </w:pPr>
    </w:p>
    <w:p w14:paraId="6832D55A" w14:textId="7BF81F23" w:rsidR="00CC0041" w:rsidRPr="00C57BE8" w:rsidRDefault="375C1851" w:rsidP="003B6A3E">
      <w:pPr>
        <w:pStyle w:val="ListParagraph"/>
        <w:numPr>
          <w:ilvl w:val="0"/>
          <w:numId w:val="39"/>
        </w:numPr>
        <w:jc w:val="both"/>
        <w:rPr>
          <w:color w:val="auto"/>
        </w:rPr>
      </w:pPr>
      <w:r w:rsidRPr="6C0EE508">
        <w:rPr>
          <w:rFonts w:eastAsiaTheme="minorEastAsia"/>
          <w:color w:val="auto"/>
        </w:rPr>
        <w:t>Old Oak and Park Royal Development Corporation (OPDC)</w:t>
      </w:r>
      <w:r w:rsidR="6ACF303E" w:rsidRPr="6C0EE508">
        <w:rPr>
          <w:rFonts w:eastAsiaTheme="minorEastAsia"/>
          <w:color w:val="auto"/>
        </w:rPr>
        <w:t xml:space="preserve"> </w:t>
      </w:r>
      <w:r w:rsidR="5AB846D1" w:rsidRPr="6C0EE508">
        <w:rPr>
          <w:color w:val="000000" w:themeColor="text1"/>
        </w:rPr>
        <w:t>is a Mayoral Development Corporation (MDC), with a statutory purpose and powers to regenerate the Old Oak and Park Royal Opportunity Area</w:t>
      </w:r>
      <w:r w:rsidR="1486B477" w:rsidRPr="6C0EE508">
        <w:rPr>
          <w:color w:val="000000" w:themeColor="text1"/>
        </w:rPr>
        <w:t>.</w:t>
      </w:r>
    </w:p>
    <w:p w14:paraId="57D73143" w14:textId="4FCB4C2F" w:rsidR="00CC0041" w:rsidRPr="00C57BE8" w:rsidRDefault="00CC0041" w:rsidP="6C0EE508">
      <w:pPr>
        <w:pStyle w:val="ListParagraph"/>
        <w:ind w:left="680"/>
        <w:jc w:val="both"/>
        <w:rPr>
          <w:color w:val="auto"/>
        </w:rPr>
      </w:pPr>
    </w:p>
    <w:p w14:paraId="01BB048A" w14:textId="393B5A8C" w:rsidR="00CC0041" w:rsidRPr="00C57BE8" w:rsidRDefault="00CC0041" w:rsidP="003B6A3E">
      <w:pPr>
        <w:pStyle w:val="ListParagraph"/>
        <w:numPr>
          <w:ilvl w:val="0"/>
          <w:numId w:val="39"/>
        </w:numPr>
        <w:jc w:val="both"/>
        <w:rPr>
          <w:color w:val="auto"/>
        </w:rPr>
      </w:pPr>
      <w:r w:rsidRPr="6C0EE508">
        <w:rPr>
          <w:color w:val="auto"/>
        </w:rPr>
        <w:t>OPDC</w:t>
      </w:r>
      <w:r w:rsidRPr="00C57BE8">
        <w:rPr>
          <w:color w:val="auto"/>
        </w:rPr>
        <w:t xml:space="preserve"> has undergone a step change in our activities in the last 18 months,</w:t>
      </w:r>
      <w:r w:rsidR="00DC0DEE" w:rsidRPr="00C57BE8">
        <w:rPr>
          <w:color w:val="auto"/>
        </w:rPr>
        <w:t xml:space="preserve"> </w:t>
      </w:r>
      <w:r w:rsidR="008C51AE" w:rsidRPr="00C57BE8">
        <w:rPr>
          <w:color w:val="auto"/>
        </w:rPr>
        <w:t>with</w:t>
      </w:r>
      <w:r w:rsidRPr="00C57BE8">
        <w:rPr>
          <w:color w:val="auto"/>
        </w:rPr>
        <w:t xml:space="preserve"> over £150</w:t>
      </w:r>
      <w:r w:rsidR="00A24EA2">
        <w:rPr>
          <w:color w:val="auto"/>
        </w:rPr>
        <w:t xml:space="preserve"> </w:t>
      </w:r>
      <w:r w:rsidRPr="00C57BE8">
        <w:rPr>
          <w:color w:val="auto"/>
        </w:rPr>
        <w:t>m</w:t>
      </w:r>
      <w:r w:rsidR="00A24EA2">
        <w:rPr>
          <w:color w:val="auto"/>
        </w:rPr>
        <w:t>illion</w:t>
      </w:r>
      <w:r w:rsidRPr="00C57BE8">
        <w:rPr>
          <w:color w:val="auto"/>
        </w:rPr>
        <w:t xml:space="preserve"> in capital assets under management by the end of 2024-25, in line with our land assembly plan. </w:t>
      </w:r>
    </w:p>
    <w:p w14:paraId="3ABD8604" w14:textId="51FF9F22" w:rsidR="00CC0041" w:rsidRPr="00C57BE8" w:rsidRDefault="00CC0041" w:rsidP="2DCE5A2A">
      <w:pPr>
        <w:pStyle w:val="ListParagraph"/>
        <w:ind w:left="680"/>
        <w:jc w:val="both"/>
        <w:rPr>
          <w:color w:val="auto"/>
        </w:rPr>
      </w:pPr>
    </w:p>
    <w:p w14:paraId="1E84376C" w14:textId="5D741DAD" w:rsidR="00CC0041" w:rsidRPr="00C57BE8" w:rsidRDefault="00CC0041" w:rsidP="003B6A3E">
      <w:pPr>
        <w:pStyle w:val="ListParagraph"/>
        <w:numPr>
          <w:ilvl w:val="0"/>
          <w:numId w:val="39"/>
        </w:numPr>
        <w:jc w:val="both"/>
        <w:rPr>
          <w:color w:val="auto"/>
        </w:rPr>
      </w:pPr>
      <w:r w:rsidRPr="00C57BE8">
        <w:rPr>
          <w:color w:val="auto"/>
        </w:rPr>
        <w:t xml:space="preserve">Once combined with the publicly owned land, as per our Outline Business Case (OBC) for the regeneration of Old Oak, we will be a step closer to </w:t>
      </w:r>
      <w:r w:rsidR="008F5356" w:rsidRPr="6C0EE508">
        <w:rPr>
          <w:color w:val="auto"/>
        </w:rPr>
        <w:t xml:space="preserve">meeting the targets set to us by the </w:t>
      </w:r>
      <w:proofErr w:type="gramStart"/>
      <w:r w:rsidR="008F5356" w:rsidRPr="6C0EE508">
        <w:rPr>
          <w:color w:val="auto"/>
        </w:rPr>
        <w:t>Mayor</w:t>
      </w:r>
      <w:proofErr w:type="gramEnd"/>
      <w:r w:rsidR="008F5356" w:rsidRPr="6C0EE508">
        <w:rPr>
          <w:color w:val="auto"/>
        </w:rPr>
        <w:t xml:space="preserve"> to deliver</w:t>
      </w:r>
      <w:r w:rsidRPr="6C0EE508">
        <w:rPr>
          <w:color w:val="auto"/>
        </w:rPr>
        <w:t xml:space="preserve"> </w:t>
      </w:r>
      <w:r w:rsidR="00A7401F" w:rsidRPr="6C0EE508">
        <w:rPr>
          <w:color w:val="auto"/>
        </w:rPr>
        <w:t xml:space="preserve">many thousands of </w:t>
      </w:r>
      <w:r w:rsidR="00AD1CC4" w:rsidRPr="6C0EE508">
        <w:rPr>
          <w:color w:val="auto"/>
        </w:rPr>
        <w:t xml:space="preserve">new </w:t>
      </w:r>
      <w:r w:rsidRPr="6C0EE508">
        <w:rPr>
          <w:color w:val="auto"/>
        </w:rPr>
        <w:t xml:space="preserve">homes and </w:t>
      </w:r>
      <w:r w:rsidR="00A7401F" w:rsidRPr="6C0EE508">
        <w:rPr>
          <w:color w:val="auto"/>
        </w:rPr>
        <w:t>jobs</w:t>
      </w:r>
      <w:r w:rsidRPr="00C57BE8">
        <w:rPr>
          <w:color w:val="auto"/>
        </w:rPr>
        <w:t xml:space="preserve"> for Londoners</w:t>
      </w:r>
      <w:r w:rsidR="00F00DC7" w:rsidRPr="167BBCD9">
        <w:rPr>
          <w:color w:val="auto"/>
        </w:rPr>
        <w:t>.</w:t>
      </w:r>
    </w:p>
    <w:p w14:paraId="45795C32" w14:textId="318FDEB7" w:rsidR="16A89082" w:rsidRDefault="16A89082" w:rsidP="16A89082">
      <w:pPr>
        <w:pStyle w:val="ListParagraph"/>
        <w:spacing w:before="240"/>
        <w:ind w:left="680"/>
        <w:jc w:val="both"/>
        <w:rPr>
          <w:rFonts w:eastAsiaTheme="minorEastAsia"/>
          <w:color w:val="auto"/>
        </w:rPr>
      </w:pPr>
    </w:p>
    <w:p w14:paraId="1F1CC1D7" w14:textId="7CA87A8C" w:rsidR="1CC1673C" w:rsidRDefault="1CC1673C" w:rsidP="00CC0041">
      <w:pPr>
        <w:pStyle w:val="ListParagraph"/>
        <w:spacing w:before="240"/>
        <w:ind w:left="680"/>
        <w:jc w:val="both"/>
        <w:rPr>
          <w:rFonts w:eastAsiaTheme="minorEastAsia"/>
          <w:color w:val="auto"/>
        </w:rPr>
      </w:pPr>
      <w:r w:rsidRPr="01985F2F">
        <w:rPr>
          <w:rFonts w:eastAsiaTheme="minorEastAsia"/>
          <w:b/>
          <w:bCs/>
          <w:color w:val="auto"/>
        </w:rPr>
        <w:t>Intention</w:t>
      </w:r>
      <w:r w:rsidR="3ACC4423" w:rsidRPr="01985F2F">
        <w:rPr>
          <w:rFonts w:eastAsiaTheme="minorEastAsia"/>
          <w:b/>
          <w:bCs/>
          <w:color w:val="auto"/>
        </w:rPr>
        <w:t xml:space="preserve"> </w:t>
      </w:r>
    </w:p>
    <w:p w14:paraId="0F09D3ED" w14:textId="69EEBD6A" w:rsidR="01985F2F" w:rsidRDefault="01985F2F" w:rsidP="01985F2F">
      <w:pPr>
        <w:pStyle w:val="ListParagraph"/>
        <w:spacing w:before="240"/>
        <w:ind w:left="680"/>
        <w:jc w:val="both"/>
        <w:rPr>
          <w:rFonts w:eastAsiaTheme="minorEastAsia"/>
          <w:color w:val="auto"/>
        </w:rPr>
      </w:pPr>
    </w:p>
    <w:p w14:paraId="2A4BAFA7" w14:textId="7FCA1186" w:rsidR="1CC1673C" w:rsidRDefault="00AD1CC4" w:rsidP="003B6A3E">
      <w:pPr>
        <w:pStyle w:val="ListParagraph"/>
        <w:numPr>
          <w:ilvl w:val="0"/>
          <w:numId w:val="39"/>
        </w:numPr>
        <w:spacing w:before="240"/>
        <w:jc w:val="both"/>
        <w:rPr>
          <w:rFonts w:eastAsiaTheme="minorEastAsia"/>
          <w:color w:val="auto"/>
        </w:rPr>
      </w:pPr>
      <w:r w:rsidRPr="448793F3">
        <w:rPr>
          <w:rFonts w:eastAsiaTheme="minorEastAsia"/>
          <w:color w:val="auto"/>
        </w:rPr>
        <w:t>This</w:t>
      </w:r>
      <w:r>
        <w:rPr>
          <w:rFonts w:eastAsiaTheme="minorEastAsia"/>
          <w:color w:val="auto"/>
        </w:rPr>
        <w:t xml:space="preserve"> strategy has been</w:t>
      </w:r>
      <w:r w:rsidR="1CC1673C" w:rsidRPr="678D5708">
        <w:rPr>
          <w:rFonts w:eastAsiaTheme="minorEastAsia"/>
          <w:color w:val="auto"/>
        </w:rPr>
        <w:t xml:space="preserve"> prepared in accordance with the Mayor’s Budget Guidance, which was published in July 2024.</w:t>
      </w:r>
      <w:r w:rsidR="37DDB745" w:rsidRPr="678D5708">
        <w:rPr>
          <w:rFonts w:eastAsiaTheme="minorEastAsia"/>
          <w:color w:val="auto"/>
        </w:rPr>
        <w:t xml:space="preserve"> </w:t>
      </w:r>
      <w:r w:rsidR="6C999881" w:rsidRPr="678D5708">
        <w:rPr>
          <w:rFonts w:eastAsiaTheme="minorEastAsia"/>
          <w:color w:val="auto"/>
        </w:rPr>
        <w:t>The Chartered Institu</w:t>
      </w:r>
      <w:r w:rsidR="39858576" w:rsidRPr="678D5708">
        <w:rPr>
          <w:rFonts w:eastAsiaTheme="minorEastAsia"/>
          <w:color w:val="auto"/>
        </w:rPr>
        <w:t>t</w:t>
      </w:r>
      <w:r w:rsidR="6C999881" w:rsidRPr="678D5708">
        <w:rPr>
          <w:rFonts w:eastAsiaTheme="minorEastAsia"/>
          <w:color w:val="auto"/>
        </w:rPr>
        <w:t xml:space="preserve">e of Public Finance and Accountancy (CIPFA) </w:t>
      </w:r>
      <w:r w:rsidR="7BFCE06C" w:rsidRPr="678D5708">
        <w:rPr>
          <w:rFonts w:eastAsiaTheme="minorEastAsia"/>
          <w:color w:val="auto"/>
        </w:rPr>
        <w:t>Prudential</w:t>
      </w:r>
      <w:r w:rsidR="6C999881" w:rsidRPr="678D5708">
        <w:rPr>
          <w:rFonts w:eastAsiaTheme="minorEastAsia"/>
          <w:color w:val="auto"/>
        </w:rPr>
        <w:t xml:space="preserve"> Code requires all local authorities to produce a Capital Strategy.</w:t>
      </w:r>
    </w:p>
    <w:p w14:paraId="1CF16B1E" w14:textId="12F13A15" w:rsidR="01985F2F" w:rsidRDefault="01985F2F" w:rsidP="01985F2F">
      <w:pPr>
        <w:pStyle w:val="ListParagraph"/>
        <w:spacing w:before="240"/>
        <w:ind w:left="680"/>
        <w:jc w:val="both"/>
        <w:rPr>
          <w:rFonts w:eastAsiaTheme="minorEastAsia"/>
          <w:color w:val="auto"/>
        </w:rPr>
      </w:pPr>
    </w:p>
    <w:p w14:paraId="429FFA4C" w14:textId="603C90EB" w:rsidR="1A44516B" w:rsidRDefault="4231DBBC" w:rsidP="6D2246B4">
      <w:pPr>
        <w:pStyle w:val="ListParagraph"/>
        <w:numPr>
          <w:ilvl w:val="0"/>
          <w:numId w:val="39"/>
        </w:numPr>
        <w:spacing w:before="240"/>
        <w:jc w:val="both"/>
        <w:rPr>
          <w:rFonts w:eastAsiaTheme="minorEastAsia"/>
          <w:color w:val="auto"/>
        </w:rPr>
      </w:pPr>
      <w:r w:rsidRPr="6D2246B4">
        <w:rPr>
          <w:rFonts w:eastAsiaTheme="minorEastAsia"/>
          <w:color w:val="auto"/>
        </w:rPr>
        <w:t>O</w:t>
      </w:r>
      <w:r w:rsidR="58465F46" w:rsidRPr="6D2246B4">
        <w:rPr>
          <w:rFonts w:eastAsiaTheme="minorEastAsia"/>
          <w:color w:val="auto"/>
        </w:rPr>
        <w:t>PDC’s</w:t>
      </w:r>
      <w:r w:rsidRPr="6D2246B4">
        <w:rPr>
          <w:rFonts w:eastAsiaTheme="minorEastAsia"/>
          <w:color w:val="auto"/>
        </w:rPr>
        <w:t xml:space="preserve"> </w:t>
      </w:r>
      <w:r w:rsidR="2F91BFED" w:rsidRPr="6D2246B4">
        <w:rPr>
          <w:rFonts w:eastAsiaTheme="minorEastAsia"/>
          <w:color w:val="auto"/>
        </w:rPr>
        <w:t>C</w:t>
      </w:r>
      <w:r w:rsidRPr="6D2246B4">
        <w:rPr>
          <w:rFonts w:eastAsiaTheme="minorEastAsia"/>
          <w:color w:val="auto"/>
        </w:rPr>
        <w:t xml:space="preserve">apital </w:t>
      </w:r>
      <w:r w:rsidR="505353EA" w:rsidRPr="6D2246B4">
        <w:rPr>
          <w:rFonts w:eastAsiaTheme="minorEastAsia"/>
          <w:color w:val="auto"/>
        </w:rPr>
        <w:t>S</w:t>
      </w:r>
      <w:r w:rsidRPr="6D2246B4">
        <w:rPr>
          <w:rFonts w:eastAsiaTheme="minorEastAsia"/>
          <w:color w:val="auto"/>
        </w:rPr>
        <w:t xml:space="preserve">trategy </w:t>
      </w:r>
      <w:r w:rsidR="59FAF633" w:rsidRPr="6D2246B4">
        <w:rPr>
          <w:rFonts w:eastAsiaTheme="minorEastAsia"/>
          <w:color w:val="auto"/>
        </w:rPr>
        <w:t xml:space="preserve">will form part of a GLA </w:t>
      </w:r>
      <w:r w:rsidR="5E4C25EA" w:rsidRPr="6D2246B4">
        <w:rPr>
          <w:rFonts w:eastAsiaTheme="minorEastAsia"/>
          <w:color w:val="auto"/>
        </w:rPr>
        <w:t>g</w:t>
      </w:r>
      <w:r w:rsidR="5287850F" w:rsidRPr="6D2246B4">
        <w:rPr>
          <w:rFonts w:eastAsiaTheme="minorEastAsia"/>
          <w:color w:val="auto"/>
        </w:rPr>
        <w:t>roup</w:t>
      </w:r>
      <w:r w:rsidR="59FAF633" w:rsidRPr="6D2246B4">
        <w:rPr>
          <w:rFonts w:eastAsiaTheme="minorEastAsia"/>
          <w:color w:val="auto"/>
        </w:rPr>
        <w:t xml:space="preserve">-wide strategy, </w:t>
      </w:r>
      <w:r w:rsidR="3DC381BD" w:rsidRPr="6D2246B4">
        <w:rPr>
          <w:rFonts w:eastAsiaTheme="minorEastAsia"/>
          <w:color w:val="auto"/>
        </w:rPr>
        <w:t>intended</w:t>
      </w:r>
      <w:r w:rsidR="59FAF633" w:rsidRPr="6D2246B4">
        <w:rPr>
          <w:rFonts w:eastAsiaTheme="minorEastAsia"/>
          <w:color w:val="auto"/>
        </w:rPr>
        <w:t xml:space="preserve"> to drive the </w:t>
      </w:r>
      <w:proofErr w:type="gramStart"/>
      <w:r w:rsidR="59FAF633" w:rsidRPr="6D2246B4">
        <w:rPr>
          <w:rFonts w:eastAsiaTheme="minorEastAsia"/>
          <w:color w:val="auto"/>
        </w:rPr>
        <w:t>Mayor’s</w:t>
      </w:r>
      <w:proofErr w:type="gramEnd"/>
      <w:r w:rsidR="59FAF633" w:rsidRPr="6D2246B4">
        <w:rPr>
          <w:rFonts w:eastAsiaTheme="minorEastAsia"/>
          <w:color w:val="auto"/>
        </w:rPr>
        <w:t xml:space="preserve"> capital investment ambition, whilst ensuring the sustainable, </w:t>
      </w:r>
      <w:r w:rsidR="69592AD9" w:rsidRPr="6D2246B4">
        <w:rPr>
          <w:rFonts w:eastAsiaTheme="minorEastAsia"/>
          <w:color w:val="auto"/>
        </w:rPr>
        <w:t>long-term</w:t>
      </w:r>
      <w:r w:rsidR="59FAF633" w:rsidRPr="6D2246B4">
        <w:rPr>
          <w:rFonts w:eastAsiaTheme="minorEastAsia"/>
          <w:color w:val="auto"/>
        </w:rPr>
        <w:t xml:space="preserve"> </w:t>
      </w:r>
      <w:r w:rsidR="338538A6" w:rsidRPr="6D2246B4">
        <w:rPr>
          <w:rFonts w:eastAsiaTheme="minorEastAsia"/>
          <w:color w:val="auto"/>
        </w:rPr>
        <w:t>delivery of</w:t>
      </w:r>
      <w:r w:rsidR="59FAF633" w:rsidRPr="6D2246B4">
        <w:rPr>
          <w:rFonts w:eastAsiaTheme="minorEastAsia"/>
          <w:color w:val="auto"/>
        </w:rPr>
        <w:t xml:space="preserve"> </w:t>
      </w:r>
      <w:r w:rsidR="59FAF633" w:rsidRPr="6D2246B4">
        <w:rPr>
          <w:rFonts w:eastAsiaTheme="minorEastAsia"/>
          <w:color w:val="auto"/>
        </w:rPr>
        <w:lastRenderedPageBreak/>
        <w:t xml:space="preserve">services. </w:t>
      </w:r>
      <w:r w:rsidR="0BD3A637" w:rsidRPr="6D2246B4">
        <w:rPr>
          <w:rFonts w:eastAsiaTheme="minorEastAsia"/>
          <w:color w:val="auto"/>
        </w:rPr>
        <w:t>The strategy</w:t>
      </w:r>
      <w:r w:rsidR="05BC01A4" w:rsidRPr="6D2246B4">
        <w:rPr>
          <w:rFonts w:eastAsiaTheme="minorEastAsia"/>
          <w:color w:val="auto"/>
        </w:rPr>
        <w:t xml:space="preserve"> </w:t>
      </w:r>
      <w:r w:rsidR="05EF1603" w:rsidRPr="6D2246B4">
        <w:rPr>
          <w:rFonts w:eastAsiaTheme="minorEastAsia"/>
          <w:color w:val="auto"/>
        </w:rPr>
        <w:t>demonstrate</w:t>
      </w:r>
      <w:r w:rsidR="55D45DA5" w:rsidRPr="6D2246B4">
        <w:rPr>
          <w:rFonts w:eastAsiaTheme="minorEastAsia"/>
          <w:color w:val="auto"/>
        </w:rPr>
        <w:t>s</w:t>
      </w:r>
      <w:r w:rsidR="05BC01A4" w:rsidRPr="6D2246B4">
        <w:rPr>
          <w:rFonts w:eastAsiaTheme="minorEastAsia"/>
          <w:color w:val="auto"/>
        </w:rPr>
        <w:t xml:space="preserve"> that </w:t>
      </w:r>
      <w:r w:rsidR="085DA081" w:rsidRPr="6D2246B4">
        <w:rPr>
          <w:rFonts w:eastAsiaTheme="minorEastAsia"/>
          <w:color w:val="auto"/>
        </w:rPr>
        <w:t>our</w:t>
      </w:r>
      <w:r w:rsidR="05BC01A4" w:rsidRPr="6D2246B4">
        <w:rPr>
          <w:rFonts w:eastAsiaTheme="minorEastAsia"/>
          <w:color w:val="auto"/>
        </w:rPr>
        <w:t xml:space="preserve"> </w:t>
      </w:r>
      <w:r w:rsidR="5D46838B" w:rsidRPr="6D2246B4">
        <w:rPr>
          <w:rFonts w:eastAsiaTheme="minorEastAsia"/>
          <w:color w:val="auto"/>
        </w:rPr>
        <w:t>capital</w:t>
      </w:r>
      <w:r w:rsidR="05BC01A4" w:rsidRPr="6D2246B4">
        <w:rPr>
          <w:rFonts w:eastAsiaTheme="minorEastAsia"/>
          <w:color w:val="auto"/>
        </w:rPr>
        <w:t xml:space="preserve"> </w:t>
      </w:r>
      <w:r w:rsidR="0675E72D" w:rsidRPr="6D2246B4">
        <w:rPr>
          <w:rFonts w:eastAsiaTheme="minorEastAsia"/>
          <w:color w:val="auto"/>
        </w:rPr>
        <w:t>expenditure</w:t>
      </w:r>
      <w:r w:rsidR="05BC01A4" w:rsidRPr="6D2246B4">
        <w:rPr>
          <w:rFonts w:eastAsiaTheme="minorEastAsia"/>
          <w:color w:val="auto"/>
        </w:rPr>
        <w:t xml:space="preserve"> </w:t>
      </w:r>
      <w:r w:rsidR="03300E13" w:rsidRPr="6D2246B4">
        <w:rPr>
          <w:rFonts w:eastAsiaTheme="minorEastAsia"/>
          <w:color w:val="auto"/>
        </w:rPr>
        <w:t>decisions</w:t>
      </w:r>
      <w:r w:rsidR="05BC01A4" w:rsidRPr="6D2246B4">
        <w:rPr>
          <w:rFonts w:eastAsiaTheme="minorEastAsia"/>
          <w:color w:val="auto"/>
        </w:rPr>
        <w:t xml:space="preserve"> are made in line with </w:t>
      </w:r>
      <w:r w:rsidR="1A2FDFEE" w:rsidRPr="6D2246B4">
        <w:rPr>
          <w:rFonts w:eastAsiaTheme="minorEastAsia"/>
          <w:color w:val="auto"/>
        </w:rPr>
        <w:t>Mayoral</w:t>
      </w:r>
      <w:r w:rsidR="05BC01A4" w:rsidRPr="6D2246B4">
        <w:rPr>
          <w:rFonts w:eastAsiaTheme="minorEastAsia"/>
          <w:color w:val="auto"/>
        </w:rPr>
        <w:t xml:space="preserve"> priorities and </w:t>
      </w:r>
      <w:r w:rsidR="64358E3E" w:rsidRPr="6D2246B4">
        <w:rPr>
          <w:rFonts w:eastAsiaTheme="minorEastAsia"/>
          <w:color w:val="auto"/>
        </w:rPr>
        <w:t>properly</w:t>
      </w:r>
      <w:r w:rsidR="4C071FD8" w:rsidRPr="6D2246B4">
        <w:rPr>
          <w:rFonts w:eastAsiaTheme="minorEastAsia"/>
          <w:color w:val="auto"/>
        </w:rPr>
        <w:t xml:space="preserve"> </w:t>
      </w:r>
      <w:r w:rsidR="05BC01A4" w:rsidRPr="6D2246B4">
        <w:rPr>
          <w:rFonts w:eastAsiaTheme="minorEastAsia"/>
          <w:color w:val="auto"/>
        </w:rPr>
        <w:t>take account of s</w:t>
      </w:r>
      <w:r w:rsidR="605CEA40" w:rsidRPr="6D2246B4">
        <w:rPr>
          <w:rFonts w:eastAsiaTheme="minorEastAsia"/>
          <w:color w:val="auto"/>
        </w:rPr>
        <w:t>t</w:t>
      </w:r>
      <w:r w:rsidR="05BC01A4" w:rsidRPr="6D2246B4">
        <w:rPr>
          <w:rFonts w:eastAsiaTheme="minorEastAsia"/>
          <w:color w:val="auto"/>
        </w:rPr>
        <w:t>e</w:t>
      </w:r>
      <w:r w:rsidR="5CB5C7D2" w:rsidRPr="6D2246B4">
        <w:rPr>
          <w:rFonts w:eastAsiaTheme="minorEastAsia"/>
          <w:color w:val="auto"/>
        </w:rPr>
        <w:t>wa</w:t>
      </w:r>
      <w:r w:rsidR="05BC01A4" w:rsidRPr="6D2246B4">
        <w:rPr>
          <w:rFonts w:eastAsiaTheme="minorEastAsia"/>
          <w:color w:val="auto"/>
        </w:rPr>
        <w:t>r</w:t>
      </w:r>
      <w:r w:rsidR="400E56F2" w:rsidRPr="6D2246B4">
        <w:rPr>
          <w:rFonts w:eastAsiaTheme="minorEastAsia"/>
          <w:color w:val="auto"/>
        </w:rPr>
        <w:t>d</w:t>
      </w:r>
      <w:r w:rsidR="05BC01A4" w:rsidRPr="6D2246B4">
        <w:rPr>
          <w:rFonts w:eastAsiaTheme="minorEastAsia"/>
          <w:color w:val="auto"/>
        </w:rPr>
        <w:t xml:space="preserve">ship, value for </w:t>
      </w:r>
      <w:r w:rsidR="146CC3BC" w:rsidRPr="6D2246B4">
        <w:rPr>
          <w:rFonts w:eastAsiaTheme="minorEastAsia"/>
          <w:color w:val="auto"/>
        </w:rPr>
        <w:t>money</w:t>
      </w:r>
      <w:r w:rsidR="05BC01A4" w:rsidRPr="6D2246B4">
        <w:rPr>
          <w:rFonts w:eastAsiaTheme="minorEastAsia"/>
          <w:color w:val="auto"/>
        </w:rPr>
        <w:t xml:space="preserve">, </w:t>
      </w:r>
      <w:r w:rsidR="1885CD44" w:rsidRPr="6D2246B4">
        <w:rPr>
          <w:rFonts w:eastAsiaTheme="minorEastAsia"/>
          <w:color w:val="auto"/>
        </w:rPr>
        <w:t>prudence</w:t>
      </w:r>
      <w:r w:rsidR="05BC01A4" w:rsidRPr="6D2246B4">
        <w:rPr>
          <w:rFonts w:eastAsiaTheme="minorEastAsia"/>
          <w:color w:val="auto"/>
        </w:rPr>
        <w:t xml:space="preserve">, </w:t>
      </w:r>
      <w:proofErr w:type="gramStart"/>
      <w:r w:rsidR="0B51092B" w:rsidRPr="6D2246B4">
        <w:rPr>
          <w:rFonts w:eastAsiaTheme="minorEastAsia"/>
          <w:color w:val="auto"/>
        </w:rPr>
        <w:t>sustainability</w:t>
      </w:r>
      <w:proofErr w:type="gramEnd"/>
      <w:r w:rsidR="05BC01A4" w:rsidRPr="6D2246B4">
        <w:rPr>
          <w:rFonts w:eastAsiaTheme="minorEastAsia"/>
          <w:color w:val="auto"/>
        </w:rPr>
        <w:t xml:space="preserve"> and </w:t>
      </w:r>
      <w:r w:rsidR="45F1CF44" w:rsidRPr="6D2246B4">
        <w:rPr>
          <w:rFonts w:eastAsiaTheme="minorEastAsia"/>
          <w:color w:val="auto"/>
        </w:rPr>
        <w:t>affordability</w:t>
      </w:r>
      <w:r w:rsidR="05BC01A4" w:rsidRPr="6D2246B4">
        <w:rPr>
          <w:rFonts w:eastAsiaTheme="minorEastAsia"/>
          <w:color w:val="auto"/>
        </w:rPr>
        <w:t xml:space="preserve"> and give due regard to risk and reward.</w:t>
      </w:r>
    </w:p>
    <w:p w14:paraId="36D8D973" w14:textId="21344984" w:rsidR="01985F2F" w:rsidRPr="00B1224C" w:rsidRDefault="4252CCE6" w:rsidP="003B6A3E">
      <w:pPr>
        <w:numPr>
          <w:ilvl w:val="0"/>
          <w:numId w:val="39"/>
        </w:numPr>
        <w:spacing w:before="240"/>
        <w:jc w:val="both"/>
        <w:rPr>
          <w:rFonts w:ascii="Segoe UI" w:eastAsia="Segoe UI" w:hAnsi="Segoe UI" w:cs="Segoe UI"/>
          <w:color w:val="auto"/>
        </w:rPr>
      </w:pPr>
      <w:r w:rsidRPr="26336132">
        <w:rPr>
          <w:rFonts w:eastAsiaTheme="minorEastAsia"/>
          <w:color w:val="auto"/>
        </w:rPr>
        <w:t>Th</w:t>
      </w:r>
      <w:r w:rsidR="4FB92974" w:rsidRPr="26336132">
        <w:rPr>
          <w:rFonts w:eastAsiaTheme="minorEastAsia"/>
          <w:color w:val="auto"/>
        </w:rPr>
        <w:t xml:space="preserve">e </w:t>
      </w:r>
      <w:r w:rsidR="004E4DD0" w:rsidRPr="6C0EE508">
        <w:rPr>
          <w:rFonts w:eastAsiaTheme="minorEastAsia"/>
          <w:color w:val="auto"/>
        </w:rPr>
        <w:t>strategy</w:t>
      </w:r>
      <w:r w:rsidRPr="26336132">
        <w:rPr>
          <w:rFonts w:eastAsiaTheme="minorEastAsia"/>
          <w:color w:val="auto"/>
        </w:rPr>
        <w:t xml:space="preserve"> leverages early public funding, together with available town planning funding sources such as s106 and in time, the Mayoral Community Infrastructure Levy</w:t>
      </w:r>
      <w:r w:rsidR="00152ADA" w:rsidRPr="6C0EE508">
        <w:rPr>
          <w:rFonts w:eastAsiaTheme="minorEastAsia"/>
          <w:color w:val="auto"/>
        </w:rPr>
        <w:t>. Our aim is</w:t>
      </w:r>
      <w:r w:rsidRPr="26336132">
        <w:rPr>
          <w:rFonts w:eastAsiaTheme="minorEastAsia"/>
          <w:color w:val="auto"/>
        </w:rPr>
        <w:t xml:space="preserve"> to deploy </w:t>
      </w:r>
      <w:r w:rsidR="00152ADA" w:rsidRPr="6C0EE508">
        <w:rPr>
          <w:rFonts w:eastAsiaTheme="minorEastAsia"/>
          <w:color w:val="auto"/>
        </w:rPr>
        <w:t xml:space="preserve">public </w:t>
      </w:r>
      <w:r w:rsidRPr="26336132">
        <w:rPr>
          <w:rFonts w:eastAsiaTheme="minorEastAsia"/>
          <w:color w:val="auto"/>
        </w:rPr>
        <w:t xml:space="preserve">capital efficiently to </w:t>
      </w:r>
      <w:r w:rsidR="001C7B49" w:rsidRPr="6C0EE508">
        <w:rPr>
          <w:rFonts w:eastAsiaTheme="minorEastAsia"/>
          <w:color w:val="auto"/>
        </w:rPr>
        <w:t xml:space="preserve">derisk delivery and </w:t>
      </w:r>
      <w:r w:rsidRPr="26336132">
        <w:rPr>
          <w:rFonts w:eastAsiaTheme="minorEastAsia"/>
          <w:color w:val="auto"/>
        </w:rPr>
        <w:t>bring forward the scale of private investment in Old Oak that will be needed for such a significant and important regeneration programme.</w:t>
      </w:r>
    </w:p>
    <w:p w14:paraId="3B4F4BD5" w14:textId="0224D797" w:rsidR="39CC6410" w:rsidRDefault="39CC6410" w:rsidP="003B6A3E">
      <w:pPr>
        <w:pStyle w:val="ListParagraph"/>
        <w:numPr>
          <w:ilvl w:val="0"/>
          <w:numId w:val="39"/>
        </w:numPr>
        <w:spacing w:before="240"/>
        <w:jc w:val="both"/>
        <w:rPr>
          <w:rFonts w:eastAsiaTheme="minorEastAsia"/>
          <w:color w:val="auto"/>
        </w:rPr>
      </w:pPr>
      <w:r w:rsidRPr="01985F2F">
        <w:rPr>
          <w:rFonts w:eastAsiaTheme="minorEastAsia"/>
          <w:color w:val="auto"/>
        </w:rPr>
        <w:t>The aims of the Capital Strategy are to</w:t>
      </w:r>
      <w:r w:rsidR="1C2B7A1D" w:rsidRPr="01985F2F">
        <w:rPr>
          <w:rFonts w:eastAsiaTheme="minorEastAsia"/>
          <w:color w:val="auto"/>
        </w:rPr>
        <w:t>:</w:t>
      </w:r>
    </w:p>
    <w:p w14:paraId="2E69D432" w14:textId="3E0F434A" w:rsid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p</w:t>
      </w:r>
      <w:r w:rsidR="1A44516B" w:rsidRPr="01985F2F">
        <w:rPr>
          <w:rFonts w:eastAsiaTheme="minorEastAsia"/>
          <w:color w:val="auto"/>
        </w:rPr>
        <w:t>rovide ongoing deployment of funding to support the assembly of private land interests, together with future investment in the infrastructure needed to de</w:t>
      </w:r>
      <w:r w:rsidR="23F50239" w:rsidRPr="01985F2F">
        <w:rPr>
          <w:rFonts w:eastAsiaTheme="minorEastAsia"/>
          <w:color w:val="auto"/>
        </w:rPr>
        <w:t>-</w:t>
      </w:r>
      <w:r w:rsidR="1A44516B" w:rsidRPr="01985F2F">
        <w:rPr>
          <w:rFonts w:eastAsiaTheme="minorEastAsia"/>
          <w:color w:val="auto"/>
        </w:rPr>
        <w:t>risk and unlock development</w:t>
      </w:r>
    </w:p>
    <w:p w14:paraId="44110194" w14:textId="26B042C6" w:rsid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t</w:t>
      </w:r>
      <w:r w:rsidR="46F4F7D0" w:rsidRPr="002F3427">
        <w:rPr>
          <w:rFonts w:eastAsiaTheme="minorEastAsia"/>
          <w:color w:val="auto"/>
        </w:rPr>
        <w:t>ransition</w:t>
      </w:r>
      <w:r w:rsidR="0029122B">
        <w:rPr>
          <w:rFonts w:eastAsiaTheme="minorEastAsia"/>
          <w:color w:val="auto"/>
        </w:rPr>
        <w:t xml:space="preserve">, </w:t>
      </w:r>
      <w:r w:rsidR="1A44516B" w:rsidRPr="002F3427">
        <w:rPr>
          <w:rFonts w:eastAsiaTheme="minorEastAsia"/>
          <w:color w:val="auto"/>
        </w:rPr>
        <w:t xml:space="preserve">over </w:t>
      </w:r>
      <w:r w:rsidR="6F79325E" w:rsidRPr="002F3427">
        <w:rPr>
          <w:rFonts w:eastAsiaTheme="minorEastAsia"/>
          <w:color w:val="auto"/>
        </w:rPr>
        <w:t xml:space="preserve">the </w:t>
      </w:r>
      <w:r w:rsidR="1A44516B" w:rsidRPr="002F3427">
        <w:rPr>
          <w:rFonts w:eastAsiaTheme="minorEastAsia"/>
          <w:color w:val="auto"/>
        </w:rPr>
        <w:t>next two years</w:t>
      </w:r>
      <w:r w:rsidR="0029122B">
        <w:rPr>
          <w:rFonts w:eastAsiaTheme="minorEastAsia"/>
          <w:color w:val="auto"/>
        </w:rPr>
        <w:t>,</w:t>
      </w:r>
      <w:r w:rsidR="1A44516B" w:rsidRPr="002F3427">
        <w:rPr>
          <w:rFonts w:eastAsiaTheme="minorEastAsia"/>
          <w:color w:val="auto"/>
        </w:rPr>
        <w:t xml:space="preserve"> to potential co-investment alongside private investors and development partner(s) following the procurement process that we will launch in 2025 </w:t>
      </w:r>
    </w:p>
    <w:p w14:paraId="1FD8EBE3" w14:textId="4685EF77" w:rsid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s</w:t>
      </w:r>
      <w:r w:rsidR="3BD02048" w:rsidRPr="002F3427">
        <w:rPr>
          <w:rFonts w:eastAsiaTheme="minorEastAsia"/>
          <w:color w:val="auto"/>
        </w:rPr>
        <w:t xml:space="preserve">et out how </w:t>
      </w:r>
      <w:r w:rsidR="0099660A" w:rsidRPr="6C0EE508">
        <w:rPr>
          <w:rFonts w:eastAsiaTheme="minorEastAsia"/>
          <w:color w:val="auto"/>
        </w:rPr>
        <w:t xml:space="preserve">we </w:t>
      </w:r>
      <w:r w:rsidR="258A13C4" w:rsidRPr="6C0EE508">
        <w:rPr>
          <w:rFonts w:eastAsiaTheme="minorEastAsia"/>
          <w:color w:val="auto"/>
        </w:rPr>
        <w:t>identif</w:t>
      </w:r>
      <w:r w:rsidR="0099660A" w:rsidRPr="6C0EE508">
        <w:rPr>
          <w:rFonts w:eastAsiaTheme="minorEastAsia"/>
          <w:color w:val="auto"/>
        </w:rPr>
        <w:t>y</w:t>
      </w:r>
      <w:r w:rsidR="258A13C4" w:rsidRPr="6C0EE508">
        <w:rPr>
          <w:rFonts w:eastAsiaTheme="minorEastAsia"/>
          <w:color w:val="auto"/>
        </w:rPr>
        <w:t>, prioritise</w:t>
      </w:r>
      <w:r w:rsidR="3BD02048" w:rsidRPr="002F3427">
        <w:rPr>
          <w:rFonts w:eastAsiaTheme="minorEastAsia"/>
          <w:color w:val="auto"/>
        </w:rPr>
        <w:t xml:space="preserve"> and </w:t>
      </w:r>
      <w:r w:rsidR="258A13C4" w:rsidRPr="6C0EE508">
        <w:rPr>
          <w:rFonts w:eastAsiaTheme="minorEastAsia"/>
          <w:color w:val="auto"/>
        </w:rPr>
        <w:t>programme</w:t>
      </w:r>
      <w:r w:rsidR="3BD02048" w:rsidRPr="002F3427">
        <w:rPr>
          <w:rFonts w:eastAsiaTheme="minorEastAsia"/>
          <w:color w:val="auto"/>
        </w:rPr>
        <w:t xml:space="preserve"> funding requirements from GLA</w:t>
      </w:r>
    </w:p>
    <w:p w14:paraId="72518AB9" w14:textId="43048EBF" w:rsid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c</w:t>
      </w:r>
      <w:r w:rsidR="3BD02048" w:rsidRPr="002F3427">
        <w:rPr>
          <w:rFonts w:eastAsiaTheme="minorEastAsia"/>
          <w:color w:val="auto"/>
        </w:rPr>
        <w:t>onsider options available for funding capital expenditure and identify the resources available for investment over the long term</w:t>
      </w:r>
    </w:p>
    <w:p w14:paraId="2091D0D5" w14:textId="4094565E" w:rsid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i</w:t>
      </w:r>
      <w:r w:rsidR="54517B24" w:rsidRPr="002F3427">
        <w:rPr>
          <w:rFonts w:eastAsiaTheme="minorEastAsia"/>
          <w:color w:val="auto"/>
        </w:rPr>
        <w:t xml:space="preserve">dentify capital income </w:t>
      </w:r>
      <w:r w:rsidR="3613134C" w:rsidRPr="002F3427">
        <w:rPr>
          <w:rFonts w:eastAsiaTheme="minorEastAsia"/>
          <w:color w:val="auto"/>
        </w:rPr>
        <w:t>streams</w:t>
      </w:r>
      <w:r w:rsidR="54517B24" w:rsidRPr="002F3427">
        <w:rPr>
          <w:rFonts w:eastAsiaTheme="minorEastAsia"/>
          <w:color w:val="auto"/>
        </w:rPr>
        <w:t xml:space="preserve"> assessing the associate</w:t>
      </w:r>
      <w:r w:rsidR="1826B762" w:rsidRPr="002F3427">
        <w:rPr>
          <w:rFonts w:eastAsiaTheme="minorEastAsia"/>
          <w:color w:val="auto"/>
        </w:rPr>
        <w:t>d</w:t>
      </w:r>
      <w:r w:rsidR="54517B24" w:rsidRPr="002F3427">
        <w:rPr>
          <w:rFonts w:eastAsiaTheme="minorEastAsia"/>
          <w:color w:val="auto"/>
        </w:rPr>
        <w:t xml:space="preserve"> ris</w:t>
      </w:r>
      <w:r w:rsidR="743CD9D8" w:rsidRPr="002F3427">
        <w:rPr>
          <w:rFonts w:eastAsiaTheme="minorEastAsia"/>
          <w:color w:val="auto"/>
        </w:rPr>
        <w:t>ks</w:t>
      </w:r>
      <w:r w:rsidR="54517B24" w:rsidRPr="002F3427">
        <w:rPr>
          <w:rFonts w:eastAsiaTheme="minorEastAsia"/>
          <w:color w:val="auto"/>
        </w:rPr>
        <w:t xml:space="preserve"> and profiling</w:t>
      </w:r>
    </w:p>
    <w:p w14:paraId="08D2457B" w14:textId="552EB74C" w:rsidR="3BD02048" w:rsidRPr="002F3427" w:rsidRDefault="00251AA3" w:rsidP="003B6A3E">
      <w:pPr>
        <w:pStyle w:val="ListParagraph"/>
        <w:numPr>
          <w:ilvl w:val="0"/>
          <w:numId w:val="46"/>
        </w:numPr>
        <w:spacing w:before="240"/>
        <w:jc w:val="both"/>
        <w:rPr>
          <w:rFonts w:eastAsiaTheme="minorEastAsia"/>
          <w:color w:val="auto"/>
        </w:rPr>
      </w:pPr>
      <w:r>
        <w:rPr>
          <w:rFonts w:eastAsiaTheme="minorEastAsia"/>
          <w:color w:val="auto"/>
        </w:rPr>
        <w:t>e</w:t>
      </w:r>
      <w:r w:rsidR="3BD02048" w:rsidRPr="002F3427">
        <w:rPr>
          <w:rFonts w:eastAsiaTheme="minorEastAsia"/>
          <w:color w:val="auto"/>
        </w:rPr>
        <w:t xml:space="preserve">stablish effective arrangements for the oversight and management of expenditure, </w:t>
      </w:r>
      <w:r w:rsidR="3C786388" w:rsidRPr="002F3427">
        <w:rPr>
          <w:rFonts w:eastAsiaTheme="minorEastAsia"/>
          <w:color w:val="auto"/>
        </w:rPr>
        <w:t>including</w:t>
      </w:r>
      <w:r w:rsidR="3BD02048" w:rsidRPr="002F3427">
        <w:rPr>
          <w:rFonts w:eastAsiaTheme="minorEastAsia"/>
          <w:color w:val="auto"/>
        </w:rPr>
        <w:t xml:space="preserve"> the assessment of deliverability,</w:t>
      </w:r>
      <w:r w:rsidR="3C5B7A34" w:rsidRPr="002F3427">
        <w:rPr>
          <w:rFonts w:eastAsiaTheme="minorEastAsia"/>
          <w:color w:val="auto"/>
        </w:rPr>
        <w:t xml:space="preserve"> </w:t>
      </w:r>
      <w:r w:rsidR="3BD02048" w:rsidRPr="002F3427">
        <w:rPr>
          <w:rFonts w:eastAsiaTheme="minorEastAsia"/>
          <w:color w:val="auto"/>
        </w:rPr>
        <w:t>outcomes, budget profiling and value for money.</w:t>
      </w:r>
    </w:p>
    <w:p w14:paraId="35652C6C" w14:textId="77777777" w:rsidR="00AD0B2C" w:rsidRDefault="3BD02048" w:rsidP="00AD0B2C">
      <w:pPr>
        <w:pStyle w:val="ListParagraph"/>
        <w:spacing w:before="240"/>
        <w:ind w:left="680"/>
        <w:jc w:val="both"/>
        <w:rPr>
          <w:rFonts w:eastAsiaTheme="minorEastAsia"/>
          <w:color w:val="auto"/>
        </w:rPr>
      </w:pPr>
      <w:r w:rsidRPr="01985F2F">
        <w:rPr>
          <w:rFonts w:eastAsiaTheme="minorEastAsia"/>
          <w:color w:val="auto"/>
        </w:rPr>
        <w:t xml:space="preserve"> </w:t>
      </w:r>
    </w:p>
    <w:p w14:paraId="716F0FF6" w14:textId="63B86E1D" w:rsidR="3BD02048" w:rsidRDefault="3BD02048" w:rsidP="00AD0B2C">
      <w:pPr>
        <w:pStyle w:val="ListParagraph"/>
        <w:spacing w:before="240"/>
        <w:ind w:left="680"/>
        <w:jc w:val="both"/>
        <w:rPr>
          <w:rFonts w:eastAsiaTheme="minorEastAsia"/>
          <w:b/>
          <w:bCs/>
          <w:color w:val="auto"/>
        </w:rPr>
      </w:pPr>
      <w:r w:rsidRPr="01985F2F">
        <w:rPr>
          <w:rFonts w:eastAsiaTheme="minorEastAsia"/>
          <w:b/>
          <w:bCs/>
          <w:color w:val="auto"/>
        </w:rPr>
        <w:t>Benefits</w:t>
      </w:r>
    </w:p>
    <w:p w14:paraId="338A7659" w14:textId="77777777" w:rsidR="00AD0B2C" w:rsidRDefault="00AD0B2C" w:rsidP="00AD0B2C">
      <w:pPr>
        <w:pStyle w:val="ListParagraph"/>
        <w:spacing w:before="240"/>
        <w:ind w:left="680"/>
        <w:jc w:val="both"/>
        <w:rPr>
          <w:rFonts w:eastAsiaTheme="minorEastAsia"/>
          <w:b/>
          <w:bCs/>
          <w:color w:val="auto"/>
        </w:rPr>
      </w:pPr>
    </w:p>
    <w:p w14:paraId="089482BA" w14:textId="1F20B92A" w:rsidR="52B6D9FD" w:rsidRDefault="52B6D9FD" w:rsidP="003B6A3E">
      <w:pPr>
        <w:pStyle w:val="ListParagraph"/>
        <w:numPr>
          <w:ilvl w:val="0"/>
          <w:numId w:val="39"/>
        </w:numPr>
        <w:spacing w:before="240"/>
        <w:jc w:val="both"/>
        <w:rPr>
          <w:rFonts w:eastAsiaTheme="minorEastAsia"/>
          <w:color w:val="auto"/>
        </w:rPr>
      </w:pPr>
      <w:r w:rsidRPr="16A89082">
        <w:rPr>
          <w:rFonts w:eastAsiaTheme="minorEastAsia"/>
          <w:color w:val="auto"/>
        </w:rPr>
        <w:t>The benefits of preparing a C</w:t>
      </w:r>
      <w:r w:rsidR="136D7E50" w:rsidRPr="16A89082">
        <w:rPr>
          <w:rFonts w:eastAsiaTheme="minorEastAsia"/>
          <w:color w:val="auto"/>
        </w:rPr>
        <w:t>a</w:t>
      </w:r>
      <w:r w:rsidRPr="16A89082">
        <w:rPr>
          <w:rFonts w:eastAsiaTheme="minorEastAsia"/>
          <w:color w:val="auto"/>
        </w:rPr>
        <w:t xml:space="preserve">pital Strategy </w:t>
      </w:r>
      <w:r w:rsidR="7DC21FC1" w:rsidRPr="6C0E0A9C">
        <w:rPr>
          <w:rFonts w:eastAsiaTheme="minorEastAsia"/>
          <w:color w:val="auto"/>
        </w:rPr>
        <w:t xml:space="preserve">for </w:t>
      </w:r>
      <w:r w:rsidR="7DC21FC1" w:rsidRPr="5713A967">
        <w:rPr>
          <w:rFonts w:eastAsiaTheme="minorEastAsia"/>
          <w:color w:val="auto"/>
        </w:rPr>
        <w:t xml:space="preserve">OPDC </w:t>
      </w:r>
      <w:r w:rsidRPr="5713A967">
        <w:rPr>
          <w:rFonts w:eastAsiaTheme="minorEastAsia"/>
          <w:color w:val="auto"/>
        </w:rPr>
        <w:t>are</w:t>
      </w:r>
      <w:r w:rsidRPr="16A89082">
        <w:rPr>
          <w:rFonts w:eastAsiaTheme="minorEastAsia"/>
          <w:color w:val="auto"/>
        </w:rPr>
        <w:t xml:space="preserve"> to:</w:t>
      </w:r>
    </w:p>
    <w:p w14:paraId="2C330CBF" w14:textId="3B90DD09" w:rsidR="00962BBB" w:rsidRDefault="00251AA3" w:rsidP="003B6A3E">
      <w:pPr>
        <w:pStyle w:val="ListParagraph"/>
        <w:numPr>
          <w:ilvl w:val="0"/>
          <w:numId w:val="45"/>
        </w:numPr>
        <w:spacing w:before="240"/>
        <w:jc w:val="both"/>
        <w:rPr>
          <w:rFonts w:eastAsiaTheme="minorEastAsia"/>
          <w:color w:val="auto"/>
        </w:rPr>
      </w:pPr>
      <w:r>
        <w:rPr>
          <w:rFonts w:eastAsiaTheme="minorEastAsia"/>
          <w:color w:val="auto"/>
        </w:rPr>
        <w:t>p</w:t>
      </w:r>
      <w:r w:rsidR="5C8A799E" w:rsidRPr="01985F2F">
        <w:rPr>
          <w:rFonts w:eastAsiaTheme="minorEastAsia"/>
          <w:color w:val="auto"/>
        </w:rPr>
        <w:t xml:space="preserve">rovide a clear </w:t>
      </w:r>
      <w:r w:rsidR="4C1C0ACF" w:rsidRPr="01985F2F">
        <w:rPr>
          <w:rFonts w:eastAsiaTheme="minorEastAsia"/>
          <w:color w:val="auto"/>
        </w:rPr>
        <w:t>framework</w:t>
      </w:r>
      <w:r w:rsidR="5C8A799E" w:rsidRPr="01985F2F">
        <w:rPr>
          <w:rFonts w:eastAsiaTheme="minorEastAsia"/>
          <w:color w:val="auto"/>
        </w:rPr>
        <w:t xml:space="preserve"> in which OPDC’s capital investment de</w:t>
      </w:r>
      <w:r w:rsidR="4BE53BC6" w:rsidRPr="01985F2F">
        <w:rPr>
          <w:rFonts w:eastAsiaTheme="minorEastAsia"/>
          <w:color w:val="auto"/>
        </w:rPr>
        <w:t>c</w:t>
      </w:r>
      <w:r w:rsidR="5C8A799E" w:rsidRPr="01985F2F">
        <w:rPr>
          <w:rFonts w:eastAsiaTheme="minorEastAsia"/>
          <w:color w:val="auto"/>
        </w:rPr>
        <w:t>i</w:t>
      </w:r>
      <w:r w:rsidR="4BE53BC6" w:rsidRPr="01985F2F">
        <w:rPr>
          <w:rFonts w:eastAsiaTheme="minorEastAsia"/>
          <w:color w:val="auto"/>
        </w:rPr>
        <w:t>si</w:t>
      </w:r>
      <w:r w:rsidR="5C8A799E" w:rsidRPr="01985F2F">
        <w:rPr>
          <w:rFonts w:eastAsiaTheme="minorEastAsia"/>
          <w:color w:val="auto"/>
        </w:rPr>
        <w:t>ons are made</w:t>
      </w:r>
    </w:p>
    <w:p w14:paraId="3875AE73" w14:textId="6AE9C1E8" w:rsidR="00962BBB" w:rsidRDefault="00251AA3" w:rsidP="003B6A3E">
      <w:pPr>
        <w:pStyle w:val="ListParagraph"/>
        <w:numPr>
          <w:ilvl w:val="0"/>
          <w:numId w:val="45"/>
        </w:numPr>
        <w:spacing w:before="240"/>
        <w:jc w:val="both"/>
        <w:rPr>
          <w:rFonts w:eastAsiaTheme="minorEastAsia"/>
          <w:color w:val="auto"/>
        </w:rPr>
      </w:pPr>
      <w:r>
        <w:rPr>
          <w:rFonts w:eastAsiaTheme="minorEastAsia"/>
          <w:color w:val="auto"/>
        </w:rPr>
        <w:t>h</w:t>
      </w:r>
      <w:r w:rsidR="030FF782" w:rsidRPr="00962BBB">
        <w:rPr>
          <w:rFonts w:eastAsiaTheme="minorEastAsia"/>
          <w:color w:val="auto"/>
        </w:rPr>
        <w:t xml:space="preserve">elp ensure OPDC’s </w:t>
      </w:r>
      <w:r w:rsidR="1113D794" w:rsidRPr="00962BBB">
        <w:rPr>
          <w:rFonts w:eastAsiaTheme="minorEastAsia"/>
          <w:color w:val="auto"/>
        </w:rPr>
        <w:t>capital</w:t>
      </w:r>
      <w:r w:rsidR="030FF782" w:rsidRPr="00962BBB">
        <w:rPr>
          <w:rFonts w:eastAsiaTheme="minorEastAsia"/>
          <w:color w:val="auto"/>
        </w:rPr>
        <w:t xml:space="preserve"> plans align to the </w:t>
      </w:r>
      <w:proofErr w:type="gramStart"/>
      <w:r w:rsidR="030FF782" w:rsidRPr="00962BBB">
        <w:rPr>
          <w:rFonts w:eastAsiaTheme="minorEastAsia"/>
          <w:color w:val="auto"/>
        </w:rPr>
        <w:t>Mayor’s</w:t>
      </w:r>
      <w:proofErr w:type="gramEnd"/>
      <w:r w:rsidR="030FF782" w:rsidRPr="00962BBB">
        <w:rPr>
          <w:rFonts w:eastAsiaTheme="minorEastAsia"/>
          <w:color w:val="auto"/>
        </w:rPr>
        <w:t xml:space="preserve"> priorities and ultimate</w:t>
      </w:r>
      <w:r w:rsidR="005304D9">
        <w:rPr>
          <w:rFonts w:eastAsiaTheme="minorEastAsia"/>
          <w:color w:val="auto"/>
        </w:rPr>
        <w:t>ly</w:t>
      </w:r>
      <w:r w:rsidR="030FF782" w:rsidRPr="00962BBB">
        <w:rPr>
          <w:rFonts w:eastAsiaTheme="minorEastAsia"/>
          <w:color w:val="auto"/>
        </w:rPr>
        <w:t xml:space="preserve"> </w:t>
      </w:r>
      <w:r w:rsidR="682C3762" w:rsidRPr="00962BBB">
        <w:rPr>
          <w:rFonts w:eastAsiaTheme="minorEastAsia"/>
          <w:color w:val="auto"/>
        </w:rPr>
        <w:t>achieves</w:t>
      </w:r>
      <w:r w:rsidR="030FF782" w:rsidRPr="00962BBB">
        <w:rPr>
          <w:rFonts w:eastAsiaTheme="minorEastAsia"/>
          <w:color w:val="auto"/>
        </w:rPr>
        <w:t xml:space="preserve"> OPDC’s </w:t>
      </w:r>
      <w:r w:rsidR="18F93BB6" w:rsidRPr="00962BBB">
        <w:rPr>
          <w:rFonts w:eastAsiaTheme="minorEastAsia"/>
          <w:color w:val="auto"/>
        </w:rPr>
        <w:t>objective</w:t>
      </w:r>
    </w:p>
    <w:p w14:paraId="718C044B" w14:textId="301E1878" w:rsidR="01985F2F" w:rsidRPr="002F3427" w:rsidRDefault="00251AA3" w:rsidP="003B6A3E">
      <w:pPr>
        <w:pStyle w:val="ListParagraph"/>
        <w:numPr>
          <w:ilvl w:val="0"/>
          <w:numId w:val="45"/>
        </w:numPr>
        <w:spacing w:before="240"/>
        <w:jc w:val="both"/>
        <w:rPr>
          <w:rFonts w:eastAsiaTheme="minorEastAsia"/>
          <w:color w:val="auto"/>
        </w:rPr>
      </w:pPr>
      <w:r>
        <w:rPr>
          <w:rFonts w:eastAsiaTheme="minorEastAsia"/>
          <w:color w:val="auto"/>
        </w:rPr>
        <w:t>p</w:t>
      </w:r>
      <w:r w:rsidR="2131F026" w:rsidRPr="00962BBB">
        <w:rPr>
          <w:rFonts w:eastAsiaTheme="minorEastAsia"/>
          <w:color w:val="auto"/>
        </w:rPr>
        <w:t>romote transparency and accountability, ensuring that OPDC takes ownership of its decisions and commitments.</w:t>
      </w:r>
    </w:p>
    <w:p w14:paraId="6665BCF8" w14:textId="28236A9D" w:rsidR="54517B24" w:rsidRDefault="54517B24" w:rsidP="002F3427">
      <w:pPr>
        <w:spacing w:before="240"/>
        <w:ind w:left="680"/>
        <w:jc w:val="both"/>
        <w:rPr>
          <w:rFonts w:eastAsiaTheme="minorEastAsia"/>
          <w:b/>
          <w:bCs/>
          <w:color w:val="auto"/>
        </w:rPr>
      </w:pPr>
      <w:r w:rsidRPr="16A89082">
        <w:rPr>
          <w:rFonts w:eastAsiaTheme="minorEastAsia"/>
          <w:b/>
          <w:bCs/>
          <w:color w:val="auto"/>
        </w:rPr>
        <w:t>Approach</w:t>
      </w:r>
    </w:p>
    <w:p w14:paraId="2D427EDB" w14:textId="10BB22B9" w:rsidR="69EA3F96" w:rsidRDefault="466D305C" w:rsidP="003B6A3E">
      <w:pPr>
        <w:pStyle w:val="ListParagraph"/>
        <w:numPr>
          <w:ilvl w:val="0"/>
          <w:numId w:val="39"/>
        </w:numPr>
        <w:spacing w:before="240"/>
        <w:jc w:val="both"/>
        <w:rPr>
          <w:rFonts w:eastAsiaTheme="minorEastAsia"/>
          <w:color w:val="auto"/>
        </w:rPr>
      </w:pPr>
      <w:r w:rsidRPr="26336132">
        <w:rPr>
          <w:rFonts w:eastAsiaTheme="minorEastAsia"/>
          <w:color w:val="auto"/>
        </w:rPr>
        <w:t>To ensure that capital res</w:t>
      </w:r>
      <w:r w:rsidR="0B41AA60" w:rsidRPr="26336132">
        <w:rPr>
          <w:rFonts w:eastAsiaTheme="minorEastAsia"/>
          <w:color w:val="auto"/>
        </w:rPr>
        <w:t>ource</w:t>
      </w:r>
      <w:r w:rsidRPr="26336132">
        <w:rPr>
          <w:rFonts w:eastAsiaTheme="minorEastAsia"/>
          <w:color w:val="auto"/>
        </w:rPr>
        <w:t xml:space="preserve">s are allocated optimally and deliver value for money, OPDC’s long-term capital planning is determined in </w:t>
      </w:r>
      <w:r w:rsidR="7A2A5C86" w:rsidRPr="26336132">
        <w:rPr>
          <w:rFonts w:eastAsiaTheme="minorEastAsia"/>
          <w:color w:val="auto"/>
        </w:rPr>
        <w:t>parallel</w:t>
      </w:r>
      <w:r w:rsidRPr="26336132">
        <w:rPr>
          <w:rFonts w:eastAsiaTheme="minorEastAsia"/>
          <w:color w:val="auto"/>
        </w:rPr>
        <w:t xml:space="preserve"> with the </w:t>
      </w:r>
      <w:r w:rsidR="0B34BEF8" w:rsidRPr="26336132">
        <w:rPr>
          <w:rFonts w:eastAsiaTheme="minorEastAsia"/>
          <w:color w:val="auto"/>
        </w:rPr>
        <w:t>annual</w:t>
      </w:r>
      <w:r w:rsidRPr="26336132">
        <w:rPr>
          <w:rFonts w:eastAsiaTheme="minorEastAsia"/>
          <w:color w:val="auto"/>
        </w:rPr>
        <w:t xml:space="preserve"> </w:t>
      </w:r>
      <w:r w:rsidR="08D67781" w:rsidRPr="26336132">
        <w:rPr>
          <w:rFonts w:eastAsiaTheme="minorEastAsia"/>
          <w:color w:val="auto"/>
        </w:rPr>
        <w:t>statutory</w:t>
      </w:r>
      <w:r w:rsidRPr="26336132">
        <w:rPr>
          <w:rFonts w:eastAsiaTheme="minorEastAsia"/>
          <w:color w:val="auto"/>
        </w:rPr>
        <w:t xml:space="preserve"> GLA budget process.</w:t>
      </w:r>
    </w:p>
    <w:p w14:paraId="119FBC64" w14:textId="3DCC7329" w:rsidR="26336132" w:rsidRDefault="26336132" w:rsidP="26336132">
      <w:pPr>
        <w:pStyle w:val="ListParagraph"/>
        <w:spacing w:before="240"/>
        <w:ind w:left="680"/>
        <w:jc w:val="both"/>
        <w:rPr>
          <w:rFonts w:eastAsiaTheme="minorEastAsia"/>
          <w:color w:val="auto"/>
        </w:rPr>
      </w:pPr>
    </w:p>
    <w:p w14:paraId="21A9D449" w14:textId="663F1FA1" w:rsidR="009E29BF" w:rsidRDefault="67CF0D25" w:rsidP="3AA976BB">
      <w:pPr>
        <w:pStyle w:val="ListParagraph"/>
        <w:numPr>
          <w:ilvl w:val="0"/>
          <w:numId w:val="39"/>
        </w:numPr>
        <w:spacing w:before="240"/>
        <w:jc w:val="both"/>
        <w:rPr>
          <w:rFonts w:eastAsiaTheme="minorEastAsia"/>
          <w:color w:val="auto"/>
        </w:rPr>
      </w:pPr>
      <w:r w:rsidRPr="3AA976BB">
        <w:rPr>
          <w:rFonts w:eastAsiaTheme="minorEastAsia"/>
          <w:color w:val="auto"/>
        </w:rPr>
        <w:t xml:space="preserve">OPDC has a </w:t>
      </w:r>
      <w:r w:rsidR="412CC2FB" w:rsidRPr="3AA976BB">
        <w:rPr>
          <w:rFonts w:eastAsiaTheme="minorEastAsia"/>
          <w:color w:val="auto"/>
        </w:rPr>
        <w:t>L</w:t>
      </w:r>
      <w:r w:rsidR="409902B4" w:rsidRPr="3AA976BB">
        <w:rPr>
          <w:rFonts w:eastAsiaTheme="minorEastAsia"/>
          <w:color w:val="auto"/>
        </w:rPr>
        <w:t>ong-</w:t>
      </w:r>
      <w:r w:rsidR="71751F4A" w:rsidRPr="3AA976BB">
        <w:rPr>
          <w:rFonts w:eastAsiaTheme="minorEastAsia"/>
          <w:color w:val="auto"/>
        </w:rPr>
        <w:t>t</w:t>
      </w:r>
      <w:r w:rsidR="409902B4" w:rsidRPr="3AA976BB">
        <w:rPr>
          <w:rFonts w:eastAsiaTheme="minorEastAsia"/>
          <w:color w:val="auto"/>
        </w:rPr>
        <w:t>erm</w:t>
      </w:r>
      <w:r w:rsidRPr="3AA976BB">
        <w:rPr>
          <w:rFonts w:eastAsiaTheme="minorEastAsia"/>
          <w:color w:val="auto"/>
        </w:rPr>
        <w:t xml:space="preserve"> Model, </w:t>
      </w:r>
      <w:r w:rsidR="3FBCD3F9" w:rsidRPr="3AA976BB">
        <w:rPr>
          <w:rFonts w:eastAsiaTheme="minorEastAsia"/>
          <w:color w:val="auto"/>
        </w:rPr>
        <w:t>that underpins the Capital Strategy and forecast</w:t>
      </w:r>
      <w:r w:rsidR="4701B2B8" w:rsidRPr="3AA976BB">
        <w:rPr>
          <w:rFonts w:eastAsiaTheme="minorEastAsia"/>
          <w:color w:val="auto"/>
        </w:rPr>
        <w:t>s</w:t>
      </w:r>
      <w:r w:rsidR="3FBCD3F9" w:rsidRPr="3AA976BB">
        <w:rPr>
          <w:rFonts w:eastAsiaTheme="minorEastAsia"/>
          <w:color w:val="auto"/>
        </w:rPr>
        <w:t xml:space="preserve"> capital expenditure over a long-term period. This model </w:t>
      </w:r>
      <w:r w:rsidRPr="3AA976BB">
        <w:rPr>
          <w:rFonts w:eastAsiaTheme="minorEastAsia"/>
          <w:color w:val="auto"/>
        </w:rPr>
        <w:t>was used when developing the Outline Business case for O</w:t>
      </w:r>
      <w:r w:rsidR="2607F072" w:rsidRPr="3AA976BB">
        <w:rPr>
          <w:rFonts w:eastAsiaTheme="minorEastAsia"/>
          <w:color w:val="auto"/>
        </w:rPr>
        <w:t>P</w:t>
      </w:r>
      <w:r w:rsidRPr="3AA976BB">
        <w:rPr>
          <w:rFonts w:eastAsiaTheme="minorEastAsia"/>
          <w:color w:val="auto"/>
        </w:rPr>
        <w:t>DC</w:t>
      </w:r>
      <w:r w:rsidR="6EF5657A" w:rsidRPr="3AA976BB">
        <w:rPr>
          <w:rFonts w:eastAsiaTheme="minorEastAsia"/>
          <w:color w:val="auto"/>
        </w:rPr>
        <w:t xml:space="preserve"> to prove viability of the O</w:t>
      </w:r>
      <w:r w:rsidR="4DCFE5A8" w:rsidRPr="3AA976BB">
        <w:rPr>
          <w:rFonts w:eastAsiaTheme="minorEastAsia"/>
          <w:color w:val="auto"/>
        </w:rPr>
        <w:t xml:space="preserve">ld </w:t>
      </w:r>
      <w:r w:rsidR="6EF5657A" w:rsidRPr="3AA976BB">
        <w:rPr>
          <w:rFonts w:eastAsiaTheme="minorEastAsia"/>
          <w:color w:val="auto"/>
        </w:rPr>
        <w:t>O</w:t>
      </w:r>
      <w:r w:rsidR="4071309C" w:rsidRPr="3AA976BB">
        <w:rPr>
          <w:rFonts w:eastAsiaTheme="minorEastAsia"/>
          <w:color w:val="auto"/>
        </w:rPr>
        <w:t>ak</w:t>
      </w:r>
      <w:r w:rsidR="6EF5657A" w:rsidRPr="3AA976BB">
        <w:rPr>
          <w:rFonts w:eastAsiaTheme="minorEastAsia"/>
          <w:color w:val="auto"/>
        </w:rPr>
        <w:t xml:space="preserve"> </w:t>
      </w:r>
      <w:r w:rsidR="28C5D0EE" w:rsidRPr="3AA976BB">
        <w:rPr>
          <w:rFonts w:eastAsiaTheme="minorEastAsia"/>
          <w:color w:val="auto"/>
        </w:rPr>
        <w:t xml:space="preserve">regeneration </w:t>
      </w:r>
      <w:r w:rsidR="6EF5657A" w:rsidRPr="3AA976BB">
        <w:rPr>
          <w:rFonts w:eastAsiaTheme="minorEastAsia"/>
          <w:color w:val="auto"/>
        </w:rPr>
        <w:t>scheme.</w:t>
      </w:r>
    </w:p>
    <w:p w14:paraId="761C7EE7" w14:textId="77777777" w:rsidR="009E29BF" w:rsidRPr="009E29BF" w:rsidRDefault="009E29BF" w:rsidP="009E29BF">
      <w:pPr>
        <w:jc w:val="both"/>
        <w:rPr>
          <w:rFonts w:eastAsiaTheme="minorEastAsia"/>
          <w:color w:val="auto"/>
        </w:rPr>
      </w:pPr>
    </w:p>
    <w:p w14:paraId="207C568C" w14:textId="1B85582E" w:rsidR="3DAFF4F8" w:rsidRDefault="67CF0D25" w:rsidP="003B6A3E">
      <w:pPr>
        <w:pStyle w:val="ListParagraph"/>
        <w:numPr>
          <w:ilvl w:val="0"/>
          <w:numId w:val="39"/>
        </w:numPr>
        <w:jc w:val="both"/>
        <w:rPr>
          <w:rFonts w:eastAsiaTheme="minorEastAsia"/>
          <w:color w:val="auto"/>
        </w:rPr>
      </w:pPr>
      <w:r w:rsidRPr="16A89082">
        <w:rPr>
          <w:rFonts w:eastAsiaTheme="minorEastAsia"/>
          <w:color w:val="auto"/>
        </w:rPr>
        <w:t>OPDC operates</w:t>
      </w:r>
      <w:r w:rsidR="45BB48A3" w:rsidRPr="16A89082">
        <w:rPr>
          <w:rFonts w:eastAsiaTheme="minorEastAsia"/>
          <w:color w:val="auto"/>
        </w:rPr>
        <w:t xml:space="preserve"> within the overall legislative and governance framework provided by the GLA Act 1999 and 2007 (which include the London Assembly’s power of summons and budgetary approval), provisions of the Local </w:t>
      </w:r>
      <w:r w:rsidR="148E7150" w:rsidRPr="16A89082">
        <w:rPr>
          <w:rFonts w:eastAsiaTheme="minorEastAsia"/>
          <w:color w:val="auto"/>
        </w:rPr>
        <w:t>Government</w:t>
      </w:r>
      <w:r w:rsidR="45BB48A3" w:rsidRPr="16A89082">
        <w:rPr>
          <w:rFonts w:eastAsiaTheme="minorEastAsia"/>
          <w:color w:val="auto"/>
        </w:rPr>
        <w:t xml:space="preserve"> Act 1972</w:t>
      </w:r>
      <w:r w:rsidR="7031C775" w:rsidRPr="16A89082">
        <w:rPr>
          <w:rFonts w:eastAsiaTheme="minorEastAsia"/>
          <w:color w:val="auto"/>
        </w:rPr>
        <w:t xml:space="preserve"> and</w:t>
      </w:r>
      <w:r w:rsidR="1D2FF905" w:rsidRPr="16A89082">
        <w:rPr>
          <w:rFonts w:eastAsiaTheme="minorEastAsia"/>
          <w:color w:val="auto"/>
        </w:rPr>
        <w:t xml:space="preserve"> </w:t>
      </w:r>
      <w:r w:rsidR="7031C775" w:rsidRPr="16A89082">
        <w:rPr>
          <w:rFonts w:eastAsiaTheme="minorEastAsia"/>
          <w:color w:val="auto"/>
        </w:rPr>
        <w:t xml:space="preserve">the Localism Act 2011. </w:t>
      </w:r>
    </w:p>
    <w:p w14:paraId="113FE9AF" w14:textId="17AC1E55" w:rsidR="3DAFF4F8" w:rsidRDefault="3DAFF4F8" w:rsidP="16A89082">
      <w:pPr>
        <w:pStyle w:val="ListParagraph"/>
        <w:spacing w:before="240"/>
        <w:ind w:left="680"/>
        <w:jc w:val="both"/>
        <w:rPr>
          <w:rFonts w:eastAsiaTheme="minorEastAsia"/>
          <w:color w:val="auto"/>
        </w:rPr>
      </w:pPr>
    </w:p>
    <w:p w14:paraId="07BB7064" w14:textId="6FC17B56" w:rsidR="00271E36" w:rsidRDefault="7031C775" w:rsidP="003B6A3E">
      <w:pPr>
        <w:pStyle w:val="ListParagraph"/>
        <w:numPr>
          <w:ilvl w:val="0"/>
          <w:numId w:val="39"/>
        </w:numPr>
        <w:spacing w:before="240"/>
        <w:jc w:val="both"/>
        <w:rPr>
          <w:rFonts w:eastAsiaTheme="minorEastAsia"/>
          <w:color w:val="auto"/>
        </w:rPr>
      </w:pPr>
      <w:r w:rsidRPr="02A5FFC4">
        <w:rPr>
          <w:rFonts w:eastAsiaTheme="minorEastAsia"/>
          <w:color w:val="auto"/>
        </w:rPr>
        <w:t>To aid good decision making and ensure that public funds are optimally utilised, OPDC has</w:t>
      </w:r>
      <w:r w:rsidR="53C49E5F" w:rsidRPr="02A5FFC4">
        <w:rPr>
          <w:rFonts w:eastAsiaTheme="minorEastAsia"/>
          <w:color w:val="auto"/>
        </w:rPr>
        <w:t xml:space="preserve"> put</w:t>
      </w:r>
      <w:r w:rsidRPr="02A5FFC4">
        <w:rPr>
          <w:rFonts w:eastAsiaTheme="minorEastAsia"/>
          <w:color w:val="auto"/>
        </w:rPr>
        <w:t xml:space="preserve"> in place </w:t>
      </w:r>
      <w:r w:rsidR="57F76AE2" w:rsidRPr="02A5FFC4">
        <w:rPr>
          <w:rFonts w:eastAsiaTheme="minorEastAsia"/>
          <w:color w:val="auto"/>
        </w:rPr>
        <w:t>capital</w:t>
      </w:r>
      <w:r w:rsidRPr="02A5FFC4">
        <w:rPr>
          <w:rFonts w:eastAsiaTheme="minorEastAsia"/>
          <w:color w:val="auto"/>
        </w:rPr>
        <w:t xml:space="preserve"> investment </w:t>
      </w:r>
      <w:r w:rsidR="6A6A58ED" w:rsidRPr="02A5FFC4">
        <w:rPr>
          <w:rFonts w:eastAsiaTheme="minorEastAsia"/>
          <w:color w:val="auto"/>
        </w:rPr>
        <w:t>oversight</w:t>
      </w:r>
      <w:r w:rsidRPr="02A5FFC4">
        <w:rPr>
          <w:rFonts w:eastAsiaTheme="minorEastAsia"/>
          <w:color w:val="auto"/>
        </w:rPr>
        <w:t xml:space="preserve"> and </w:t>
      </w:r>
      <w:r w:rsidR="018FF63E" w:rsidRPr="02A5FFC4">
        <w:rPr>
          <w:rFonts w:eastAsiaTheme="minorEastAsia"/>
          <w:color w:val="auto"/>
        </w:rPr>
        <w:t>appraisal</w:t>
      </w:r>
      <w:r w:rsidRPr="02A5FFC4">
        <w:rPr>
          <w:rFonts w:eastAsiaTheme="minorEastAsia"/>
          <w:color w:val="auto"/>
        </w:rPr>
        <w:t xml:space="preserve"> mechanism</w:t>
      </w:r>
      <w:r w:rsidR="0307AB0E" w:rsidRPr="02A5FFC4">
        <w:rPr>
          <w:rFonts w:eastAsiaTheme="minorEastAsia"/>
          <w:color w:val="auto"/>
        </w:rPr>
        <w:t>s</w:t>
      </w:r>
      <w:r w:rsidRPr="02A5FFC4">
        <w:rPr>
          <w:rFonts w:eastAsiaTheme="minorEastAsia"/>
          <w:color w:val="auto"/>
        </w:rPr>
        <w:t xml:space="preserve"> that include:</w:t>
      </w:r>
    </w:p>
    <w:p w14:paraId="3CD3674C" w14:textId="77777777" w:rsidR="00271E36" w:rsidRPr="00271E36" w:rsidRDefault="00271E36" w:rsidP="00271E36">
      <w:pPr>
        <w:pStyle w:val="ListParagraph"/>
        <w:rPr>
          <w:rFonts w:eastAsiaTheme="minorEastAsia"/>
          <w:b/>
          <w:bCs/>
          <w:color w:val="auto"/>
        </w:rPr>
      </w:pPr>
    </w:p>
    <w:p w14:paraId="561176F5" w14:textId="234829A8" w:rsidR="00651A31" w:rsidRPr="00651A31" w:rsidRDefault="11550846" w:rsidP="003B6A3E">
      <w:pPr>
        <w:pStyle w:val="ListParagraph"/>
        <w:numPr>
          <w:ilvl w:val="0"/>
          <w:numId w:val="44"/>
        </w:numPr>
        <w:spacing w:before="240"/>
        <w:jc w:val="both"/>
        <w:rPr>
          <w:rFonts w:eastAsiaTheme="minorEastAsia"/>
          <w:color w:val="auto"/>
        </w:rPr>
      </w:pPr>
      <w:r w:rsidRPr="23D8A931">
        <w:rPr>
          <w:rFonts w:eastAsiaTheme="minorEastAsia"/>
          <w:b/>
          <w:bCs/>
          <w:color w:val="auto"/>
        </w:rPr>
        <w:t>OPDC Board</w:t>
      </w:r>
      <w:r w:rsidR="777E499E" w:rsidRPr="23D8A931">
        <w:rPr>
          <w:rFonts w:eastAsiaTheme="minorEastAsia"/>
          <w:b/>
          <w:bCs/>
          <w:color w:val="auto"/>
        </w:rPr>
        <w:t xml:space="preserve">: </w:t>
      </w:r>
      <w:r w:rsidR="007F1939" w:rsidRPr="6C0EE508">
        <w:rPr>
          <w:rFonts w:eastAsiaTheme="minorEastAsia"/>
          <w:color w:val="auto"/>
        </w:rPr>
        <w:t>r</w:t>
      </w:r>
      <w:r w:rsidR="10114917" w:rsidRPr="6C0EE508">
        <w:rPr>
          <w:rFonts w:eastAsiaTheme="minorEastAsia"/>
          <w:color w:val="auto"/>
        </w:rPr>
        <w:t>eview</w:t>
      </w:r>
      <w:r w:rsidR="777E499E" w:rsidRPr="23D8A931">
        <w:rPr>
          <w:rFonts w:eastAsiaTheme="minorEastAsia"/>
          <w:color w:val="auto"/>
        </w:rPr>
        <w:t xml:space="preserve"> and </w:t>
      </w:r>
      <w:r w:rsidR="6C641157" w:rsidRPr="23D8A931">
        <w:rPr>
          <w:rFonts w:eastAsiaTheme="minorEastAsia"/>
          <w:color w:val="auto"/>
        </w:rPr>
        <w:t>approval</w:t>
      </w:r>
      <w:r w:rsidR="777E499E" w:rsidRPr="23D8A931">
        <w:rPr>
          <w:rFonts w:eastAsiaTheme="minorEastAsia"/>
          <w:color w:val="auto"/>
        </w:rPr>
        <w:t xml:space="preserve"> of capital investment decis</w:t>
      </w:r>
      <w:r w:rsidR="14668614" w:rsidRPr="23D8A931">
        <w:rPr>
          <w:rFonts w:eastAsiaTheme="minorEastAsia"/>
          <w:color w:val="auto"/>
        </w:rPr>
        <w:t>i</w:t>
      </w:r>
      <w:r w:rsidR="777E499E" w:rsidRPr="23D8A931">
        <w:rPr>
          <w:rFonts w:eastAsiaTheme="minorEastAsia"/>
          <w:color w:val="auto"/>
        </w:rPr>
        <w:t xml:space="preserve">ons </w:t>
      </w:r>
      <w:r w:rsidR="7992A118" w:rsidRPr="23D8A931">
        <w:rPr>
          <w:rFonts w:eastAsiaTheme="minorEastAsia"/>
          <w:color w:val="auto"/>
        </w:rPr>
        <w:t xml:space="preserve">and approval of the OPDC </w:t>
      </w:r>
      <w:r w:rsidR="00CA1406">
        <w:rPr>
          <w:rFonts w:eastAsiaTheme="minorEastAsia"/>
          <w:color w:val="auto"/>
        </w:rPr>
        <w:t>c</w:t>
      </w:r>
      <w:r w:rsidR="7992A118" w:rsidRPr="23D8A931">
        <w:rPr>
          <w:rFonts w:eastAsiaTheme="minorEastAsia"/>
          <w:color w:val="auto"/>
        </w:rPr>
        <w:t>apital budget before submission to GLA</w:t>
      </w:r>
      <w:r w:rsidR="6D8CBE69" w:rsidRPr="23D8A931">
        <w:rPr>
          <w:rFonts w:eastAsiaTheme="minorEastAsia"/>
          <w:color w:val="auto"/>
        </w:rPr>
        <w:t>.</w:t>
      </w:r>
      <w:r w:rsidR="3E87A82D" w:rsidRPr="23D8A931">
        <w:rPr>
          <w:rFonts w:eastAsiaTheme="minorEastAsia"/>
          <w:color w:val="auto"/>
        </w:rPr>
        <w:t xml:space="preserve"> </w:t>
      </w:r>
      <w:r w:rsidR="3088F6D7" w:rsidRPr="23D8A931">
        <w:rPr>
          <w:rFonts w:eastAsiaTheme="minorEastAsia"/>
          <w:color w:val="auto"/>
        </w:rPr>
        <w:t>R</w:t>
      </w:r>
      <w:r w:rsidR="3E87A82D" w:rsidRPr="23D8A931">
        <w:rPr>
          <w:rFonts w:eastAsiaTheme="minorEastAsia"/>
          <w:color w:val="auto"/>
        </w:rPr>
        <w:t xml:space="preserve">eview of quarterly Corporate Management accounts, which </w:t>
      </w:r>
      <w:r w:rsidR="710F340F" w:rsidRPr="23D8A931">
        <w:rPr>
          <w:rFonts w:eastAsiaTheme="minorEastAsia"/>
          <w:color w:val="auto"/>
        </w:rPr>
        <w:t>include</w:t>
      </w:r>
      <w:r w:rsidR="3E87A82D" w:rsidRPr="23D8A931">
        <w:rPr>
          <w:rFonts w:eastAsiaTheme="minorEastAsia"/>
          <w:color w:val="auto"/>
        </w:rPr>
        <w:t>s year-to-date capital expenditure versus budget and forecast outturn for the financial year</w:t>
      </w:r>
    </w:p>
    <w:p w14:paraId="2CDFAC6E" w14:textId="0C1B02FB" w:rsidR="00B230A7" w:rsidRDefault="48A3B606" w:rsidP="003B6A3E">
      <w:pPr>
        <w:pStyle w:val="ListParagraph"/>
        <w:numPr>
          <w:ilvl w:val="0"/>
          <w:numId w:val="44"/>
        </w:numPr>
        <w:spacing w:before="240"/>
        <w:jc w:val="both"/>
        <w:rPr>
          <w:rFonts w:eastAsiaTheme="minorEastAsia"/>
          <w:color w:val="auto"/>
        </w:rPr>
      </w:pPr>
      <w:r w:rsidRPr="02A5FFC4">
        <w:rPr>
          <w:rFonts w:eastAsiaTheme="minorEastAsia"/>
          <w:b/>
          <w:bCs/>
          <w:color w:val="auto"/>
        </w:rPr>
        <w:lastRenderedPageBreak/>
        <w:t>D</w:t>
      </w:r>
      <w:r w:rsidR="6683B163" w:rsidRPr="02A5FFC4">
        <w:rPr>
          <w:rFonts w:eastAsiaTheme="minorEastAsia"/>
          <w:b/>
          <w:bCs/>
          <w:color w:val="auto"/>
        </w:rPr>
        <w:t>evelopment</w:t>
      </w:r>
      <w:r w:rsidRPr="02A5FFC4">
        <w:rPr>
          <w:rFonts w:eastAsiaTheme="minorEastAsia"/>
          <w:b/>
          <w:bCs/>
          <w:color w:val="auto"/>
        </w:rPr>
        <w:t>, Investment and Sustainability Committee</w:t>
      </w:r>
      <w:r w:rsidR="1DF755D5" w:rsidRPr="02A5FFC4">
        <w:rPr>
          <w:rFonts w:eastAsiaTheme="minorEastAsia"/>
          <w:b/>
          <w:bCs/>
          <w:color w:val="auto"/>
        </w:rPr>
        <w:t xml:space="preserve"> (</w:t>
      </w:r>
      <w:proofErr w:type="spellStart"/>
      <w:r w:rsidR="1DF755D5" w:rsidRPr="02A5FFC4">
        <w:rPr>
          <w:rFonts w:eastAsiaTheme="minorEastAsia"/>
          <w:b/>
          <w:bCs/>
          <w:color w:val="auto"/>
        </w:rPr>
        <w:t>DISCo</w:t>
      </w:r>
      <w:proofErr w:type="spellEnd"/>
      <w:r w:rsidR="1DF755D5" w:rsidRPr="02A5FFC4">
        <w:rPr>
          <w:rFonts w:eastAsiaTheme="minorEastAsia"/>
          <w:b/>
          <w:bCs/>
          <w:color w:val="auto"/>
        </w:rPr>
        <w:t>)</w:t>
      </w:r>
      <w:r w:rsidR="5717ADC2" w:rsidRPr="02A5FFC4">
        <w:rPr>
          <w:rFonts w:eastAsiaTheme="minorEastAsia"/>
          <w:b/>
          <w:bCs/>
          <w:color w:val="auto"/>
        </w:rPr>
        <w:t>:</w:t>
      </w:r>
      <w:r w:rsidR="5717ADC2" w:rsidRPr="02A5FFC4">
        <w:rPr>
          <w:rFonts w:eastAsiaTheme="minorEastAsia"/>
          <w:color w:val="auto"/>
        </w:rPr>
        <w:t xml:space="preserve"> </w:t>
      </w:r>
      <w:r w:rsidR="00390BF0" w:rsidRPr="6C0EE508">
        <w:rPr>
          <w:rFonts w:eastAsiaTheme="minorEastAsia"/>
          <w:color w:val="auto"/>
        </w:rPr>
        <w:t>d</w:t>
      </w:r>
      <w:r w:rsidR="6810D650" w:rsidRPr="6C0EE508">
        <w:rPr>
          <w:rFonts w:eastAsiaTheme="minorEastAsia"/>
          <w:color w:val="auto"/>
        </w:rPr>
        <w:t>etail</w:t>
      </w:r>
      <w:r w:rsidR="481889D4" w:rsidRPr="6C0EE508">
        <w:rPr>
          <w:rFonts w:eastAsiaTheme="minorEastAsia"/>
          <w:color w:val="auto"/>
        </w:rPr>
        <w:t>ed</w:t>
      </w:r>
      <w:r w:rsidR="2CDF8608" w:rsidRPr="02A5FFC4">
        <w:rPr>
          <w:rFonts w:eastAsiaTheme="minorEastAsia"/>
          <w:color w:val="auto"/>
        </w:rPr>
        <w:t xml:space="preserve"> r</w:t>
      </w:r>
      <w:r w:rsidR="0490DB73" w:rsidRPr="02A5FFC4">
        <w:rPr>
          <w:rFonts w:eastAsiaTheme="minorEastAsia"/>
          <w:color w:val="auto"/>
        </w:rPr>
        <w:t xml:space="preserve">eview </w:t>
      </w:r>
      <w:r w:rsidR="2CDF8608" w:rsidRPr="02A5FFC4">
        <w:rPr>
          <w:rFonts w:eastAsiaTheme="minorEastAsia"/>
          <w:color w:val="auto"/>
        </w:rPr>
        <w:t xml:space="preserve">of </w:t>
      </w:r>
      <w:r w:rsidR="74C03617" w:rsidRPr="02A5FFC4">
        <w:rPr>
          <w:rFonts w:eastAsiaTheme="minorEastAsia"/>
          <w:color w:val="auto"/>
        </w:rPr>
        <w:t xml:space="preserve">valuations and </w:t>
      </w:r>
      <w:r w:rsidR="5A600F53" w:rsidRPr="02A5FFC4">
        <w:rPr>
          <w:rFonts w:eastAsiaTheme="minorEastAsia"/>
          <w:color w:val="auto"/>
        </w:rPr>
        <w:t xml:space="preserve">due diligence </w:t>
      </w:r>
      <w:r w:rsidR="4BE1599E" w:rsidRPr="02A5FFC4">
        <w:rPr>
          <w:rFonts w:eastAsiaTheme="minorEastAsia"/>
          <w:color w:val="auto"/>
        </w:rPr>
        <w:t xml:space="preserve">performed </w:t>
      </w:r>
      <w:r w:rsidR="0490DB73" w:rsidRPr="02A5FFC4">
        <w:rPr>
          <w:rFonts w:eastAsiaTheme="minorEastAsia"/>
          <w:color w:val="auto"/>
        </w:rPr>
        <w:t>of capital investment decisions</w:t>
      </w:r>
      <w:r w:rsidR="51AF7A0F" w:rsidRPr="02A5FFC4">
        <w:rPr>
          <w:rFonts w:eastAsiaTheme="minorEastAsia"/>
          <w:color w:val="auto"/>
        </w:rPr>
        <w:t xml:space="preserve"> </w:t>
      </w:r>
      <w:r w:rsidR="683B0092" w:rsidRPr="02A5FFC4">
        <w:rPr>
          <w:rFonts w:eastAsiaTheme="minorEastAsia"/>
          <w:color w:val="auto"/>
        </w:rPr>
        <w:t>and approva</w:t>
      </w:r>
      <w:r w:rsidR="28824AF7" w:rsidRPr="02A5FFC4">
        <w:rPr>
          <w:rFonts w:eastAsiaTheme="minorEastAsia"/>
          <w:color w:val="auto"/>
        </w:rPr>
        <w:t xml:space="preserve">l within delegated </w:t>
      </w:r>
      <w:r w:rsidR="4ED80111" w:rsidRPr="02A5FFC4">
        <w:rPr>
          <w:rFonts w:eastAsiaTheme="minorEastAsia"/>
          <w:color w:val="auto"/>
        </w:rPr>
        <w:t>authority</w:t>
      </w:r>
    </w:p>
    <w:p w14:paraId="14B284D5" w14:textId="018543E8" w:rsidR="00455995" w:rsidRDefault="001F4830" w:rsidP="003B6A3E">
      <w:pPr>
        <w:pStyle w:val="ListParagraph"/>
        <w:numPr>
          <w:ilvl w:val="0"/>
          <w:numId w:val="44"/>
        </w:numPr>
        <w:spacing w:before="240"/>
        <w:jc w:val="both"/>
        <w:rPr>
          <w:rFonts w:eastAsiaTheme="minorEastAsia"/>
          <w:color w:val="auto"/>
        </w:rPr>
      </w:pPr>
      <w:r w:rsidRPr="00455995">
        <w:rPr>
          <w:rFonts w:eastAsiaTheme="minorEastAsia"/>
          <w:b/>
          <w:bCs/>
          <w:color w:val="auto"/>
        </w:rPr>
        <w:t xml:space="preserve">Audit and Risk Committee (ARC): </w:t>
      </w:r>
      <w:r w:rsidR="002074D6" w:rsidRPr="00455995">
        <w:rPr>
          <w:rFonts w:eastAsiaTheme="minorEastAsia"/>
          <w:color w:val="auto"/>
        </w:rPr>
        <w:t>d</w:t>
      </w:r>
      <w:r w:rsidRPr="00455995">
        <w:rPr>
          <w:rFonts w:eastAsiaTheme="minorEastAsia"/>
          <w:color w:val="auto"/>
        </w:rPr>
        <w:t xml:space="preserve">etailed review and approval of the </w:t>
      </w:r>
      <w:r w:rsidR="002074D6" w:rsidRPr="00455995">
        <w:rPr>
          <w:rFonts w:eastAsiaTheme="minorEastAsia"/>
          <w:color w:val="auto"/>
        </w:rPr>
        <w:t>c</w:t>
      </w:r>
      <w:r w:rsidRPr="00455995">
        <w:rPr>
          <w:rFonts w:eastAsiaTheme="minorEastAsia"/>
          <w:color w:val="auto"/>
        </w:rPr>
        <w:t>orporation’s Annual Report and Accounts, including capital expenditure and income.</w:t>
      </w:r>
    </w:p>
    <w:p w14:paraId="3ABA35AA" w14:textId="5235C4AF" w:rsidR="00EB329B" w:rsidRDefault="11550846" w:rsidP="003B6A3E">
      <w:pPr>
        <w:pStyle w:val="ListParagraph"/>
        <w:numPr>
          <w:ilvl w:val="0"/>
          <w:numId w:val="44"/>
        </w:numPr>
        <w:spacing w:before="240"/>
        <w:jc w:val="both"/>
        <w:rPr>
          <w:rFonts w:eastAsiaTheme="minorEastAsia"/>
          <w:color w:val="auto"/>
        </w:rPr>
      </w:pPr>
      <w:r w:rsidRPr="02A5FFC4">
        <w:rPr>
          <w:rFonts w:eastAsiaTheme="minorEastAsia"/>
          <w:b/>
          <w:bCs/>
          <w:color w:val="auto"/>
        </w:rPr>
        <w:t xml:space="preserve">Executive </w:t>
      </w:r>
      <w:r w:rsidR="0FECD1B0" w:rsidRPr="02A5FFC4">
        <w:rPr>
          <w:rFonts w:eastAsiaTheme="minorEastAsia"/>
          <w:b/>
          <w:bCs/>
          <w:color w:val="auto"/>
        </w:rPr>
        <w:t>Management</w:t>
      </w:r>
      <w:r w:rsidRPr="02A5FFC4">
        <w:rPr>
          <w:rFonts w:eastAsiaTheme="minorEastAsia"/>
          <w:b/>
          <w:bCs/>
          <w:color w:val="auto"/>
        </w:rPr>
        <w:t xml:space="preserve"> Team</w:t>
      </w:r>
      <w:r w:rsidR="7359D605" w:rsidRPr="02A5FFC4">
        <w:rPr>
          <w:rFonts w:eastAsiaTheme="minorEastAsia"/>
          <w:b/>
          <w:bCs/>
          <w:color w:val="auto"/>
        </w:rPr>
        <w:t xml:space="preserve">: </w:t>
      </w:r>
      <w:r w:rsidR="002074D6" w:rsidRPr="00455995">
        <w:rPr>
          <w:rFonts w:eastAsiaTheme="minorEastAsia"/>
          <w:color w:val="auto"/>
        </w:rPr>
        <w:t>e</w:t>
      </w:r>
      <w:r w:rsidR="78CFCDBC" w:rsidRPr="00455995">
        <w:rPr>
          <w:rFonts w:eastAsiaTheme="minorEastAsia"/>
          <w:color w:val="auto"/>
        </w:rPr>
        <w:t>xecutive</w:t>
      </w:r>
      <w:r w:rsidR="37116784" w:rsidRPr="02A5FFC4">
        <w:rPr>
          <w:rFonts w:eastAsiaTheme="minorEastAsia"/>
          <w:color w:val="auto"/>
        </w:rPr>
        <w:t xml:space="preserve"> oversight</w:t>
      </w:r>
      <w:r w:rsidR="37116784" w:rsidRPr="02A5FFC4">
        <w:rPr>
          <w:rFonts w:eastAsiaTheme="minorEastAsia"/>
          <w:b/>
          <w:bCs/>
          <w:color w:val="auto"/>
        </w:rPr>
        <w:t xml:space="preserve"> </w:t>
      </w:r>
      <w:r w:rsidR="2EED85D3" w:rsidRPr="02A5FFC4">
        <w:rPr>
          <w:rFonts w:eastAsiaTheme="minorEastAsia"/>
          <w:color w:val="auto"/>
        </w:rPr>
        <w:t>of</w:t>
      </w:r>
      <w:r w:rsidR="3E0EA9A3" w:rsidRPr="02A5FFC4">
        <w:rPr>
          <w:rFonts w:eastAsiaTheme="minorEastAsia"/>
          <w:color w:val="auto"/>
        </w:rPr>
        <w:t xml:space="preserve"> </w:t>
      </w:r>
      <w:r w:rsidR="2EED85D3" w:rsidRPr="02A5FFC4">
        <w:rPr>
          <w:rFonts w:eastAsiaTheme="minorEastAsia"/>
          <w:color w:val="auto"/>
        </w:rPr>
        <w:t>capital investment decisions</w:t>
      </w:r>
      <w:r w:rsidR="00803FCE" w:rsidRPr="00455995">
        <w:rPr>
          <w:rFonts w:eastAsiaTheme="minorEastAsia"/>
          <w:color w:val="auto"/>
        </w:rPr>
        <w:t xml:space="preserve"> and</w:t>
      </w:r>
      <w:r w:rsidR="2EED85D3" w:rsidRPr="02A5FFC4">
        <w:rPr>
          <w:rFonts w:eastAsiaTheme="minorEastAsia"/>
          <w:color w:val="auto"/>
        </w:rPr>
        <w:t xml:space="preserve"> review of monthly Corporate Management Accounts and other business u</w:t>
      </w:r>
      <w:r w:rsidR="3BA1025E" w:rsidRPr="02A5FFC4">
        <w:rPr>
          <w:rFonts w:eastAsiaTheme="minorEastAsia"/>
          <w:color w:val="auto"/>
        </w:rPr>
        <w:t>p</w:t>
      </w:r>
      <w:r w:rsidR="2EED85D3" w:rsidRPr="02A5FFC4">
        <w:rPr>
          <w:rFonts w:eastAsiaTheme="minorEastAsia"/>
          <w:color w:val="auto"/>
        </w:rPr>
        <w:t>date</w:t>
      </w:r>
      <w:r w:rsidR="4CA031DD" w:rsidRPr="02A5FFC4">
        <w:rPr>
          <w:rFonts w:eastAsiaTheme="minorEastAsia"/>
          <w:color w:val="auto"/>
        </w:rPr>
        <w:t>s</w:t>
      </w:r>
      <w:r w:rsidR="2EED85D3" w:rsidRPr="02A5FFC4">
        <w:rPr>
          <w:rFonts w:eastAsiaTheme="minorEastAsia"/>
          <w:color w:val="auto"/>
        </w:rPr>
        <w:t xml:space="preserve"> that have an impact on capital income of expenditure</w:t>
      </w:r>
    </w:p>
    <w:p w14:paraId="149C0BE8" w14:textId="09ED3167" w:rsidR="27CBB35A" w:rsidRDefault="27CBB35A" w:rsidP="003B6A3E">
      <w:pPr>
        <w:pStyle w:val="ListParagraph"/>
        <w:numPr>
          <w:ilvl w:val="0"/>
          <w:numId w:val="44"/>
        </w:numPr>
        <w:spacing w:before="240" w:line="259" w:lineRule="auto"/>
        <w:jc w:val="both"/>
        <w:rPr>
          <w:rFonts w:eastAsiaTheme="minorEastAsia"/>
          <w:color w:val="auto"/>
        </w:rPr>
      </w:pPr>
      <w:r w:rsidRPr="02A5FFC4">
        <w:rPr>
          <w:rFonts w:eastAsiaTheme="minorEastAsia"/>
          <w:b/>
          <w:bCs/>
          <w:color w:val="auto"/>
        </w:rPr>
        <w:t xml:space="preserve">Delivery </w:t>
      </w:r>
      <w:r w:rsidR="00893052">
        <w:rPr>
          <w:rFonts w:eastAsiaTheme="minorEastAsia"/>
          <w:b/>
          <w:bCs/>
          <w:color w:val="auto"/>
        </w:rPr>
        <w:t xml:space="preserve">Programme </w:t>
      </w:r>
      <w:r w:rsidRPr="02A5FFC4">
        <w:rPr>
          <w:rFonts w:eastAsiaTheme="minorEastAsia"/>
          <w:b/>
          <w:bCs/>
          <w:color w:val="auto"/>
        </w:rPr>
        <w:t xml:space="preserve">Board: </w:t>
      </w:r>
      <w:r w:rsidR="006C7391" w:rsidRPr="6C0EE508">
        <w:rPr>
          <w:rFonts w:eastAsiaTheme="minorEastAsia"/>
          <w:color w:val="auto"/>
        </w:rPr>
        <w:t>m</w:t>
      </w:r>
      <w:r w:rsidR="741539FC" w:rsidRPr="6C0EE508">
        <w:rPr>
          <w:rFonts w:eastAsiaTheme="minorEastAsia"/>
          <w:color w:val="auto"/>
        </w:rPr>
        <w:t>onthly</w:t>
      </w:r>
      <w:r w:rsidRPr="02A5FFC4">
        <w:rPr>
          <w:rFonts w:eastAsiaTheme="minorEastAsia"/>
          <w:color w:val="auto"/>
        </w:rPr>
        <w:t xml:space="preserve"> overview of progress across the Old Oak development programme, upcoming priorities, and the opportunity to explore risks, </w:t>
      </w:r>
      <w:proofErr w:type="gramStart"/>
      <w:r w:rsidRPr="02A5FFC4">
        <w:rPr>
          <w:rFonts w:eastAsiaTheme="minorEastAsia"/>
          <w:color w:val="auto"/>
        </w:rPr>
        <w:t>issues</w:t>
      </w:r>
      <w:proofErr w:type="gramEnd"/>
      <w:r w:rsidRPr="02A5FFC4">
        <w:rPr>
          <w:rFonts w:eastAsiaTheme="minorEastAsia"/>
          <w:color w:val="auto"/>
        </w:rPr>
        <w:t xml:space="preserve"> and challenges and how these can be addressed.</w:t>
      </w:r>
    </w:p>
    <w:p w14:paraId="0F28713A" w14:textId="266D8156" w:rsidR="0BF26098" w:rsidRDefault="0BF26098" w:rsidP="1285F4A7">
      <w:pPr>
        <w:pStyle w:val="ListParagraph"/>
        <w:spacing w:before="240" w:line="259" w:lineRule="auto"/>
        <w:ind w:left="1080"/>
        <w:jc w:val="both"/>
        <w:rPr>
          <w:rFonts w:eastAsiaTheme="minorEastAsia"/>
          <w:color w:val="auto"/>
        </w:rPr>
      </w:pPr>
    </w:p>
    <w:p w14:paraId="2EEA2EB6" w14:textId="7E031661" w:rsidR="0BF26098" w:rsidRDefault="009F335C" w:rsidP="003B6A3E">
      <w:pPr>
        <w:pStyle w:val="ListParagraph"/>
        <w:numPr>
          <w:ilvl w:val="0"/>
          <w:numId w:val="39"/>
        </w:numPr>
        <w:spacing w:before="240" w:line="259" w:lineRule="auto"/>
        <w:jc w:val="both"/>
        <w:rPr>
          <w:rFonts w:eastAsiaTheme="minorEastAsia"/>
          <w:color w:val="auto"/>
        </w:rPr>
      </w:pPr>
      <w:r w:rsidRPr="16A89082">
        <w:rPr>
          <w:rFonts w:eastAsiaTheme="minorEastAsia"/>
          <w:color w:val="auto"/>
        </w:rPr>
        <w:t xml:space="preserve">OPDC’s Capital Strategy </w:t>
      </w:r>
      <w:r>
        <w:rPr>
          <w:rFonts w:eastAsiaTheme="minorEastAsia"/>
          <w:color w:val="auto"/>
        </w:rPr>
        <w:t xml:space="preserve">and </w:t>
      </w:r>
      <w:r w:rsidR="00D40B75">
        <w:rPr>
          <w:rFonts w:eastAsiaTheme="minorEastAsia"/>
          <w:color w:val="auto"/>
        </w:rPr>
        <w:t>l</w:t>
      </w:r>
      <w:r w:rsidR="11550846" w:rsidRPr="16A89082">
        <w:rPr>
          <w:rFonts w:eastAsiaTheme="minorEastAsia"/>
          <w:color w:val="auto"/>
        </w:rPr>
        <w:t xml:space="preserve">ong-term model is updated on an annual basis (as a minimum) and shared with key stakeholders, </w:t>
      </w:r>
      <w:r w:rsidR="4A3B2D75" w:rsidRPr="16A89082">
        <w:rPr>
          <w:rFonts w:eastAsiaTheme="minorEastAsia"/>
          <w:color w:val="auto"/>
        </w:rPr>
        <w:t>including</w:t>
      </w:r>
      <w:r w:rsidR="11550846" w:rsidRPr="16A89082">
        <w:rPr>
          <w:rFonts w:eastAsiaTheme="minorEastAsia"/>
          <w:color w:val="auto"/>
        </w:rPr>
        <w:t xml:space="preserve"> the GLA</w:t>
      </w:r>
      <w:r w:rsidR="290F06B0" w:rsidRPr="16A89082">
        <w:rPr>
          <w:rFonts w:eastAsiaTheme="minorEastAsia"/>
          <w:color w:val="auto"/>
        </w:rPr>
        <w:t xml:space="preserve">, </w:t>
      </w:r>
      <w:proofErr w:type="spellStart"/>
      <w:r w:rsidR="290F06B0" w:rsidRPr="16A89082">
        <w:rPr>
          <w:rFonts w:eastAsiaTheme="minorEastAsia"/>
          <w:color w:val="auto"/>
        </w:rPr>
        <w:t>DISC</w:t>
      </w:r>
      <w:r w:rsidR="00A3630C">
        <w:rPr>
          <w:rFonts w:eastAsiaTheme="minorEastAsia"/>
          <w:color w:val="auto"/>
        </w:rPr>
        <w:t>o</w:t>
      </w:r>
      <w:proofErr w:type="spellEnd"/>
      <w:r w:rsidR="11550846" w:rsidRPr="16A89082">
        <w:rPr>
          <w:rFonts w:eastAsiaTheme="minorEastAsia"/>
          <w:color w:val="auto"/>
        </w:rPr>
        <w:t xml:space="preserve"> and </w:t>
      </w:r>
      <w:r w:rsidR="10489ED0" w:rsidRPr="16A89082">
        <w:rPr>
          <w:rFonts w:eastAsiaTheme="minorEastAsia"/>
          <w:color w:val="auto"/>
        </w:rPr>
        <w:t xml:space="preserve">the </w:t>
      </w:r>
      <w:r w:rsidR="11550846" w:rsidRPr="16A89082">
        <w:rPr>
          <w:rFonts w:eastAsiaTheme="minorEastAsia"/>
          <w:color w:val="auto"/>
        </w:rPr>
        <w:t xml:space="preserve">OPDC </w:t>
      </w:r>
      <w:r w:rsidR="4267A249" w:rsidRPr="16A89082">
        <w:rPr>
          <w:rFonts w:eastAsiaTheme="minorEastAsia"/>
          <w:color w:val="auto"/>
        </w:rPr>
        <w:t>B</w:t>
      </w:r>
      <w:r w:rsidR="11550846" w:rsidRPr="16A89082">
        <w:rPr>
          <w:rFonts w:eastAsiaTheme="minorEastAsia"/>
          <w:color w:val="auto"/>
        </w:rPr>
        <w:t>oard</w:t>
      </w:r>
      <w:r w:rsidR="7451D342" w:rsidRPr="16A89082">
        <w:rPr>
          <w:rFonts w:eastAsiaTheme="minorEastAsia"/>
          <w:color w:val="auto"/>
        </w:rPr>
        <w:t>.</w:t>
      </w:r>
    </w:p>
    <w:p w14:paraId="646F6F80" w14:textId="06C8F822" w:rsidR="7B34F36B" w:rsidRDefault="7B34F36B" w:rsidP="7B34F36B">
      <w:pPr>
        <w:pStyle w:val="ListParagraph"/>
        <w:spacing w:before="240" w:line="259" w:lineRule="auto"/>
        <w:ind w:left="680" w:hanging="680"/>
        <w:jc w:val="both"/>
        <w:rPr>
          <w:rFonts w:eastAsiaTheme="minorEastAsia"/>
          <w:color w:val="auto"/>
        </w:rPr>
      </w:pPr>
    </w:p>
    <w:p w14:paraId="28CB60D9" w14:textId="7DB9327C" w:rsidR="01985F2F" w:rsidRDefault="7682205D" w:rsidP="002F3427">
      <w:pPr>
        <w:pStyle w:val="ListParagraph"/>
        <w:spacing w:before="240" w:line="259" w:lineRule="auto"/>
        <w:ind w:left="1360" w:hanging="680"/>
        <w:jc w:val="both"/>
        <w:rPr>
          <w:rFonts w:eastAsiaTheme="minorEastAsia"/>
          <w:b/>
          <w:bCs/>
          <w:color w:val="auto"/>
        </w:rPr>
      </w:pPr>
      <w:r w:rsidRPr="16A89082">
        <w:rPr>
          <w:rFonts w:eastAsiaTheme="minorEastAsia"/>
          <w:b/>
          <w:bCs/>
          <w:color w:val="auto"/>
        </w:rPr>
        <w:t>Influences</w:t>
      </w:r>
    </w:p>
    <w:p w14:paraId="453A0F51" w14:textId="77777777" w:rsidR="00AA1C93" w:rsidRDefault="00AA1C93" w:rsidP="16A89082">
      <w:pPr>
        <w:pStyle w:val="ListParagraph"/>
        <w:spacing w:before="240" w:line="259" w:lineRule="auto"/>
        <w:ind w:left="680" w:hanging="680"/>
        <w:jc w:val="both"/>
        <w:rPr>
          <w:rFonts w:eastAsiaTheme="minorEastAsia"/>
          <w:b/>
          <w:bCs/>
          <w:color w:val="auto"/>
        </w:rPr>
      </w:pPr>
    </w:p>
    <w:p w14:paraId="5432C402" w14:textId="1FF5E31C" w:rsidR="451B2DB5" w:rsidRPr="00AA1C93" w:rsidRDefault="4B803FF9" w:rsidP="003B6A3E">
      <w:pPr>
        <w:pStyle w:val="ListParagraph"/>
        <w:numPr>
          <w:ilvl w:val="0"/>
          <w:numId w:val="39"/>
        </w:numPr>
        <w:spacing w:before="240" w:line="259" w:lineRule="auto"/>
        <w:jc w:val="both"/>
        <w:rPr>
          <w:rFonts w:eastAsiaTheme="minorEastAsia"/>
          <w:color w:val="auto"/>
        </w:rPr>
      </w:pPr>
      <w:r w:rsidRPr="23D8A931">
        <w:rPr>
          <w:rFonts w:eastAsiaTheme="minorEastAsia"/>
          <w:color w:val="auto"/>
        </w:rPr>
        <w:t xml:space="preserve">OPDC continues to engage with </w:t>
      </w:r>
      <w:r w:rsidR="00A34875">
        <w:rPr>
          <w:rFonts w:eastAsiaTheme="minorEastAsia"/>
          <w:color w:val="auto"/>
        </w:rPr>
        <w:t>g</w:t>
      </w:r>
      <w:r w:rsidRPr="23D8A931">
        <w:rPr>
          <w:rFonts w:eastAsiaTheme="minorEastAsia"/>
          <w:color w:val="auto"/>
        </w:rPr>
        <w:t xml:space="preserve">overnment departments, exploring options for further capital investment to secure delivery, given the </w:t>
      </w:r>
      <w:r w:rsidR="50A425CD" w:rsidRPr="23D8A931">
        <w:rPr>
          <w:rFonts w:eastAsiaTheme="minorEastAsia"/>
          <w:color w:val="auto"/>
        </w:rPr>
        <w:t>long-term</w:t>
      </w:r>
      <w:r w:rsidRPr="23D8A931">
        <w:rPr>
          <w:rFonts w:eastAsiaTheme="minorEastAsia"/>
          <w:color w:val="auto"/>
        </w:rPr>
        <w:t xml:space="preserve"> nature of the scheme, and the range of factors that will have a direct impact on delivery and outcomes including:</w:t>
      </w:r>
    </w:p>
    <w:p w14:paraId="29DDCF15" w14:textId="376A6110" w:rsidR="23D8A931" w:rsidRDefault="23D8A931" w:rsidP="23D8A931">
      <w:pPr>
        <w:pStyle w:val="ListParagraph"/>
        <w:spacing w:before="240" w:line="259" w:lineRule="auto"/>
        <w:ind w:left="680"/>
        <w:jc w:val="both"/>
        <w:rPr>
          <w:rFonts w:eastAsiaTheme="minorEastAsia"/>
          <w:color w:val="auto"/>
        </w:rPr>
      </w:pPr>
    </w:p>
    <w:p w14:paraId="3C7467C4" w14:textId="19D2B561" w:rsidR="451E9B8E" w:rsidRDefault="451E9B8E" w:rsidP="005B13C3">
      <w:pPr>
        <w:pStyle w:val="ListParagraph"/>
        <w:spacing w:before="240" w:line="259" w:lineRule="auto"/>
        <w:ind w:left="680"/>
        <w:jc w:val="both"/>
        <w:rPr>
          <w:rFonts w:eastAsia="Foundry Form Sans" w:cs="Foundry Form Sans"/>
          <w:i/>
          <w:iCs/>
          <w:color w:val="auto"/>
        </w:rPr>
      </w:pPr>
      <w:r w:rsidRPr="16A89082">
        <w:rPr>
          <w:rFonts w:eastAsia="Foundry Form Sans" w:cs="Foundry Form Sans"/>
          <w:i/>
          <w:iCs/>
          <w:color w:val="auto"/>
        </w:rPr>
        <w:t>Internal</w:t>
      </w:r>
    </w:p>
    <w:p w14:paraId="60C8E76A" w14:textId="7203C5EB" w:rsidR="00FD57E3" w:rsidRPr="00FD57E3" w:rsidRDefault="00251AA3" w:rsidP="003B6A3E">
      <w:pPr>
        <w:pStyle w:val="ListParagraph"/>
        <w:keepLines/>
        <w:numPr>
          <w:ilvl w:val="0"/>
          <w:numId w:val="41"/>
        </w:numPr>
        <w:spacing w:before="240" w:after="300" w:line="276" w:lineRule="auto"/>
        <w:jc w:val="both"/>
        <w:rPr>
          <w:rFonts w:eastAsia="Foundry Form Sans" w:cs="Foundry Form Sans"/>
          <w:color w:val="auto"/>
        </w:rPr>
      </w:pPr>
      <w:r>
        <w:rPr>
          <w:rFonts w:eastAsia="Foundry Form Sans" w:cs="Foundry Form Sans"/>
          <w:color w:val="auto"/>
          <w:lang w:val="en-US"/>
        </w:rPr>
        <w:t>c</w:t>
      </w:r>
      <w:r w:rsidR="4B803FF9" w:rsidRPr="16A89082">
        <w:rPr>
          <w:rFonts w:eastAsia="Foundry Form Sans" w:cs="Foundry Form Sans"/>
          <w:color w:val="auto"/>
          <w:lang w:val="en-US"/>
        </w:rPr>
        <w:t xml:space="preserve">urrent policy priorities which include the need to deliver homes at pace in a range of tenures, support economic growth, and contribute to Mayoral and </w:t>
      </w:r>
      <w:r w:rsidR="00A34875">
        <w:rPr>
          <w:rFonts w:eastAsia="Foundry Form Sans" w:cs="Foundry Form Sans"/>
          <w:color w:val="auto"/>
          <w:lang w:val="en-US"/>
        </w:rPr>
        <w:t>g</w:t>
      </w:r>
      <w:r w:rsidR="4B803FF9" w:rsidRPr="16A89082">
        <w:rPr>
          <w:rFonts w:eastAsia="Foundry Form Sans" w:cs="Foundry Form Sans"/>
          <w:color w:val="auto"/>
          <w:lang w:val="en-US"/>
        </w:rPr>
        <w:t>overnment net zero targets by 2030.</w:t>
      </w:r>
    </w:p>
    <w:p w14:paraId="7C9DB928" w14:textId="43925B64" w:rsidR="22BFCE8E" w:rsidRPr="00FD57E3" w:rsidRDefault="22BFCE8E" w:rsidP="005960D6">
      <w:pPr>
        <w:keepLines/>
        <w:spacing w:before="240" w:line="276" w:lineRule="auto"/>
        <w:ind w:left="680"/>
        <w:jc w:val="both"/>
        <w:rPr>
          <w:rFonts w:eastAsia="Foundry Form Sans" w:cs="Foundry Form Sans"/>
          <w:color w:val="auto"/>
        </w:rPr>
      </w:pPr>
      <w:r w:rsidRPr="00FD57E3">
        <w:rPr>
          <w:rFonts w:eastAsia="Foundry Form Sans" w:cs="Foundry Form Sans"/>
          <w:i/>
          <w:iCs/>
          <w:color w:val="auto"/>
        </w:rPr>
        <w:t>External</w:t>
      </w:r>
    </w:p>
    <w:p w14:paraId="7068CB99" w14:textId="189BBC79" w:rsidR="451B2DB5" w:rsidRDefault="00251AA3" w:rsidP="003B6A3E">
      <w:pPr>
        <w:pStyle w:val="ListParagraph"/>
        <w:keepLines/>
        <w:numPr>
          <w:ilvl w:val="0"/>
          <w:numId w:val="41"/>
        </w:numPr>
        <w:spacing w:before="240" w:after="300" w:line="276" w:lineRule="auto"/>
        <w:jc w:val="both"/>
        <w:rPr>
          <w:rFonts w:eastAsia="Foundry Form Sans" w:cs="Foundry Form Sans"/>
          <w:color w:val="auto"/>
        </w:rPr>
      </w:pPr>
      <w:r>
        <w:rPr>
          <w:rFonts w:eastAsia="Foundry Form Sans" w:cs="Foundry Form Sans"/>
          <w:color w:val="auto"/>
          <w:lang w:val="en-US"/>
        </w:rPr>
        <w:t>e</w:t>
      </w:r>
      <w:r w:rsidR="4B803FF9" w:rsidRPr="16A89082">
        <w:rPr>
          <w:rFonts w:eastAsia="Foundry Form Sans" w:cs="Foundry Form Sans"/>
          <w:color w:val="auto"/>
          <w:lang w:val="en-US"/>
        </w:rPr>
        <w:t>conomic and market conditions and how these can influence investor and developer appetite, delivery costs and ultimately values and receipts</w:t>
      </w:r>
      <w:r w:rsidR="00A620CD">
        <w:rPr>
          <w:rFonts w:eastAsia="Foundry Form Sans" w:cs="Foundry Form Sans"/>
          <w:color w:val="auto"/>
          <w:lang w:val="en-US"/>
        </w:rPr>
        <w:t>.</w:t>
      </w:r>
    </w:p>
    <w:p w14:paraId="294D72BE" w14:textId="0EB1777D" w:rsidR="451B2DB5" w:rsidRDefault="00251AA3" w:rsidP="003B6A3E">
      <w:pPr>
        <w:pStyle w:val="ListParagraph"/>
        <w:keepLines/>
        <w:numPr>
          <w:ilvl w:val="0"/>
          <w:numId w:val="41"/>
        </w:numPr>
        <w:spacing w:before="240" w:after="300" w:line="276" w:lineRule="auto"/>
        <w:jc w:val="both"/>
        <w:rPr>
          <w:rFonts w:eastAsia="Foundry Form Sans" w:cs="Foundry Form Sans"/>
          <w:color w:val="auto"/>
        </w:rPr>
      </w:pPr>
      <w:r>
        <w:rPr>
          <w:rFonts w:eastAsia="Foundry Form Sans" w:cs="Foundry Form Sans"/>
          <w:color w:val="auto"/>
          <w:lang w:val="en-US"/>
        </w:rPr>
        <w:t>c</w:t>
      </w:r>
      <w:r w:rsidR="4B803FF9" w:rsidRPr="16A89082">
        <w:rPr>
          <w:rFonts w:eastAsia="Foundry Form Sans" w:cs="Foundry Form Sans"/>
          <w:color w:val="auto"/>
          <w:lang w:val="en-US"/>
        </w:rPr>
        <w:t xml:space="preserve">ommercial arrangements with partners, the </w:t>
      </w:r>
      <w:r w:rsidR="00A620CD">
        <w:rPr>
          <w:rFonts w:eastAsia="Foundry Form Sans" w:cs="Foundry Form Sans"/>
          <w:color w:val="auto"/>
          <w:lang w:val="en-US"/>
        </w:rPr>
        <w:t xml:space="preserve">deployment of </w:t>
      </w:r>
      <w:r w:rsidR="001759CB">
        <w:rPr>
          <w:rFonts w:eastAsia="Foundry Form Sans" w:cs="Foundry Form Sans"/>
          <w:color w:val="auto"/>
          <w:lang w:val="en-US"/>
        </w:rPr>
        <w:t xml:space="preserve">both public and private sources of capital, and the </w:t>
      </w:r>
      <w:r w:rsidR="4B803FF9" w:rsidRPr="16A89082">
        <w:rPr>
          <w:rFonts w:eastAsia="Foundry Form Sans" w:cs="Foundry Form Sans"/>
          <w:color w:val="auto"/>
          <w:lang w:val="en-US"/>
        </w:rPr>
        <w:t>allocation of risk and associated returns. Further information on this will emerge through market engagement and the procurement process</w:t>
      </w:r>
      <w:r w:rsidR="00A620CD">
        <w:rPr>
          <w:rFonts w:eastAsia="Foundry Form Sans" w:cs="Foundry Form Sans"/>
          <w:color w:val="auto"/>
          <w:lang w:val="en-US"/>
        </w:rPr>
        <w:t>.</w:t>
      </w:r>
    </w:p>
    <w:p w14:paraId="77E7DB0C" w14:textId="0B8AE3EE" w:rsidR="01985F2F" w:rsidRPr="00FF27BF" w:rsidRDefault="00251AA3" w:rsidP="003B6A3E">
      <w:pPr>
        <w:pStyle w:val="ListParagraph"/>
        <w:keepLines/>
        <w:numPr>
          <w:ilvl w:val="0"/>
          <w:numId w:val="41"/>
        </w:numPr>
        <w:spacing w:before="240" w:after="300" w:line="276" w:lineRule="auto"/>
        <w:jc w:val="both"/>
        <w:rPr>
          <w:rFonts w:eastAsia="Foundry Form Sans" w:cs="Foundry Form Sans"/>
          <w:color w:val="auto"/>
        </w:rPr>
      </w:pPr>
      <w:r>
        <w:rPr>
          <w:rFonts w:eastAsia="Foundry Form Sans" w:cs="Foundry Form Sans"/>
          <w:color w:val="auto"/>
          <w:lang w:val="en-US"/>
        </w:rPr>
        <w:t>a</w:t>
      </w:r>
      <w:r w:rsidR="4B803FF9" w:rsidRPr="23D8A931">
        <w:rPr>
          <w:rFonts w:eastAsia="Foundry Form Sans" w:cs="Foundry Form Sans"/>
          <w:color w:val="auto"/>
          <w:lang w:val="en-US"/>
        </w:rPr>
        <w:t>vailability and deployment of delivery resources, both within OPDC but also within stakeholder and partners and their supply chains to maintain momentum</w:t>
      </w:r>
      <w:r w:rsidR="00FF27BF">
        <w:rPr>
          <w:rFonts w:eastAsia="Foundry Form Sans" w:cs="Foundry Form Sans"/>
          <w:color w:val="auto"/>
          <w:lang w:val="en-US"/>
        </w:rPr>
        <w:t>.</w:t>
      </w:r>
    </w:p>
    <w:p w14:paraId="0E468029" w14:textId="79620EC7" w:rsidR="57EA1165" w:rsidRDefault="57EA1165" w:rsidP="57EA1165">
      <w:pPr>
        <w:pStyle w:val="ListParagraph"/>
        <w:keepLines/>
        <w:spacing w:before="240" w:after="300" w:line="276" w:lineRule="auto"/>
        <w:ind w:left="1040"/>
        <w:jc w:val="both"/>
        <w:rPr>
          <w:rFonts w:eastAsia="Foundry Form Sans" w:cs="Foundry Form Sans"/>
          <w:color w:val="auto"/>
        </w:rPr>
      </w:pPr>
    </w:p>
    <w:p w14:paraId="32B6AB62" w14:textId="07548949" w:rsidR="1F676C01" w:rsidRDefault="1F676C01" w:rsidP="23D8A931">
      <w:pPr>
        <w:pStyle w:val="ListParagraph"/>
        <w:spacing w:before="240" w:line="259" w:lineRule="auto"/>
        <w:ind w:left="680"/>
        <w:jc w:val="both"/>
        <w:rPr>
          <w:rFonts w:eastAsiaTheme="minorEastAsia"/>
          <w:b/>
          <w:bCs/>
          <w:color w:val="auto"/>
        </w:rPr>
      </w:pPr>
      <w:r w:rsidRPr="23D8A931">
        <w:rPr>
          <w:rFonts w:eastAsiaTheme="minorEastAsia"/>
          <w:b/>
          <w:bCs/>
          <w:color w:val="auto"/>
        </w:rPr>
        <w:t>Policies</w:t>
      </w:r>
    </w:p>
    <w:p w14:paraId="56F17BE8" w14:textId="77777777" w:rsidR="005F010C" w:rsidRDefault="005F010C" w:rsidP="01985F2F">
      <w:pPr>
        <w:pStyle w:val="ListParagraph"/>
        <w:spacing w:before="240" w:line="259" w:lineRule="auto"/>
        <w:ind w:left="680" w:hanging="680"/>
        <w:jc w:val="both"/>
        <w:rPr>
          <w:rFonts w:eastAsiaTheme="minorEastAsia"/>
          <w:b/>
          <w:bCs/>
          <w:color w:val="auto"/>
        </w:rPr>
      </w:pPr>
    </w:p>
    <w:p w14:paraId="4B7A0260" w14:textId="59B2E3ED" w:rsidR="0176DF40" w:rsidRDefault="0176DF40" w:rsidP="003B6A3E">
      <w:pPr>
        <w:pStyle w:val="ListParagraph"/>
        <w:numPr>
          <w:ilvl w:val="0"/>
          <w:numId w:val="39"/>
        </w:numPr>
        <w:spacing w:before="240"/>
        <w:jc w:val="both"/>
        <w:rPr>
          <w:rFonts w:eastAsiaTheme="minorEastAsia"/>
          <w:color w:val="auto"/>
        </w:rPr>
      </w:pPr>
      <w:r w:rsidRPr="5E0CA13C">
        <w:rPr>
          <w:rFonts w:eastAsiaTheme="minorEastAsia"/>
          <w:color w:val="auto"/>
        </w:rPr>
        <w:t>OPDC’s Capital Strategy</w:t>
      </w:r>
      <w:r w:rsidR="5F67B0B6" w:rsidRPr="5E0CA13C">
        <w:rPr>
          <w:rFonts w:eastAsiaTheme="minorEastAsia"/>
          <w:color w:val="auto"/>
        </w:rPr>
        <w:t xml:space="preserve"> </w:t>
      </w:r>
      <w:r w:rsidR="3AA78C99" w:rsidRPr="5E0CA13C">
        <w:rPr>
          <w:rFonts w:eastAsiaTheme="minorEastAsia"/>
          <w:color w:val="auto"/>
        </w:rPr>
        <w:t>(including the comprehensive sc</w:t>
      </w:r>
      <w:r w:rsidR="13007C50" w:rsidRPr="5E0CA13C">
        <w:rPr>
          <w:rFonts w:eastAsiaTheme="minorEastAsia"/>
          <w:color w:val="auto"/>
        </w:rPr>
        <w:t>h</w:t>
      </w:r>
      <w:r w:rsidR="3AA78C99" w:rsidRPr="5E0CA13C">
        <w:rPr>
          <w:rFonts w:eastAsiaTheme="minorEastAsia"/>
          <w:color w:val="auto"/>
        </w:rPr>
        <w:t xml:space="preserve">eme </w:t>
      </w:r>
      <w:r w:rsidR="209B7CD5" w:rsidRPr="5E0CA13C">
        <w:rPr>
          <w:rFonts w:eastAsiaTheme="minorEastAsia"/>
          <w:color w:val="auto"/>
        </w:rPr>
        <w:t xml:space="preserve">and </w:t>
      </w:r>
      <w:r w:rsidR="370426ED" w:rsidRPr="5E0CA13C">
        <w:rPr>
          <w:rFonts w:eastAsiaTheme="minorEastAsia"/>
          <w:color w:val="auto"/>
        </w:rPr>
        <w:t>c</w:t>
      </w:r>
      <w:r w:rsidR="209B7CD5" w:rsidRPr="5E0CA13C">
        <w:rPr>
          <w:rFonts w:eastAsiaTheme="minorEastAsia"/>
          <w:color w:val="auto"/>
        </w:rPr>
        <w:t>limate strategy</w:t>
      </w:r>
      <w:r w:rsidR="6DE7B009" w:rsidRPr="5E0CA13C">
        <w:rPr>
          <w:rFonts w:eastAsiaTheme="minorEastAsia"/>
          <w:color w:val="auto"/>
        </w:rPr>
        <w:t>)</w:t>
      </w:r>
      <w:r w:rsidR="209B7CD5" w:rsidRPr="5E0CA13C">
        <w:rPr>
          <w:rFonts w:eastAsiaTheme="minorEastAsia"/>
          <w:color w:val="auto"/>
        </w:rPr>
        <w:t xml:space="preserve"> is </w:t>
      </w:r>
      <w:r w:rsidR="58A627EF" w:rsidRPr="5E0CA13C">
        <w:rPr>
          <w:rFonts w:eastAsiaTheme="minorEastAsia"/>
          <w:color w:val="auto"/>
        </w:rPr>
        <w:t>a</w:t>
      </w:r>
      <w:r w:rsidRPr="5E0CA13C">
        <w:rPr>
          <w:rFonts w:eastAsiaTheme="minorEastAsia"/>
          <w:color w:val="auto"/>
        </w:rPr>
        <w:t xml:space="preserve">ligned to the </w:t>
      </w:r>
      <w:proofErr w:type="gramStart"/>
      <w:r w:rsidRPr="5E0CA13C">
        <w:rPr>
          <w:rFonts w:eastAsiaTheme="minorEastAsia"/>
          <w:color w:val="auto"/>
        </w:rPr>
        <w:t>Mayor’s</w:t>
      </w:r>
      <w:proofErr w:type="gramEnd"/>
      <w:r w:rsidRPr="5E0CA13C">
        <w:rPr>
          <w:rFonts w:eastAsiaTheme="minorEastAsia"/>
          <w:color w:val="auto"/>
        </w:rPr>
        <w:t xml:space="preserve"> prior</w:t>
      </w:r>
      <w:r w:rsidR="3D27F7B5" w:rsidRPr="5E0CA13C">
        <w:rPr>
          <w:rFonts w:eastAsiaTheme="minorEastAsia"/>
          <w:color w:val="auto"/>
        </w:rPr>
        <w:t>i</w:t>
      </w:r>
      <w:r w:rsidRPr="5E0CA13C">
        <w:rPr>
          <w:rFonts w:eastAsiaTheme="minorEastAsia"/>
          <w:color w:val="auto"/>
        </w:rPr>
        <w:t>ties</w:t>
      </w:r>
      <w:r w:rsidR="1813C614" w:rsidRPr="5E0CA13C">
        <w:rPr>
          <w:rFonts w:eastAsiaTheme="minorEastAsia"/>
          <w:color w:val="auto"/>
        </w:rPr>
        <w:t xml:space="preserve"> </w:t>
      </w:r>
      <w:r w:rsidR="0A5DAEF3" w:rsidRPr="5E0CA13C">
        <w:rPr>
          <w:rFonts w:eastAsiaTheme="minorEastAsia"/>
          <w:color w:val="auto"/>
        </w:rPr>
        <w:t>of a</w:t>
      </w:r>
      <w:r w:rsidR="58301487" w:rsidRPr="5E0CA13C">
        <w:rPr>
          <w:rFonts w:eastAsiaTheme="minorEastAsia"/>
          <w:color w:val="auto"/>
        </w:rPr>
        <w:t xml:space="preserve">ffordable </w:t>
      </w:r>
      <w:r w:rsidR="52CAABA2" w:rsidRPr="5E0CA13C">
        <w:rPr>
          <w:rFonts w:eastAsiaTheme="minorEastAsia"/>
          <w:color w:val="auto"/>
        </w:rPr>
        <w:t>housing</w:t>
      </w:r>
      <w:r w:rsidR="75458CFF" w:rsidRPr="5E0CA13C">
        <w:rPr>
          <w:rFonts w:eastAsiaTheme="minorEastAsia"/>
          <w:color w:val="auto"/>
        </w:rPr>
        <w:t>, ec</w:t>
      </w:r>
      <w:r w:rsidR="11D15908" w:rsidRPr="5E0CA13C">
        <w:rPr>
          <w:rFonts w:eastAsiaTheme="minorEastAsia"/>
          <w:color w:val="auto"/>
        </w:rPr>
        <w:t>ono</w:t>
      </w:r>
      <w:r w:rsidR="75458CFF" w:rsidRPr="5E0CA13C">
        <w:rPr>
          <w:rFonts w:eastAsiaTheme="minorEastAsia"/>
          <w:color w:val="auto"/>
        </w:rPr>
        <w:t xml:space="preserve">my and </w:t>
      </w:r>
      <w:r w:rsidR="5CF56012" w:rsidRPr="5E0CA13C">
        <w:rPr>
          <w:rFonts w:eastAsiaTheme="minorEastAsia"/>
          <w:color w:val="auto"/>
        </w:rPr>
        <w:t>e</w:t>
      </w:r>
      <w:r w:rsidR="2A1670AA" w:rsidRPr="5E0CA13C">
        <w:rPr>
          <w:rFonts w:eastAsiaTheme="minorEastAsia"/>
          <w:color w:val="auto"/>
        </w:rPr>
        <w:t>nvironment</w:t>
      </w:r>
      <w:r w:rsidR="006E8F35" w:rsidRPr="5E0CA13C">
        <w:rPr>
          <w:rFonts w:eastAsiaTheme="minorEastAsia"/>
          <w:color w:val="auto"/>
        </w:rPr>
        <w:t>.</w:t>
      </w:r>
    </w:p>
    <w:p w14:paraId="0497D92B" w14:textId="37375BA4" w:rsidR="50983963" w:rsidRDefault="026FB2F1" w:rsidP="002F3427">
      <w:pPr>
        <w:spacing w:before="240"/>
        <w:ind w:left="680"/>
        <w:jc w:val="both"/>
        <w:rPr>
          <w:rFonts w:eastAsiaTheme="minorEastAsia"/>
          <w:b/>
          <w:bCs/>
          <w:color w:val="auto"/>
        </w:rPr>
      </w:pPr>
      <w:r w:rsidRPr="16A89082">
        <w:rPr>
          <w:rFonts w:eastAsiaTheme="minorEastAsia"/>
          <w:b/>
          <w:bCs/>
          <w:color w:val="auto"/>
        </w:rPr>
        <w:t>Capital Amb</w:t>
      </w:r>
      <w:r w:rsidR="36129FDF" w:rsidRPr="16A89082">
        <w:rPr>
          <w:rFonts w:eastAsiaTheme="minorEastAsia"/>
          <w:b/>
          <w:bCs/>
          <w:color w:val="auto"/>
        </w:rPr>
        <w:t>i</w:t>
      </w:r>
      <w:r w:rsidRPr="16A89082">
        <w:rPr>
          <w:rFonts w:eastAsiaTheme="minorEastAsia"/>
          <w:b/>
          <w:bCs/>
          <w:color w:val="auto"/>
        </w:rPr>
        <w:t>tion</w:t>
      </w:r>
    </w:p>
    <w:p w14:paraId="6A776257" w14:textId="3A0F18B0" w:rsidR="50983963" w:rsidRPr="00803B5E" w:rsidRDefault="714BFC32" w:rsidP="003B6A3E">
      <w:pPr>
        <w:pStyle w:val="ListParagraph"/>
        <w:numPr>
          <w:ilvl w:val="0"/>
          <w:numId w:val="39"/>
        </w:numPr>
        <w:spacing w:before="240"/>
        <w:jc w:val="both"/>
        <w:rPr>
          <w:color w:val="auto"/>
        </w:rPr>
      </w:pPr>
      <w:r w:rsidRPr="16A89082">
        <w:rPr>
          <w:color w:val="auto"/>
        </w:rPr>
        <w:t>OPDC</w:t>
      </w:r>
      <w:r w:rsidR="002F1D27">
        <w:rPr>
          <w:color w:val="auto"/>
        </w:rPr>
        <w:t>’s</w:t>
      </w:r>
      <w:r w:rsidR="002F1D27" w:rsidRPr="57EA1165">
        <w:rPr>
          <w:color w:val="auto"/>
        </w:rPr>
        <w:t xml:space="preserve"> work is structured around three core themes</w:t>
      </w:r>
      <w:r w:rsidR="7866684F" w:rsidRPr="16A89082">
        <w:rPr>
          <w:color w:val="auto"/>
        </w:rPr>
        <w:t>, which drive its objectives and outcomes and to which this Capital Strategy is aligned. These are:</w:t>
      </w:r>
    </w:p>
    <w:p w14:paraId="0A34A412" w14:textId="3E6D713A" w:rsidR="50983963" w:rsidRDefault="714BFC32" w:rsidP="00797FC8">
      <w:pPr>
        <w:spacing w:before="240"/>
        <w:ind w:left="680"/>
        <w:rPr>
          <w:rFonts w:eastAsiaTheme="minorEastAsia"/>
          <w:color w:val="auto"/>
        </w:rPr>
      </w:pPr>
      <w:r w:rsidRPr="00E05962">
        <w:rPr>
          <w:color w:val="auto"/>
          <w:u w:val="single"/>
        </w:rPr>
        <w:t>Delivery</w:t>
      </w:r>
      <w:r w:rsidRPr="00E05962">
        <w:rPr>
          <w:rFonts w:eastAsiaTheme="minorEastAsia"/>
          <w:color w:val="auto"/>
        </w:rPr>
        <w:t xml:space="preserve"> – realising</w:t>
      </w:r>
      <w:r w:rsidRPr="16A89082">
        <w:rPr>
          <w:rFonts w:eastAsiaTheme="minorEastAsia"/>
          <w:color w:val="auto"/>
        </w:rPr>
        <w:t xml:space="preserve"> ambition through action by:</w:t>
      </w:r>
    </w:p>
    <w:p w14:paraId="7A932252" w14:textId="344F7690" w:rsidR="50983963" w:rsidRDefault="00FF27BF" w:rsidP="008D5363">
      <w:pPr>
        <w:pStyle w:val="ListParagraph"/>
        <w:numPr>
          <w:ilvl w:val="0"/>
          <w:numId w:val="4"/>
        </w:numPr>
        <w:ind w:left="1080"/>
        <w:rPr>
          <w:color w:val="auto"/>
        </w:rPr>
      </w:pPr>
      <w:r>
        <w:rPr>
          <w:color w:val="auto"/>
        </w:rPr>
        <w:t>e</w:t>
      </w:r>
      <w:r w:rsidR="1C2A3E47" w:rsidRPr="07195704">
        <w:rPr>
          <w:color w:val="auto"/>
        </w:rPr>
        <w:t>stablishing our role as landowner and steward</w:t>
      </w:r>
    </w:p>
    <w:p w14:paraId="4F38C096" w14:textId="193584A4" w:rsidR="50983963" w:rsidRDefault="00FF27BF" w:rsidP="00797FC8">
      <w:pPr>
        <w:pStyle w:val="ListParagraph"/>
        <w:numPr>
          <w:ilvl w:val="0"/>
          <w:numId w:val="4"/>
        </w:numPr>
        <w:spacing w:before="240"/>
        <w:ind w:left="1080"/>
        <w:rPr>
          <w:color w:val="auto"/>
        </w:rPr>
      </w:pPr>
      <w:r>
        <w:rPr>
          <w:color w:val="auto"/>
        </w:rPr>
        <w:t>s</w:t>
      </w:r>
      <w:r w:rsidR="1C2A3E47" w:rsidRPr="07195704">
        <w:rPr>
          <w:color w:val="auto"/>
        </w:rPr>
        <w:t>ecuring the right investment and development partners</w:t>
      </w:r>
    </w:p>
    <w:p w14:paraId="4CA5351B" w14:textId="5F5854BC" w:rsidR="50983963" w:rsidRDefault="00FF27BF" w:rsidP="00797FC8">
      <w:pPr>
        <w:pStyle w:val="ListParagraph"/>
        <w:numPr>
          <w:ilvl w:val="0"/>
          <w:numId w:val="4"/>
        </w:numPr>
        <w:spacing w:before="240"/>
        <w:ind w:left="1080"/>
        <w:rPr>
          <w:color w:val="auto"/>
        </w:rPr>
      </w:pPr>
      <w:r>
        <w:rPr>
          <w:color w:val="auto"/>
        </w:rPr>
        <w:lastRenderedPageBreak/>
        <w:t>d</w:t>
      </w:r>
      <w:r w:rsidR="1C2A3E47" w:rsidRPr="07195704">
        <w:rPr>
          <w:color w:val="auto"/>
        </w:rPr>
        <w:t xml:space="preserve">elivering positive changes and local enhancements now </w:t>
      </w:r>
    </w:p>
    <w:p w14:paraId="4CEFC707" w14:textId="4E665072" w:rsidR="50983963" w:rsidRPr="00803B5E" w:rsidRDefault="00FF27BF" w:rsidP="00797FC8">
      <w:pPr>
        <w:pStyle w:val="ListParagraph"/>
        <w:numPr>
          <w:ilvl w:val="0"/>
          <w:numId w:val="4"/>
        </w:numPr>
        <w:spacing w:before="240"/>
        <w:ind w:left="1080"/>
        <w:rPr>
          <w:color w:val="auto"/>
        </w:rPr>
      </w:pPr>
      <w:r>
        <w:rPr>
          <w:color w:val="auto"/>
        </w:rPr>
        <w:t>m</w:t>
      </w:r>
      <w:r w:rsidR="1C2A3E47" w:rsidRPr="07195704">
        <w:rPr>
          <w:color w:val="auto"/>
        </w:rPr>
        <w:t xml:space="preserve">aximising affordable homes, </w:t>
      </w:r>
      <w:proofErr w:type="gramStart"/>
      <w:r w:rsidR="1C2A3E47" w:rsidRPr="07195704">
        <w:rPr>
          <w:color w:val="auto"/>
        </w:rPr>
        <w:t>jobs</w:t>
      </w:r>
      <w:proofErr w:type="gramEnd"/>
      <w:r w:rsidR="1C2A3E47" w:rsidRPr="07195704">
        <w:rPr>
          <w:color w:val="auto"/>
        </w:rPr>
        <w:t xml:space="preserve"> and funding contributions for new and improved infrastructure. </w:t>
      </w:r>
    </w:p>
    <w:p w14:paraId="4E19516A" w14:textId="1A7A6101" w:rsidR="50983963" w:rsidRDefault="714BFC32" w:rsidP="00797FC8">
      <w:pPr>
        <w:spacing w:before="240"/>
        <w:ind w:left="680"/>
        <w:rPr>
          <w:rFonts w:eastAsiaTheme="minorEastAsia"/>
          <w:color w:val="auto"/>
        </w:rPr>
      </w:pPr>
      <w:r w:rsidRPr="00E05962">
        <w:rPr>
          <w:color w:val="auto"/>
          <w:u w:val="single"/>
        </w:rPr>
        <w:t>Community</w:t>
      </w:r>
      <w:r w:rsidRPr="00E05962">
        <w:rPr>
          <w:color w:val="auto"/>
        </w:rPr>
        <w:t xml:space="preserve"> </w:t>
      </w:r>
      <w:r w:rsidRPr="00E05962">
        <w:rPr>
          <w:rFonts w:eastAsiaTheme="minorEastAsia"/>
          <w:color w:val="auto"/>
        </w:rPr>
        <w:t>– a place</w:t>
      </w:r>
      <w:r w:rsidRPr="16A89082">
        <w:rPr>
          <w:rFonts w:eastAsiaTheme="minorEastAsia"/>
          <w:color w:val="auto"/>
        </w:rPr>
        <w:t xml:space="preserve"> for everyone, reflecting local needs and aspirations by:</w:t>
      </w:r>
    </w:p>
    <w:p w14:paraId="4C8AA92B" w14:textId="0A0CC8D0" w:rsidR="50983963" w:rsidRDefault="00FF27BF" w:rsidP="008D5363">
      <w:pPr>
        <w:pStyle w:val="ListParagraph"/>
        <w:numPr>
          <w:ilvl w:val="0"/>
          <w:numId w:val="3"/>
        </w:numPr>
        <w:ind w:left="1080"/>
        <w:rPr>
          <w:color w:val="auto"/>
        </w:rPr>
      </w:pPr>
      <w:r>
        <w:rPr>
          <w:color w:val="auto"/>
        </w:rPr>
        <w:t>e</w:t>
      </w:r>
      <w:r w:rsidR="1C2A3E47" w:rsidRPr="07195704">
        <w:rPr>
          <w:color w:val="auto"/>
        </w:rPr>
        <w:t>mpowering everyone to have a say in the future</w:t>
      </w:r>
    </w:p>
    <w:p w14:paraId="4809C6AE" w14:textId="08A2A368" w:rsidR="50983963" w:rsidRDefault="00FF27BF" w:rsidP="00797FC8">
      <w:pPr>
        <w:pStyle w:val="ListParagraph"/>
        <w:numPr>
          <w:ilvl w:val="0"/>
          <w:numId w:val="3"/>
        </w:numPr>
        <w:spacing w:before="240"/>
        <w:ind w:left="1080"/>
        <w:rPr>
          <w:color w:val="auto"/>
        </w:rPr>
      </w:pPr>
      <w:r>
        <w:rPr>
          <w:color w:val="auto"/>
        </w:rPr>
        <w:t>c</w:t>
      </w:r>
      <w:r w:rsidR="1C2A3E47" w:rsidRPr="07195704">
        <w:rPr>
          <w:color w:val="auto"/>
        </w:rPr>
        <w:t xml:space="preserve">elebrating and championing diversity, </w:t>
      </w:r>
      <w:proofErr w:type="gramStart"/>
      <w:r w:rsidR="1C2A3E47" w:rsidRPr="07195704">
        <w:rPr>
          <w:color w:val="auto"/>
        </w:rPr>
        <w:t>heritage</w:t>
      </w:r>
      <w:proofErr w:type="gramEnd"/>
      <w:r w:rsidR="1C2A3E47" w:rsidRPr="07195704">
        <w:rPr>
          <w:color w:val="auto"/>
        </w:rPr>
        <w:t xml:space="preserve"> and local identity</w:t>
      </w:r>
    </w:p>
    <w:p w14:paraId="401716ED" w14:textId="4043D7F7" w:rsidR="50983963" w:rsidRDefault="00FF27BF" w:rsidP="00797FC8">
      <w:pPr>
        <w:pStyle w:val="ListParagraph"/>
        <w:numPr>
          <w:ilvl w:val="0"/>
          <w:numId w:val="3"/>
        </w:numPr>
        <w:spacing w:before="240"/>
        <w:ind w:left="1080"/>
        <w:rPr>
          <w:color w:val="auto"/>
        </w:rPr>
      </w:pPr>
      <w:r>
        <w:rPr>
          <w:color w:val="auto"/>
        </w:rPr>
        <w:t>b</w:t>
      </w:r>
      <w:r w:rsidR="1C2A3E47" w:rsidRPr="07195704">
        <w:rPr>
          <w:color w:val="auto"/>
        </w:rPr>
        <w:t>uilding capacity and skills for the future</w:t>
      </w:r>
    </w:p>
    <w:p w14:paraId="7021F138" w14:textId="550A41DC" w:rsidR="50983963" w:rsidRPr="00FD26E8" w:rsidRDefault="00FF27BF" w:rsidP="00797FC8">
      <w:pPr>
        <w:pStyle w:val="ListParagraph"/>
        <w:numPr>
          <w:ilvl w:val="0"/>
          <w:numId w:val="3"/>
        </w:numPr>
        <w:spacing w:before="240"/>
        <w:ind w:left="1080"/>
        <w:rPr>
          <w:color w:val="auto"/>
        </w:rPr>
      </w:pPr>
      <w:r>
        <w:rPr>
          <w:color w:val="auto"/>
        </w:rPr>
        <w:t>c</w:t>
      </w:r>
      <w:r w:rsidR="1C2A3E47" w:rsidRPr="07195704">
        <w:rPr>
          <w:color w:val="auto"/>
        </w:rPr>
        <w:t>aring for and protecting the local area.</w:t>
      </w:r>
      <w:r w:rsidR="714BFC32" w:rsidRPr="00FD26E8">
        <w:rPr>
          <w:color w:val="auto"/>
        </w:rPr>
        <w:t xml:space="preserve"> </w:t>
      </w:r>
    </w:p>
    <w:p w14:paraId="4669F0E2" w14:textId="68E27BF5" w:rsidR="50983963" w:rsidRDefault="714BFC32" w:rsidP="00797FC8">
      <w:pPr>
        <w:spacing w:before="240"/>
        <w:ind w:left="680"/>
        <w:rPr>
          <w:rFonts w:eastAsiaTheme="minorEastAsia"/>
          <w:color w:val="auto"/>
        </w:rPr>
      </w:pPr>
      <w:r w:rsidRPr="00FD26E8">
        <w:rPr>
          <w:color w:val="auto"/>
          <w:u w:val="single"/>
        </w:rPr>
        <w:t>Innovation</w:t>
      </w:r>
      <w:r w:rsidRPr="00FD26E8">
        <w:rPr>
          <w:color w:val="auto"/>
        </w:rPr>
        <w:t xml:space="preserve"> </w:t>
      </w:r>
      <w:r w:rsidRPr="00FD26E8">
        <w:rPr>
          <w:rFonts w:eastAsiaTheme="minorEastAsia"/>
          <w:color w:val="auto"/>
        </w:rPr>
        <w:t>–</w:t>
      </w:r>
      <w:r w:rsidRPr="16A89082">
        <w:rPr>
          <w:rFonts w:eastAsiaTheme="minorEastAsia"/>
          <w:color w:val="auto"/>
        </w:rPr>
        <w:t xml:space="preserve"> leading the way for a sustainable and prosperous future through:</w:t>
      </w:r>
    </w:p>
    <w:p w14:paraId="73EA82D1" w14:textId="4D4883EA" w:rsidR="50983963" w:rsidRDefault="00FF27BF" w:rsidP="008D5363">
      <w:pPr>
        <w:pStyle w:val="ListParagraph"/>
        <w:numPr>
          <w:ilvl w:val="0"/>
          <w:numId w:val="2"/>
        </w:numPr>
        <w:ind w:left="1080"/>
        <w:rPr>
          <w:color w:val="auto"/>
        </w:rPr>
      </w:pPr>
      <w:r>
        <w:rPr>
          <w:color w:val="auto"/>
        </w:rPr>
        <w:t>n</w:t>
      </w:r>
      <w:r w:rsidR="1C2A3E47" w:rsidRPr="07195704">
        <w:rPr>
          <w:color w:val="auto"/>
        </w:rPr>
        <w:t>et zero and nature positive regeneration</w:t>
      </w:r>
    </w:p>
    <w:p w14:paraId="4A64FE94" w14:textId="1C074ABD" w:rsidR="50983963" w:rsidRDefault="00FF27BF" w:rsidP="00797FC8">
      <w:pPr>
        <w:pStyle w:val="ListParagraph"/>
        <w:numPr>
          <w:ilvl w:val="0"/>
          <w:numId w:val="2"/>
        </w:numPr>
        <w:spacing w:before="240"/>
        <w:ind w:left="1080"/>
        <w:rPr>
          <w:color w:val="auto"/>
        </w:rPr>
      </w:pPr>
      <w:r>
        <w:rPr>
          <w:color w:val="auto"/>
        </w:rPr>
        <w:t>j</w:t>
      </w:r>
      <w:r w:rsidR="1C2A3E47" w:rsidRPr="07195704">
        <w:rPr>
          <w:color w:val="auto"/>
        </w:rPr>
        <w:t>obs for the future and local prosperity</w:t>
      </w:r>
    </w:p>
    <w:p w14:paraId="5215EE9E" w14:textId="2D2C2ADE" w:rsidR="50983963" w:rsidRDefault="00FF27BF" w:rsidP="00797FC8">
      <w:pPr>
        <w:pStyle w:val="ListParagraph"/>
        <w:numPr>
          <w:ilvl w:val="0"/>
          <w:numId w:val="2"/>
        </w:numPr>
        <w:spacing w:before="240"/>
        <w:ind w:left="1080"/>
        <w:rPr>
          <w:color w:val="auto"/>
        </w:rPr>
      </w:pPr>
      <w:r>
        <w:rPr>
          <w:color w:val="auto"/>
        </w:rPr>
        <w:t>a</w:t>
      </w:r>
      <w:r w:rsidR="1C2A3E47" w:rsidRPr="07195704">
        <w:rPr>
          <w:color w:val="auto"/>
        </w:rPr>
        <w:t xml:space="preserve">ttracting diverse industries and technologies. </w:t>
      </w:r>
    </w:p>
    <w:p w14:paraId="55BE3067" w14:textId="77777777" w:rsidR="00797FC8" w:rsidRDefault="00797FC8" w:rsidP="00797FC8">
      <w:pPr>
        <w:pStyle w:val="ListParagraph"/>
        <w:spacing w:before="240"/>
        <w:ind w:left="1080"/>
        <w:rPr>
          <w:color w:val="auto"/>
        </w:rPr>
      </w:pPr>
    </w:p>
    <w:p w14:paraId="51E9FE1A" w14:textId="48D01E25" w:rsidR="50983963" w:rsidRDefault="3689C8BF" w:rsidP="003B6A3E">
      <w:pPr>
        <w:pStyle w:val="ListParagraph"/>
        <w:numPr>
          <w:ilvl w:val="0"/>
          <w:numId w:val="39"/>
        </w:numPr>
        <w:spacing w:before="240"/>
        <w:jc w:val="both"/>
        <w:rPr>
          <w:rFonts w:eastAsiaTheme="minorEastAsia"/>
          <w:color w:val="auto"/>
        </w:rPr>
      </w:pPr>
      <w:r w:rsidRPr="07195704">
        <w:rPr>
          <w:rFonts w:eastAsiaTheme="minorEastAsia"/>
          <w:color w:val="auto"/>
        </w:rPr>
        <w:t xml:space="preserve">The priority capital programmes included in OPDC’s capital ambition are outlined </w:t>
      </w:r>
      <w:r w:rsidR="59017E61" w:rsidRPr="07195704">
        <w:rPr>
          <w:rFonts w:eastAsiaTheme="minorEastAsia"/>
          <w:color w:val="auto"/>
        </w:rPr>
        <w:t xml:space="preserve">in the </w:t>
      </w:r>
      <w:r w:rsidR="004F0C7A">
        <w:rPr>
          <w:rFonts w:eastAsiaTheme="minorEastAsia"/>
          <w:color w:val="auto"/>
        </w:rPr>
        <w:t>c</w:t>
      </w:r>
      <w:r w:rsidR="59017E61" w:rsidRPr="00797FC8">
        <w:rPr>
          <w:rFonts w:eastAsiaTheme="minorEastAsia"/>
          <w:color w:val="auto"/>
        </w:rPr>
        <w:t xml:space="preserve">apital </w:t>
      </w:r>
      <w:r w:rsidR="004F0C7A">
        <w:rPr>
          <w:rFonts w:eastAsiaTheme="minorEastAsia"/>
          <w:color w:val="auto"/>
        </w:rPr>
        <w:t>s</w:t>
      </w:r>
      <w:r w:rsidR="59017E61" w:rsidRPr="00797FC8">
        <w:rPr>
          <w:rFonts w:eastAsiaTheme="minorEastAsia"/>
          <w:color w:val="auto"/>
        </w:rPr>
        <w:t>pending</w:t>
      </w:r>
      <w:r w:rsidR="59017E61" w:rsidRPr="07195704">
        <w:rPr>
          <w:rFonts w:eastAsiaTheme="minorEastAsia"/>
          <w:color w:val="auto"/>
        </w:rPr>
        <w:t xml:space="preserve"> plan sections </w:t>
      </w:r>
      <w:r w:rsidRPr="07195704">
        <w:rPr>
          <w:rFonts w:eastAsiaTheme="minorEastAsia"/>
          <w:color w:val="auto"/>
        </w:rPr>
        <w:t>below.</w:t>
      </w:r>
    </w:p>
    <w:p w14:paraId="66627BEE" w14:textId="394DA6B1" w:rsidR="50983963" w:rsidRDefault="09467640" w:rsidP="00F90E21">
      <w:pPr>
        <w:spacing w:before="240"/>
        <w:ind w:left="680"/>
        <w:jc w:val="both"/>
        <w:rPr>
          <w:rFonts w:eastAsiaTheme="minorEastAsia"/>
          <w:b/>
          <w:bCs/>
          <w:color w:val="auto"/>
        </w:rPr>
      </w:pPr>
      <w:r w:rsidRPr="16A89082">
        <w:rPr>
          <w:rFonts w:eastAsiaTheme="minorEastAsia"/>
          <w:b/>
          <w:bCs/>
          <w:color w:val="auto"/>
        </w:rPr>
        <w:t>5-Year Capital Spending Plan</w:t>
      </w:r>
    </w:p>
    <w:p w14:paraId="771AFB17" w14:textId="708AD44D" w:rsidR="00CD7515" w:rsidRDefault="0B8EC156" w:rsidP="003B6A3E">
      <w:pPr>
        <w:pStyle w:val="ListParagraph"/>
        <w:numPr>
          <w:ilvl w:val="0"/>
          <w:numId w:val="39"/>
        </w:numPr>
        <w:spacing w:before="240"/>
        <w:jc w:val="both"/>
        <w:rPr>
          <w:rFonts w:eastAsiaTheme="minorEastAsia"/>
          <w:color w:val="auto"/>
        </w:rPr>
      </w:pPr>
      <w:r w:rsidRPr="16A89082">
        <w:rPr>
          <w:rFonts w:eastAsiaTheme="minorEastAsia"/>
          <w:color w:val="auto"/>
        </w:rPr>
        <w:t>OPDC</w:t>
      </w:r>
      <w:r w:rsidR="0069787B">
        <w:rPr>
          <w:rFonts w:eastAsiaTheme="minorEastAsia"/>
          <w:color w:val="auto"/>
        </w:rPr>
        <w:t>’s 5-</w:t>
      </w:r>
      <w:r w:rsidR="009118F1">
        <w:rPr>
          <w:rFonts w:eastAsiaTheme="minorEastAsia"/>
          <w:color w:val="auto"/>
        </w:rPr>
        <w:t>Year capital spending plan</w:t>
      </w:r>
      <w:r w:rsidR="007011B2">
        <w:rPr>
          <w:rFonts w:eastAsiaTheme="minorEastAsia"/>
          <w:color w:val="auto"/>
        </w:rPr>
        <w:t xml:space="preserve">’s primary focus is </w:t>
      </w:r>
      <w:r w:rsidR="00EF6AFE">
        <w:rPr>
          <w:rFonts w:eastAsiaTheme="minorEastAsia"/>
          <w:color w:val="auto"/>
        </w:rPr>
        <w:t xml:space="preserve">to </w:t>
      </w:r>
      <w:r w:rsidR="00D25A32">
        <w:rPr>
          <w:rFonts w:eastAsiaTheme="minorEastAsia"/>
          <w:color w:val="auto"/>
        </w:rPr>
        <w:t>con</w:t>
      </w:r>
      <w:r w:rsidR="009F2342">
        <w:rPr>
          <w:rFonts w:eastAsiaTheme="minorEastAsia"/>
          <w:color w:val="auto"/>
        </w:rPr>
        <w:t xml:space="preserve">tinue </w:t>
      </w:r>
      <w:r w:rsidR="47AA227A" w:rsidRPr="16A89082">
        <w:rPr>
          <w:rFonts w:eastAsiaTheme="minorEastAsia"/>
          <w:color w:val="auto"/>
        </w:rPr>
        <w:t>to acquire and commit to securing the private land needed</w:t>
      </w:r>
      <w:r w:rsidR="00455B03">
        <w:rPr>
          <w:rFonts w:eastAsiaTheme="minorEastAsia"/>
          <w:color w:val="auto"/>
        </w:rPr>
        <w:t>,</w:t>
      </w:r>
      <w:r w:rsidR="47AA227A" w:rsidRPr="16A89082">
        <w:rPr>
          <w:rFonts w:eastAsiaTheme="minorEastAsia"/>
          <w:color w:val="auto"/>
        </w:rPr>
        <w:t xml:space="preserve"> </w:t>
      </w:r>
      <w:r w:rsidR="007C301D">
        <w:rPr>
          <w:rFonts w:eastAsiaTheme="minorEastAsia"/>
          <w:color w:val="auto"/>
        </w:rPr>
        <w:t xml:space="preserve">to enable </w:t>
      </w:r>
      <w:r w:rsidR="47AA227A" w:rsidRPr="16A89082">
        <w:rPr>
          <w:rFonts w:eastAsiaTheme="minorEastAsia"/>
          <w:color w:val="auto"/>
        </w:rPr>
        <w:t xml:space="preserve">the </w:t>
      </w:r>
      <w:r w:rsidR="00690F01">
        <w:rPr>
          <w:rFonts w:eastAsiaTheme="minorEastAsia"/>
          <w:color w:val="auto"/>
        </w:rPr>
        <w:t xml:space="preserve">Old Oak </w:t>
      </w:r>
      <w:r w:rsidR="005C3715">
        <w:rPr>
          <w:rFonts w:eastAsiaTheme="minorEastAsia"/>
          <w:color w:val="auto"/>
        </w:rPr>
        <w:t xml:space="preserve">regeneration </w:t>
      </w:r>
      <w:r w:rsidR="47AA227A" w:rsidRPr="16A89082">
        <w:rPr>
          <w:rFonts w:eastAsiaTheme="minorEastAsia"/>
          <w:color w:val="auto"/>
        </w:rPr>
        <w:t xml:space="preserve">scheme </w:t>
      </w:r>
      <w:r w:rsidR="008B5C44">
        <w:rPr>
          <w:rFonts w:eastAsiaTheme="minorEastAsia"/>
          <w:color w:val="auto"/>
        </w:rPr>
        <w:t xml:space="preserve">to </w:t>
      </w:r>
      <w:r w:rsidR="008B5C44" w:rsidRPr="004714F2">
        <w:rPr>
          <w:color w:val="auto"/>
        </w:rPr>
        <w:t>deliver up to 9,000 homes and 3 million square feet of workspace in a new urban district</w:t>
      </w:r>
      <w:r w:rsidR="007C301D">
        <w:rPr>
          <w:color w:val="auto"/>
        </w:rPr>
        <w:t>,</w:t>
      </w:r>
      <w:r w:rsidR="008B5C44" w:rsidRPr="16A89082">
        <w:rPr>
          <w:rFonts w:eastAsiaTheme="minorEastAsia"/>
          <w:color w:val="auto"/>
        </w:rPr>
        <w:t xml:space="preserve"> </w:t>
      </w:r>
      <w:r w:rsidR="47AA227A" w:rsidRPr="16A89082">
        <w:rPr>
          <w:rFonts w:eastAsiaTheme="minorEastAsia"/>
          <w:color w:val="auto"/>
        </w:rPr>
        <w:t xml:space="preserve">either through private treaty where possible, or using Compulsory Purchase Order (CPO) powers, subject to approval. </w:t>
      </w:r>
    </w:p>
    <w:p w14:paraId="138613B8" w14:textId="77777777" w:rsidR="00CD7515" w:rsidRDefault="00CD7515" w:rsidP="00CD7515">
      <w:pPr>
        <w:pStyle w:val="ListParagraph"/>
        <w:spacing w:before="240"/>
        <w:ind w:left="680"/>
        <w:jc w:val="both"/>
        <w:rPr>
          <w:rFonts w:eastAsiaTheme="minorEastAsia"/>
          <w:color w:val="auto"/>
        </w:rPr>
      </w:pPr>
    </w:p>
    <w:p w14:paraId="4EDC40EC" w14:textId="2EF69F55" w:rsidR="50983963" w:rsidRDefault="00944ECD" w:rsidP="003B6A3E">
      <w:pPr>
        <w:pStyle w:val="ListParagraph"/>
        <w:numPr>
          <w:ilvl w:val="0"/>
          <w:numId w:val="39"/>
        </w:numPr>
        <w:spacing w:before="240"/>
        <w:jc w:val="both"/>
        <w:rPr>
          <w:rFonts w:eastAsiaTheme="minorEastAsia"/>
          <w:color w:val="auto"/>
        </w:rPr>
      </w:pPr>
      <w:r>
        <w:rPr>
          <w:rFonts w:eastAsiaTheme="minorEastAsia"/>
          <w:color w:val="auto"/>
        </w:rPr>
        <w:t xml:space="preserve">The </w:t>
      </w:r>
      <w:r w:rsidR="008C057D">
        <w:rPr>
          <w:rFonts w:eastAsiaTheme="minorEastAsia"/>
          <w:color w:val="auto"/>
        </w:rPr>
        <w:t xml:space="preserve">capital plan </w:t>
      </w:r>
      <w:r w:rsidR="007133CA">
        <w:rPr>
          <w:rFonts w:eastAsiaTheme="minorEastAsia"/>
          <w:color w:val="auto"/>
        </w:rPr>
        <w:t xml:space="preserve">will enable </w:t>
      </w:r>
      <w:r w:rsidR="00EA0674">
        <w:rPr>
          <w:rFonts w:eastAsiaTheme="minorEastAsia"/>
          <w:color w:val="auto"/>
        </w:rPr>
        <w:t xml:space="preserve">delivery of early </w:t>
      </w:r>
      <w:r w:rsidR="00BC4D4B">
        <w:rPr>
          <w:rFonts w:eastAsiaTheme="minorEastAsia"/>
          <w:color w:val="auto"/>
        </w:rPr>
        <w:t xml:space="preserve">home starts </w:t>
      </w:r>
      <w:r w:rsidR="00F159F7">
        <w:rPr>
          <w:rFonts w:eastAsiaTheme="minorEastAsia"/>
          <w:color w:val="auto"/>
        </w:rPr>
        <w:t xml:space="preserve">within the Mayoral term and </w:t>
      </w:r>
      <w:r w:rsidR="001D7E20">
        <w:rPr>
          <w:rFonts w:eastAsiaTheme="minorEastAsia"/>
          <w:color w:val="auto"/>
        </w:rPr>
        <w:t xml:space="preserve">ensure </w:t>
      </w:r>
      <w:r w:rsidR="005345FD">
        <w:rPr>
          <w:rFonts w:eastAsiaTheme="minorEastAsia"/>
          <w:color w:val="auto"/>
        </w:rPr>
        <w:t xml:space="preserve">we </w:t>
      </w:r>
      <w:r w:rsidR="00E738C9">
        <w:rPr>
          <w:rFonts w:eastAsiaTheme="minorEastAsia"/>
          <w:color w:val="auto"/>
        </w:rPr>
        <w:t xml:space="preserve">can </w:t>
      </w:r>
      <w:r w:rsidR="47AA227A" w:rsidRPr="16A89082">
        <w:rPr>
          <w:rFonts w:eastAsiaTheme="minorEastAsia"/>
          <w:color w:val="auto"/>
        </w:rPr>
        <w:t>evidenc</w:t>
      </w:r>
      <w:r w:rsidR="00E738C9">
        <w:rPr>
          <w:rFonts w:eastAsiaTheme="minorEastAsia"/>
          <w:color w:val="auto"/>
        </w:rPr>
        <w:t>e</w:t>
      </w:r>
      <w:r w:rsidR="47AA227A" w:rsidRPr="16A89082">
        <w:rPr>
          <w:rFonts w:eastAsiaTheme="minorEastAsia"/>
          <w:color w:val="auto"/>
        </w:rPr>
        <w:t xml:space="preserve"> a fully funded scheme for acquisition through CPO. </w:t>
      </w:r>
    </w:p>
    <w:p w14:paraId="203B78DC" w14:textId="77777777" w:rsidR="000B30A0" w:rsidRPr="000B30A0" w:rsidRDefault="000B30A0" w:rsidP="000B30A0">
      <w:pPr>
        <w:pStyle w:val="ListParagraph"/>
        <w:rPr>
          <w:rFonts w:eastAsiaTheme="minorEastAsia"/>
          <w:color w:val="auto"/>
        </w:rPr>
      </w:pPr>
    </w:p>
    <w:p w14:paraId="1D2B467A" w14:textId="47CB1265" w:rsidR="000B30A0" w:rsidRPr="000B30A0" w:rsidRDefault="000B30A0" w:rsidP="003B6A3E">
      <w:pPr>
        <w:pStyle w:val="ListParagraph"/>
        <w:numPr>
          <w:ilvl w:val="0"/>
          <w:numId w:val="39"/>
        </w:numPr>
        <w:spacing w:before="240"/>
        <w:jc w:val="both"/>
        <w:rPr>
          <w:rFonts w:eastAsiaTheme="minorEastAsia"/>
          <w:color w:val="auto"/>
        </w:rPr>
      </w:pPr>
      <w:r w:rsidRPr="18307BDE">
        <w:rPr>
          <w:rFonts w:eastAsiaTheme="minorEastAsia"/>
          <w:color w:val="auto"/>
        </w:rPr>
        <w:t>OPDC’s five-year spending plan is outlined in the table below (Table 3).</w:t>
      </w:r>
    </w:p>
    <w:p w14:paraId="54DC3A59" w14:textId="655D5D9A" w:rsidR="16A89082" w:rsidRDefault="16A89082" w:rsidP="16A89082">
      <w:pPr>
        <w:pStyle w:val="ListParagraph"/>
        <w:jc w:val="both"/>
        <w:rPr>
          <w:rFonts w:eastAsiaTheme="minorEastAsia"/>
          <w:color w:val="auto"/>
        </w:rPr>
      </w:pPr>
    </w:p>
    <w:p w14:paraId="5CF9E334" w14:textId="27589482" w:rsidR="3C8DF9B9" w:rsidRDefault="432C66E3" w:rsidP="00F90E21">
      <w:pPr>
        <w:ind w:left="680"/>
        <w:jc w:val="both"/>
        <w:rPr>
          <w:rFonts w:eastAsiaTheme="minorEastAsia"/>
          <w:b/>
          <w:bCs/>
          <w:color w:val="auto"/>
        </w:rPr>
      </w:pPr>
      <w:r w:rsidRPr="07195704">
        <w:rPr>
          <w:rFonts w:eastAsiaTheme="minorEastAsia"/>
          <w:b/>
          <w:bCs/>
          <w:color w:val="auto"/>
        </w:rPr>
        <w:t>Land Assembly</w:t>
      </w:r>
      <w:r w:rsidR="56709F0A" w:rsidRPr="07195704">
        <w:rPr>
          <w:rFonts w:eastAsiaTheme="minorEastAsia"/>
          <w:b/>
          <w:bCs/>
          <w:color w:val="auto"/>
        </w:rPr>
        <w:t xml:space="preserve"> and Infrastructure</w:t>
      </w:r>
    </w:p>
    <w:p w14:paraId="2B32ADF4" w14:textId="2844ABA4" w:rsidR="3C8DF9B9" w:rsidRDefault="3C8DF9B9" w:rsidP="007848D2">
      <w:pPr>
        <w:spacing w:before="240"/>
        <w:ind w:left="680"/>
        <w:jc w:val="both"/>
        <w:rPr>
          <w:rFonts w:eastAsiaTheme="minorEastAsia"/>
          <w:i/>
          <w:iCs/>
          <w:color w:val="auto"/>
        </w:rPr>
      </w:pPr>
      <w:r w:rsidRPr="16A89082">
        <w:rPr>
          <w:rFonts w:eastAsiaTheme="minorEastAsia"/>
          <w:i/>
          <w:iCs/>
          <w:color w:val="auto"/>
        </w:rPr>
        <w:t>Mayoral priorities: Affordable housing</w:t>
      </w:r>
    </w:p>
    <w:p w14:paraId="0788424D" w14:textId="7AAE25D8" w:rsidR="16A89082" w:rsidRDefault="16A89082" w:rsidP="16A89082">
      <w:pPr>
        <w:pStyle w:val="ListParagraph"/>
        <w:jc w:val="both"/>
        <w:rPr>
          <w:rFonts w:eastAsiaTheme="minorEastAsia"/>
          <w:b/>
          <w:bCs/>
          <w:color w:val="auto"/>
        </w:rPr>
      </w:pPr>
    </w:p>
    <w:p w14:paraId="41FB11B4" w14:textId="3D429080" w:rsidR="3C8DF9B9" w:rsidRDefault="3C8DF9B9" w:rsidP="003B6A3E">
      <w:pPr>
        <w:pStyle w:val="ListParagraph"/>
        <w:numPr>
          <w:ilvl w:val="0"/>
          <w:numId w:val="39"/>
        </w:numPr>
        <w:shd w:val="clear" w:color="auto" w:fill="FFFFFF" w:themeFill="background1"/>
        <w:spacing w:before="240"/>
        <w:jc w:val="both"/>
        <w:rPr>
          <w:rFonts w:eastAsiaTheme="minorEastAsia"/>
          <w:color w:val="auto"/>
        </w:rPr>
      </w:pPr>
      <w:r w:rsidRPr="16A89082">
        <w:rPr>
          <w:rFonts w:eastAsiaTheme="minorEastAsia"/>
          <w:color w:val="auto"/>
        </w:rPr>
        <w:t>OPDC’s capital forecast for land assembly increases from £76</w:t>
      </w:r>
      <w:r w:rsidR="00A24EA2">
        <w:rPr>
          <w:rFonts w:eastAsiaTheme="minorEastAsia"/>
          <w:color w:val="auto"/>
        </w:rPr>
        <w:t xml:space="preserve"> </w:t>
      </w:r>
      <w:r w:rsidRPr="16A89082">
        <w:rPr>
          <w:rFonts w:eastAsiaTheme="minorEastAsia"/>
          <w:color w:val="auto"/>
        </w:rPr>
        <w:t>m</w:t>
      </w:r>
      <w:r w:rsidR="00A24EA2">
        <w:rPr>
          <w:rFonts w:eastAsiaTheme="minorEastAsia"/>
          <w:color w:val="auto"/>
        </w:rPr>
        <w:t>illion</w:t>
      </w:r>
      <w:r w:rsidRPr="16A89082">
        <w:rPr>
          <w:rFonts w:eastAsiaTheme="minorEastAsia"/>
          <w:color w:val="auto"/>
        </w:rPr>
        <w:t xml:space="preserve"> in 2024-25 to £96 million in 2025-26, including two sites </w:t>
      </w:r>
      <w:r w:rsidR="005F01DA">
        <w:rPr>
          <w:rFonts w:eastAsiaTheme="minorEastAsia"/>
          <w:color w:val="auto"/>
        </w:rPr>
        <w:t xml:space="preserve">that we have </w:t>
      </w:r>
      <w:r w:rsidR="00FA43DC">
        <w:rPr>
          <w:rFonts w:eastAsiaTheme="minorEastAsia"/>
          <w:color w:val="auto"/>
        </w:rPr>
        <w:t xml:space="preserve">exchanged contracts </w:t>
      </w:r>
      <w:r w:rsidR="00C166A3">
        <w:rPr>
          <w:rFonts w:eastAsiaTheme="minorEastAsia"/>
          <w:color w:val="auto"/>
        </w:rPr>
        <w:t xml:space="preserve">for a deposit and </w:t>
      </w:r>
      <w:r w:rsidR="00DF41CE">
        <w:rPr>
          <w:rFonts w:eastAsiaTheme="minorEastAsia"/>
          <w:color w:val="auto"/>
        </w:rPr>
        <w:t xml:space="preserve">committed to complete </w:t>
      </w:r>
      <w:r w:rsidRPr="16A89082">
        <w:rPr>
          <w:rFonts w:eastAsiaTheme="minorEastAsia"/>
          <w:color w:val="auto"/>
        </w:rPr>
        <w:t>in Q1 2025-26. Upon completion of these two sites</w:t>
      </w:r>
      <w:r w:rsidRPr="16A89082">
        <w:rPr>
          <w:rFonts w:eastAsiaTheme="minorEastAsia"/>
          <w:color w:val="auto"/>
          <w:lang w:val="en-US"/>
        </w:rPr>
        <w:t>, we will have assembled 90 per cent of the private land needed for the scheme and have undertaken much of the preparatory work ahead of an in-</w:t>
      </w:r>
      <w:proofErr w:type="gramStart"/>
      <w:r w:rsidRPr="16A89082">
        <w:rPr>
          <w:rFonts w:eastAsiaTheme="minorEastAsia"/>
          <w:color w:val="auto"/>
          <w:lang w:val="en-US"/>
        </w:rPr>
        <w:t>principle</w:t>
      </w:r>
      <w:proofErr w:type="gramEnd"/>
      <w:r w:rsidRPr="16A89082">
        <w:rPr>
          <w:rFonts w:eastAsiaTheme="minorEastAsia"/>
          <w:color w:val="auto"/>
          <w:lang w:val="en-US"/>
        </w:rPr>
        <w:t xml:space="preserve"> decision to seek Compulsory Purchase powers as a possible means of acquiring the remaining </w:t>
      </w:r>
      <w:r w:rsidR="33A7BB96" w:rsidRPr="36A56128">
        <w:rPr>
          <w:rFonts w:eastAsiaTheme="minorEastAsia"/>
          <w:color w:val="auto"/>
          <w:lang w:val="en-US"/>
        </w:rPr>
        <w:t>10</w:t>
      </w:r>
      <w:r w:rsidRPr="16A89082">
        <w:rPr>
          <w:rFonts w:eastAsiaTheme="minorEastAsia"/>
          <w:color w:val="auto"/>
          <w:lang w:val="en-US"/>
        </w:rPr>
        <w:t xml:space="preserve"> per cent of private land we need. </w:t>
      </w:r>
      <w:r w:rsidRPr="16A89082">
        <w:rPr>
          <w:rFonts w:eastAsiaTheme="minorEastAsia"/>
          <w:color w:val="auto"/>
        </w:rPr>
        <w:t xml:space="preserve"> </w:t>
      </w:r>
    </w:p>
    <w:p w14:paraId="5AEEB029" w14:textId="77777777" w:rsidR="16A89082" w:rsidRDefault="16A89082" w:rsidP="16A89082">
      <w:pPr>
        <w:pStyle w:val="ListParagraph"/>
        <w:jc w:val="both"/>
        <w:rPr>
          <w:rFonts w:eastAsiaTheme="minorEastAsia"/>
          <w:color w:val="auto"/>
        </w:rPr>
      </w:pPr>
    </w:p>
    <w:p w14:paraId="146AE3ED" w14:textId="07A4B5A5" w:rsidR="3C8DF9B9" w:rsidRDefault="432C66E3" w:rsidP="003B6A3E">
      <w:pPr>
        <w:pStyle w:val="ListParagraph"/>
        <w:numPr>
          <w:ilvl w:val="0"/>
          <w:numId w:val="39"/>
        </w:numPr>
        <w:shd w:val="clear" w:color="auto" w:fill="FFFFFF" w:themeFill="background1"/>
        <w:spacing w:before="240"/>
        <w:jc w:val="both"/>
        <w:rPr>
          <w:rFonts w:eastAsiaTheme="minorEastAsia"/>
          <w:color w:val="auto"/>
        </w:rPr>
      </w:pPr>
      <w:r w:rsidRPr="07195704">
        <w:rPr>
          <w:rFonts w:eastAsiaTheme="minorEastAsia"/>
          <w:color w:val="auto"/>
        </w:rPr>
        <w:t xml:space="preserve">As outlined in the Outline Business Case, agreed by government partners, </w:t>
      </w:r>
      <w:r w:rsidR="009C5FF4">
        <w:rPr>
          <w:rFonts w:eastAsiaTheme="minorEastAsia"/>
          <w:color w:val="auto"/>
        </w:rPr>
        <w:t xml:space="preserve">we </w:t>
      </w:r>
      <w:r w:rsidRPr="07195704">
        <w:rPr>
          <w:rFonts w:eastAsiaTheme="minorEastAsia"/>
          <w:color w:val="auto"/>
          <w:lang w:val="en-US"/>
        </w:rPr>
        <w:t>will pool 56 acres of public owned land with the acquired private sites by OPDC to enable the comprehensive regeneration scheme in Old Oak. This agreement will involve a deferred payment and will not require any capital outlay.</w:t>
      </w:r>
    </w:p>
    <w:p w14:paraId="2EA3A188" w14:textId="176C3994" w:rsidR="07195704" w:rsidRDefault="07195704" w:rsidP="07195704">
      <w:pPr>
        <w:pStyle w:val="ListParagraph"/>
        <w:shd w:val="clear" w:color="auto" w:fill="FFFFFF" w:themeFill="background1"/>
        <w:spacing w:before="240"/>
        <w:ind w:left="680"/>
        <w:jc w:val="both"/>
        <w:rPr>
          <w:rFonts w:eastAsiaTheme="minorEastAsia"/>
          <w:color w:val="auto"/>
        </w:rPr>
      </w:pPr>
    </w:p>
    <w:p w14:paraId="1D974E08" w14:textId="3A62FB05" w:rsidR="16A89082" w:rsidRDefault="0B5CD58B" w:rsidP="003B6A3E">
      <w:pPr>
        <w:pStyle w:val="ListParagraph"/>
        <w:numPr>
          <w:ilvl w:val="0"/>
          <w:numId w:val="39"/>
        </w:numPr>
        <w:shd w:val="clear" w:color="auto" w:fill="FFFFFF" w:themeFill="background1"/>
        <w:spacing w:before="240"/>
        <w:jc w:val="both"/>
        <w:rPr>
          <w:color w:val="000000" w:themeColor="text1"/>
        </w:rPr>
      </w:pPr>
      <w:r w:rsidRPr="1FA2E292">
        <w:rPr>
          <w:rFonts w:eastAsiaTheme="minorEastAsia"/>
          <w:color w:val="auto"/>
        </w:rPr>
        <w:t xml:space="preserve">The first ‘enabling infrastructure </w:t>
      </w:r>
      <w:r w:rsidRPr="1FA2E292">
        <w:rPr>
          <w:color w:val="000000" w:themeColor="text1"/>
        </w:rPr>
        <w:t xml:space="preserve">costs’ are assumed to </w:t>
      </w:r>
      <w:r w:rsidR="31F42357" w:rsidRPr="1FA2E292">
        <w:rPr>
          <w:color w:val="000000" w:themeColor="text1"/>
        </w:rPr>
        <w:t>occur</w:t>
      </w:r>
      <w:r w:rsidRPr="1FA2E292">
        <w:rPr>
          <w:color w:val="000000" w:themeColor="text1"/>
        </w:rPr>
        <w:t xml:space="preserve"> in 2028-29, with the bulk o</w:t>
      </w:r>
      <w:r w:rsidR="386182C8" w:rsidRPr="1FA2E292">
        <w:rPr>
          <w:color w:val="000000" w:themeColor="text1"/>
        </w:rPr>
        <w:t>f these costs being experience</w:t>
      </w:r>
      <w:r w:rsidR="76E2C491" w:rsidRPr="1FA2E292">
        <w:rPr>
          <w:color w:val="000000" w:themeColor="text1"/>
        </w:rPr>
        <w:t>d</w:t>
      </w:r>
      <w:r w:rsidR="386182C8" w:rsidRPr="1FA2E292">
        <w:rPr>
          <w:color w:val="000000" w:themeColor="text1"/>
        </w:rPr>
        <w:t xml:space="preserve"> in </w:t>
      </w:r>
      <w:r w:rsidRPr="1FA2E292">
        <w:rPr>
          <w:color w:val="000000" w:themeColor="text1"/>
        </w:rPr>
        <w:t xml:space="preserve">2029-30 </w:t>
      </w:r>
      <w:r w:rsidR="2C8EFAE5" w:rsidRPr="1FA2E292">
        <w:rPr>
          <w:color w:val="000000" w:themeColor="text1"/>
        </w:rPr>
        <w:t>onwards</w:t>
      </w:r>
      <w:r w:rsidR="1718E1BC" w:rsidRPr="1FA2E292">
        <w:rPr>
          <w:color w:val="000000" w:themeColor="text1"/>
        </w:rPr>
        <w:t>.</w:t>
      </w:r>
      <w:r w:rsidRPr="1FA2E292">
        <w:rPr>
          <w:color w:val="000000" w:themeColor="text1"/>
        </w:rPr>
        <w:t xml:space="preserve"> OPDC continue to progress forward with the intention of securing </w:t>
      </w:r>
      <w:r w:rsidR="37B14CCA" w:rsidRPr="1FA2E292">
        <w:rPr>
          <w:color w:val="000000" w:themeColor="text1"/>
        </w:rPr>
        <w:t>g</w:t>
      </w:r>
      <w:r w:rsidRPr="1FA2E292">
        <w:rPr>
          <w:color w:val="000000" w:themeColor="text1"/>
        </w:rPr>
        <w:t xml:space="preserve">overnment </w:t>
      </w:r>
      <w:r w:rsidR="3232C0E4" w:rsidRPr="1FA2E292">
        <w:rPr>
          <w:color w:val="000000" w:themeColor="text1"/>
        </w:rPr>
        <w:t xml:space="preserve">agency </w:t>
      </w:r>
      <w:r w:rsidRPr="1FA2E292">
        <w:rPr>
          <w:color w:val="000000" w:themeColor="text1"/>
        </w:rPr>
        <w:t>grants and developer contributions to offset these costs</w:t>
      </w:r>
      <w:r w:rsidR="7F60362B" w:rsidRPr="1FA2E292">
        <w:rPr>
          <w:color w:val="000000" w:themeColor="text1"/>
        </w:rPr>
        <w:t xml:space="preserve"> (see 20-year capital plan for more details)</w:t>
      </w:r>
      <w:r w:rsidR="3E12C0F0" w:rsidRPr="1FA2E292">
        <w:rPr>
          <w:color w:val="000000" w:themeColor="text1"/>
        </w:rPr>
        <w:t xml:space="preserve"> and will continue to </w:t>
      </w:r>
      <w:r w:rsidR="306021E4" w:rsidRPr="1FA2E292">
        <w:rPr>
          <w:color w:val="000000" w:themeColor="text1"/>
        </w:rPr>
        <w:t xml:space="preserve">consult with </w:t>
      </w:r>
      <w:r w:rsidR="7D1AD3C3" w:rsidRPr="1FA2E292">
        <w:rPr>
          <w:color w:val="000000" w:themeColor="text1"/>
        </w:rPr>
        <w:t xml:space="preserve">the GLA on future </w:t>
      </w:r>
      <w:r w:rsidR="18CEFF1B" w:rsidRPr="1FA2E292">
        <w:rPr>
          <w:color w:val="000000" w:themeColor="text1"/>
        </w:rPr>
        <w:t>capital needs</w:t>
      </w:r>
      <w:r w:rsidR="030B8759" w:rsidRPr="1FA2E292">
        <w:rPr>
          <w:color w:val="000000" w:themeColor="text1"/>
        </w:rPr>
        <w:t>.</w:t>
      </w:r>
    </w:p>
    <w:p w14:paraId="39181EAB" w14:textId="77777777" w:rsidR="00615E8A" w:rsidRPr="00615E8A" w:rsidRDefault="00615E8A" w:rsidP="00615E8A">
      <w:pPr>
        <w:pStyle w:val="ListParagraph"/>
        <w:rPr>
          <w:color w:val="000000" w:themeColor="text1"/>
        </w:rPr>
      </w:pPr>
    </w:p>
    <w:p w14:paraId="4F3B6A35" w14:textId="0BAC4B1E" w:rsidR="3C8DF9B9" w:rsidRDefault="3C8DF9B9" w:rsidP="001930C5">
      <w:pPr>
        <w:keepLines/>
        <w:spacing w:before="240" w:after="300"/>
        <w:ind w:left="680"/>
        <w:rPr>
          <w:rFonts w:eastAsia="Foundry Form Sans" w:cs="Foundry Form Sans"/>
          <w:b/>
          <w:bCs/>
          <w:color w:val="auto"/>
        </w:rPr>
      </w:pPr>
      <w:r w:rsidRPr="16A89082">
        <w:rPr>
          <w:rFonts w:eastAsiaTheme="minorEastAsia"/>
          <w:b/>
          <w:bCs/>
          <w:color w:val="auto"/>
        </w:rPr>
        <w:lastRenderedPageBreak/>
        <w:t>H</w:t>
      </w:r>
      <w:r w:rsidRPr="16A89082">
        <w:rPr>
          <w:rFonts w:eastAsia="Foundry Form Sans" w:cs="Foundry Form Sans"/>
          <w:b/>
          <w:bCs/>
          <w:color w:val="auto"/>
        </w:rPr>
        <w:t>eat Network (OPEN Project)</w:t>
      </w:r>
    </w:p>
    <w:p w14:paraId="38D4A1D9" w14:textId="10424E6B" w:rsidR="3C8DF9B9" w:rsidRDefault="3C8DF9B9" w:rsidP="001930C5">
      <w:pPr>
        <w:spacing w:before="240"/>
        <w:ind w:left="680"/>
        <w:jc w:val="both"/>
        <w:rPr>
          <w:rFonts w:eastAsiaTheme="minorEastAsia"/>
          <w:i/>
          <w:iCs/>
          <w:color w:val="auto"/>
        </w:rPr>
      </w:pPr>
      <w:r w:rsidRPr="16A89082">
        <w:rPr>
          <w:rFonts w:eastAsiaTheme="minorEastAsia"/>
          <w:i/>
          <w:iCs/>
          <w:color w:val="auto"/>
        </w:rPr>
        <w:t>Mayoral priorities: Environment</w:t>
      </w:r>
    </w:p>
    <w:p w14:paraId="6F34A41B" w14:textId="1DF26A7A" w:rsidR="3C8DF9B9" w:rsidRDefault="3C8DF9B9" w:rsidP="003B6A3E">
      <w:pPr>
        <w:pStyle w:val="ListParagraph"/>
        <w:numPr>
          <w:ilvl w:val="0"/>
          <w:numId w:val="39"/>
        </w:numPr>
        <w:spacing w:before="375" w:after="375"/>
        <w:jc w:val="both"/>
        <w:rPr>
          <w:rFonts w:eastAsia="Foundry Form Sans" w:cs="Foundry Form Sans"/>
          <w:color w:val="auto"/>
        </w:rPr>
      </w:pPr>
      <w:r w:rsidRPr="16A89082">
        <w:rPr>
          <w:rFonts w:eastAsia="Foundry Form Sans" w:cs="Foundry Form Sans"/>
          <w:color w:val="auto"/>
        </w:rPr>
        <w:t xml:space="preserve">The innovative Heat Network will provide low carbon heating captured from data centres into the local community including homes, </w:t>
      </w:r>
      <w:proofErr w:type="gramStart"/>
      <w:r w:rsidRPr="16A89082">
        <w:rPr>
          <w:rFonts w:eastAsia="Foundry Form Sans" w:cs="Foundry Form Sans"/>
          <w:color w:val="auto"/>
        </w:rPr>
        <w:t>schools</w:t>
      </w:r>
      <w:proofErr w:type="gramEnd"/>
      <w:r w:rsidRPr="16A89082">
        <w:rPr>
          <w:rFonts w:eastAsia="Foundry Form Sans" w:cs="Foundry Form Sans"/>
          <w:color w:val="auto"/>
        </w:rPr>
        <w:t xml:space="preserve"> and a major hospital. The new district heating network is key to helping achieve a zero carbon and sustainable new urban district. This substantial scheme is expected to deliver 95GWh of heat across five phases between 2026 and 2040.</w:t>
      </w:r>
    </w:p>
    <w:p w14:paraId="35EA77F1" w14:textId="77777777" w:rsidR="00615E8A" w:rsidRDefault="00615E8A" w:rsidP="00615E8A">
      <w:pPr>
        <w:pStyle w:val="ListParagraph"/>
        <w:spacing w:before="375" w:after="375"/>
        <w:ind w:left="680"/>
        <w:jc w:val="both"/>
        <w:rPr>
          <w:rFonts w:eastAsia="Foundry Form Sans" w:cs="Foundry Form Sans"/>
          <w:color w:val="auto"/>
        </w:rPr>
      </w:pPr>
    </w:p>
    <w:p w14:paraId="540092D4" w14:textId="6EF793C8" w:rsidR="23D8A931" w:rsidRPr="00615E8A" w:rsidRDefault="72ECD8C6" w:rsidP="00515F8E">
      <w:pPr>
        <w:pStyle w:val="ListParagraph"/>
        <w:numPr>
          <w:ilvl w:val="0"/>
          <w:numId w:val="39"/>
        </w:numPr>
        <w:spacing w:before="375" w:after="375"/>
        <w:jc w:val="both"/>
        <w:rPr>
          <w:rFonts w:eastAsia="Foundry Form Sans"/>
        </w:rPr>
      </w:pPr>
      <w:r w:rsidRPr="00615E8A">
        <w:rPr>
          <w:rFonts w:eastAsia="Foundry Form Sans" w:cs="Foundry Form Sans"/>
          <w:color w:val="auto"/>
        </w:rPr>
        <w:t>Total</w:t>
      </w:r>
      <w:r w:rsidRPr="00615E8A" w:rsidDel="72ECD8C6">
        <w:rPr>
          <w:rFonts w:eastAsia="Foundry Form Sans" w:cs="Foundry Form Sans"/>
          <w:color w:val="auto"/>
        </w:rPr>
        <w:t xml:space="preserve"> </w:t>
      </w:r>
      <w:r w:rsidRPr="00615E8A">
        <w:rPr>
          <w:rFonts w:eastAsia="Foundry Form Sans" w:cs="Foundry Form Sans"/>
          <w:color w:val="auto"/>
        </w:rPr>
        <w:t>project funding for the Heat Network is £3</w:t>
      </w:r>
      <w:r w:rsidR="00502771" w:rsidRPr="00615E8A">
        <w:rPr>
          <w:rFonts w:eastAsia="Foundry Form Sans" w:cs="Foundry Form Sans"/>
          <w:color w:val="auto"/>
        </w:rPr>
        <w:t>7</w:t>
      </w:r>
      <w:r w:rsidRPr="00615E8A">
        <w:rPr>
          <w:rFonts w:eastAsia="Foundry Form Sans" w:cs="Foundry Form Sans"/>
          <w:color w:val="auto"/>
        </w:rPr>
        <w:t>.</w:t>
      </w:r>
      <w:r w:rsidR="00502771" w:rsidRPr="00615E8A">
        <w:rPr>
          <w:rFonts w:eastAsia="Foundry Form Sans" w:cs="Foundry Form Sans"/>
          <w:color w:val="auto"/>
        </w:rPr>
        <w:t>3</w:t>
      </w:r>
      <w:r w:rsidRPr="00615E8A">
        <w:rPr>
          <w:rFonts w:eastAsia="Foundry Form Sans" w:cs="Foundry Form Sans"/>
          <w:color w:val="auto"/>
        </w:rPr>
        <w:t xml:space="preserve"> million</w:t>
      </w:r>
      <w:r w:rsidR="001F067A" w:rsidRPr="00615E8A">
        <w:rPr>
          <w:rFonts w:eastAsia="Foundry Form Sans" w:cs="Foundry Form Sans"/>
          <w:color w:val="auto"/>
        </w:rPr>
        <w:t xml:space="preserve">, of which </w:t>
      </w:r>
      <w:r w:rsidR="00E5571D" w:rsidRPr="00615E8A">
        <w:rPr>
          <w:rFonts w:eastAsia="Foundry Form Sans" w:cs="Foundry Form Sans"/>
          <w:color w:val="auto"/>
        </w:rPr>
        <w:t>£35 million</w:t>
      </w:r>
      <w:r w:rsidRPr="00615E8A">
        <w:rPr>
          <w:rFonts w:eastAsia="Foundry Form Sans" w:cs="Foundry Form Sans"/>
          <w:color w:val="auto"/>
        </w:rPr>
        <w:t xml:space="preserve"> </w:t>
      </w:r>
      <w:r w:rsidR="00502771" w:rsidRPr="00615E8A">
        <w:rPr>
          <w:rFonts w:eastAsia="Foundry Form Sans" w:cs="Foundry Form Sans"/>
          <w:color w:val="auto"/>
        </w:rPr>
        <w:t xml:space="preserve">is capital </w:t>
      </w:r>
      <w:r w:rsidR="00E6443C" w:rsidRPr="00615E8A">
        <w:rPr>
          <w:rFonts w:eastAsia="Foundry Form Sans" w:cs="Foundry Form Sans"/>
          <w:color w:val="auto"/>
        </w:rPr>
        <w:t xml:space="preserve">funding from </w:t>
      </w:r>
      <w:r w:rsidR="00C26226" w:rsidRPr="00615E8A">
        <w:rPr>
          <w:rFonts w:eastAsia="Foundry Form Sans" w:cs="Foundry Form Sans"/>
          <w:color w:val="auto"/>
        </w:rPr>
        <w:t>the Department for Energy Security and Net Zero (DESNZ)</w:t>
      </w:r>
      <w:r w:rsidR="39943B38" w:rsidRPr="00615E8A">
        <w:rPr>
          <w:rFonts w:eastAsia="Foundry Form Sans" w:cs="Foundry Form Sans"/>
          <w:color w:val="auto"/>
        </w:rPr>
        <w:t xml:space="preserve"> </w:t>
      </w:r>
      <w:r w:rsidRPr="00615E8A">
        <w:rPr>
          <w:rFonts w:eastAsia="Foundry Form Sans" w:cs="Foundry Form Sans"/>
          <w:color w:val="auto"/>
        </w:rPr>
        <w:t xml:space="preserve">and is expected to be fully utilised on set up of the development Joint Venture. </w:t>
      </w:r>
      <w:r w:rsidR="143C7C69" w:rsidRPr="00615E8A">
        <w:rPr>
          <w:rFonts w:eastAsia="Foundry Form Sans" w:cs="Foundry Form Sans"/>
          <w:color w:val="auto"/>
        </w:rPr>
        <w:t>The £</w:t>
      </w:r>
      <w:r w:rsidR="00D06920" w:rsidRPr="00615E8A">
        <w:rPr>
          <w:rFonts w:eastAsia="Foundry Form Sans" w:cs="Foundry Form Sans"/>
          <w:color w:val="auto"/>
        </w:rPr>
        <w:t>2</w:t>
      </w:r>
      <w:r w:rsidR="143C7C69" w:rsidRPr="00615E8A">
        <w:rPr>
          <w:rFonts w:eastAsia="Foundry Form Sans" w:cs="Foundry Form Sans"/>
          <w:color w:val="auto"/>
        </w:rPr>
        <w:t>.</w:t>
      </w:r>
      <w:r w:rsidR="00D06920" w:rsidRPr="00615E8A">
        <w:rPr>
          <w:rFonts w:eastAsia="Foundry Form Sans" w:cs="Foundry Form Sans"/>
          <w:color w:val="auto"/>
        </w:rPr>
        <w:t>3</w:t>
      </w:r>
      <w:r w:rsidR="143C7C69" w:rsidRPr="00615E8A">
        <w:rPr>
          <w:rFonts w:eastAsia="Foundry Form Sans" w:cs="Foundry Form Sans"/>
          <w:color w:val="auto"/>
        </w:rPr>
        <w:t xml:space="preserve"> million revenue funding</w:t>
      </w:r>
      <w:r w:rsidR="00F66B0D" w:rsidRPr="00615E8A">
        <w:rPr>
          <w:rFonts w:eastAsia="Foundry Form Sans" w:cs="Foundry Form Sans"/>
          <w:color w:val="auto"/>
        </w:rPr>
        <w:t xml:space="preserve"> </w:t>
      </w:r>
      <w:r w:rsidR="143C7C69" w:rsidRPr="00615E8A">
        <w:rPr>
          <w:rFonts w:eastAsia="Foundry Form Sans" w:cs="Foundry Form Sans"/>
          <w:color w:val="auto"/>
        </w:rPr>
        <w:t>is made</w:t>
      </w:r>
      <w:r w:rsidRPr="00615E8A">
        <w:rPr>
          <w:rFonts w:eastAsia="Foundry Form Sans" w:cs="Foundry Form Sans"/>
          <w:color w:val="auto"/>
        </w:rPr>
        <w:t xml:space="preserve"> </w:t>
      </w:r>
      <w:r w:rsidR="143C7C69" w:rsidRPr="00615E8A">
        <w:rPr>
          <w:rFonts w:eastAsia="Foundry Form Sans" w:cs="Foundry Form Sans"/>
          <w:color w:val="auto"/>
        </w:rPr>
        <w:t>up</w:t>
      </w:r>
      <w:r w:rsidR="143C7C69" w:rsidRPr="00615E8A">
        <w:rPr>
          <w:rFonts w:eastAsia="Foundry Form Sans"/>
        </w:rPr>
        <w:t xml:space="preserve"> </w:t>
      </w:r>
      <w:r w:rsidR="143C7C69">
        <w:t>of £1.3 million</w:t>
      </w:r>
      <w:r w:rsidR="00394C00">
        <w:t xml:space="preserve"> from the GLA</w:t>
      </w:r>
      <w:r w:rsidR="007B0B38">
        <w:t xml:space="preserve"> and </w:t>
      </w:r>
      <w:r w:rsidR="143C7C69">
        <w:t>£1 million</w:t>
      </w:r>
      <w:r w:rsidR="007B0B38">
        <w:t xml:space="preserve"> from DESNZ</w:t>
      </w:r>
      <w:r w:rsidR="143C7C69">
        <w:t xml:space="preserve"> for the commercialisation phase.</w:t>
      </w:r>
    </w:p>
    <w:p w14:paraId="59B5033D" w14:textId="6ACA4E6E" w:rsidR="007067C4" w:rsidRDefault="5FEACE41" w:rsidP="00797FC8">
      <w:pPr>
        <w:spacing w:before="240" w:line="300" w:lineRule="exact"/>
        <w:ind w:left="680"/>
        <w:jc w:val="both"/>
        <w:rPr>
          <w:b/>
          <w:bCs/>
          <w:color w:val="auto"/>
          <w:highlight w:val="yellow"/>
        </w:rPr>
      </w:pPr>
      <w:r w:rsidRPr="07195704">
        <w:rPr>
          <w:b/>
          <w:bCs/>
          <w:color w:val="auto"/>
        </w:rPr>
        <w:t>Table</w:t>
      </w:r>
      <w:r w:rsidR="024ED056" w:rsidRPr="07195704">
        <w:rPr>
          <w:b/>
          <w:bCs/>
          <w:color w:val="auto"/>
        </w:rPr>
        <w:t xml:space="preserve"> </w:t>
      </w:r>
      <w:r w:rsidR="3C216D47" w:rsidRPr="07195704">
        <w:rPr>
          <w:b/>
          <w:bCs/>
          <w:color w:val="auto"/>
        </w:rPr>
        <w:t xml:space="preserve">3: </w:t>
      </w:r>
      <w:r w:rsidR="3601B1C7" w:rsidRPr="07195704">
        <w:rPr>
          <w:b/>
          <w:bCs/>
          <w:color w:val="auto"/>
        </w:rPr>
        <w:t xml:space="preserve">OPDC </w:t>
      </w:r>
      <w:r w:rsidR="5269A028" w:rsidRPr="07195704">
        <w:rPr>
          <w:b/>
          <w:bCs/>
          <w:color w:val="auto"/>
        </w:rPr>
        <w:t>C</w:t>
      </w:r>
      <w:r w:rsidR="7B5FCA8D" w:rsidRPr="07195704">
        <w:rPr>
          <w:b/>
          <w:bCs/>
          <w:color w:val="auto"/>
        </w:rPr>
        <w:t>apital</w:t>
      </w:r>
      <w:r w:rsidR="024ED056" w:rsidRPr="07195704">
        <w:rPr>
          <w:b/>
          <w:bCs/>
          <w:color w:val="auto"/>
        </w:rPr>
        <w:t xml:space="preserve"> plan</w:t>
      </w:r>
      <w:r w:rsidR="261BCCB4" w:rsidRPr="07195704">
        <w:rPr>
          <w:b/>
          <w:bCs/>
          <w:color w:val="auto"/>
        </w:rPr>
        <w:t xml:space="preserve"> </w:t>
      </w:r>
    </w:p>
    <w:p w14:paraId="01D9E264" w14:textId="572D089B" w:rsidR="47727E08" w:rsidRDefault="47727E08" w:rsidP="0F59A3A3">
      <w:pPr>
        <w:rPr>
          <w:rFonts w:ascii="Arial" w:eastAsia="Arial" w:hAnsi="Arial" w:cs="Arial"/>
          <w:color w:val="000000" w:themeColor="text1"/>
        </w:rPr>
      </w:pPr>
    </w:p>
    <w:tbl>
      <w:tblPr>
        <w:tblW w:w="9226" w:type="dxa"/>
        <w:tblInd w:w="7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22"/>
        <w:gridCol w:w="1190"/>
        <w:gridCol w:w="1203"/>
        <w:gridCol w:w="1203"/>
        <w:gridCol w:w="1191"/>
        <w:gridCol w:w="1214"/>
        <w:gridCol w:w="1203"/>
      </w:tblGrid>
      <w:tr w:rsidR="0F59A3A3" w14:paraId="452518FE" w14:textId="77777777" w:rsidTr="1FA2E292">
        <w:trPr>
          <w:trHeight w:val="260"/>
        </w:trPr>
        <w:tc>
          <w:tcPr>
            <w:tcW w:w="2022" w:type="dxa"/>
            <w:tcBorders>
              <w:top w:val="nil"/>
              <w:left w:val="nil"/>
              <w:bottom w:val="nil"/>
              <w:right w:val="nil"/>
            </w:tcBorders>
            <w:shd w:val="clear" w:color="auto" w:fill="FFFFFF" w:themeFill="background1"/>
            <w:tcMar>
              <w:top w:w="15" w:type="dxa"/>
              <w:left w:w="15" w:type="dxa"/>
              <w:right w:w="15" w:type="dxa"/>
            </w:tcMar>
            <w:vAlign w:val="bottom"/>
          </w:tcPr>
          <w:p w14:paraId="7C0D3B33" w14:textId="2CD9D0BB" w:rsidR="0F59A3A3" w:rsidRDefault="7623038B" w:rsidP="0F59A3A3">
            <w:pPr>
              <w:rPr>
                <w:rFonts w:ascii="Arial" w:eastAsia="Arial" w:hAnsi="Arial" w:cs="Arial"/>
                <w:sz w:val="20"/>
                <w:szCs w:val="20"/>
              </w:rPr>
            </w:pPr>
            <w:r w:rsidRPr="678D5708">
              <w:rPr>
                <w:rFonts w:ascii="Arial" w:eastAsia="Arial" w:hAnsi="Arial" w:cs="Arial"/>
                <w:b/>
                <w:bCs/>
                <w:sz w:val="20"/>
                <w:szCs w:val="20"/>
              </w:rPr>
              <w:t xml:space="preserve">OPDC - </w:t>
            </w:r>
            <w:r w:rsidR="3E20E47D" w:rsidRPr="678D5708">
              <w:rPr>
                <w:rFonts w:ascii="Arial" w:eastAsia="Arial" w:hAnsi="Arial" w:cs="Arial"/>
                <w:b/>
                <w:bCs/>
                <w:sz w:val="20"/>
                <w:szCs w:val="20"/>
              </w:rPr>
              <w:t>C</w:t>
            </w:r>
            <w:r w:rsidRPr="678D5708">
              <w:rPr>
                <w:rFonts w:ascii="Arial" w:eastAsia="Arial" w:hAnsi="Arial" w:cs="Arial"/>
                <w:b/>
                <w:bCs/>
                <w:sz w:val="20"/>
                <w:szCs w:val="20"/>
              </w:rPr>
              <w:t>apital spending plan</w:t>
            </w:r>
            <w:r w:rsidRPr="678D5708">
              <w:rPr>
                <w:rFonts w:ascii="Arial" w:eastAsia="Arial" w:hAnsi="Arial" w:cs="Arial"/>
                <w:sz w:val="20"/>
                <w:szCs w:val="20"/>
              </w:rPr>
              <w:t xml:space="preserve"> </w:t>
            </w:r>
          </w:p>
        </w:tc>
        <w:tc>
          <w:tcPr>
            <w:tcW w:w="1190" w:type="dxa"/>
            <w:tcBorders>
              <w:top w:val="nil"/>
              <w:left w:val="nil"/>
              <w:bottom w:val="nil"/>
              <w:right w:val="nil"/>
            </w:tcBorders>
            <w:shd w:val="clear" w:color="auto" w:fill="FFFFFF" w:themeFill="background1"/>
            <w:tcMar>
              <w:top w:w="15" w:type="dxa"/>
              <w:left w:w="15" w:type="dxa"/>
              <w:right w:w="15" w:type="dxa"/>
            </w:tcMar>
            <w:vAlign w:val="bottom"/>
          </w:tcPr>
          <w:p w14:paraId="3F4B53AD" w14:textId="03C76929" w:rsidR="0F59A3A3" w:rsidRDefault="0F59A3A3" w:rsidP="0F59A3A3">
            <w:pPr>
              <w:rPr>
                <w:rFonts w:ascii="Arial" w:eastAsia="Arial" w:hAnsi="Arial" w:cs="Arial"/>
              </w:rPr>
            </w:pPr>
          </w:p>
        </w:tc>
        <w:tc>
          <w:tcPr>
            <w:tcW w:w="1203" w:type="dxa"/>
            <w:tcBorders>
              <w:top w:val="nil"/>
              <w:left w:val="nil"/>
              <w:bottom w:val="nil"/>
              <w:right w:val="nil"/>
            </w:tcBorders>
            <w:shd w:val="clear" w:color="auto" w:fill="FFFFFF" w:themeFill="background1"/>
            <w:tcMar>
              <w:top w:w="15" w:type="dxa"/>
              <w:left w:w="15" w:type="dxa"/>
              <w:right w:w="15" w:type="dxa"/>
            </w:tcMar>
            <w:vAlign w:val="center"/>
          </w:tcPr>
          <w:p w14:paraId="289BD438" w14:textId="7293F40D"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Forecast Outturn</w:t>
            </w:r>
            <w:r w:rsidRPr="0F59A3A3">
              <w:rPr>
                <w:rFonts w:ascii="Arial" w:eastAsia="Arial" w:hAnsi="Arial" w:cs="Arial"/>
                <w:sz w:val="20"/>
                <w:szCs w:val="20"/>
              </w:rPr>
              <w:t xml:space="preserve">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3C23AC77" w14:textId="79881A18"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Budget</w:t>
            </w:r>
            <w:r w:rsidRPr="0F59A3A3">
              <w:rPr>
                <w:rFonts w:ascii="Arial" w:eastAsia="Arial" w:hAnsi="Arial" w:cs="Arial"/>
                <w:sz w:val="20"/>
                <w:szCs w:val="20"/>
              </w:rPr>
              <w:t xml:space="preserve"> </w:t>
            </w:r>
          </w:p>
        </w:tc>
        <w:tc>
          <w:tcPr>
            <w:tcW w:w="1191" w:type="dxa"/>
            <w:tcBorders>
              <w:top w:val="nil"/>
              <w:left w:val="nil"/>
              <w:bottom w:val="nil"/>
              <w:right w:val="nil"/>
            </w:tcBorders>
            <w:shd w:val="clear" w:color="auto" w:fill="FFFFFF" w:themeFill="background1"/>
            <w:tcMar>
              <w:top w:w="15" w:type="dxa"/>
              <w:left w:w="15" w:type="dxa"/>
              <w:right w:w="15" w:type="dxa"/>
            </w:tcMar>
            <w:vAlign w:val="center"/>
          </w:tcPr>
          <w:p w14:paraId="3EC23C6F" w14:textId="6D8D6651"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Plan</w:t>
            </w:r>
            <w:r w:rsidRPr="0F59A3A3">
              <w:rPr>
                <w:rFonts w:ascii="Arial" w:eastAsia="Arial" w:hAnsi="Arial" w:cs="Arial"/>
                <w:sz w:val="20"/>
                <w:szCs w:val="20"/>
              </w:rPr>
              <w:t xml:space="preserve"> </w:t>
            </w:r>
          </w:p>
        </w:tc>
        <w:tc>
          <w:tcPr>
            <w:tcW w:w="1214" w:type="dxa"/>
            <w:tcBorders>
              <w:top w:val="nil"/>
              <w:left w:val="nil"/>
              <w:bottom w:val="nil"/>
              <w:right w:val="nil"/>
            </w:tcBorders>
            <w:shd w:val="clear" w:color="auto" w:fill="FFFFFF" w:themeFill="background1"/>
            <w:tcMar>
              <w:top w:w="15" w:type="dxa"/>
              <w:left w:w="15" w:type="dxa"/>
              <w:right w:w="15" w:type="dxa"/>
            </w:tcMar>
            <w:vAlign w:val="center"/>
          </w:tcPr>
          <w:p w14:paraId="2239D47A" w14:textId="48916A67"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Plan</w:t>
            </w:r>
            <w:r w:rsidRPr="0F59A3A3">
              <w:rPr>
                <w:rFonts w:ascii="Arial" w:eastAsia="Arial" w:hAnsi="Arial" w:cs="Arial"/>
                <w:sz w:val="20"/>
                <w:szCs w:val="20"/>
              </w:rPr>
              <w:t xml:space="preserve"> </w:t>
            </w:r>
          </w:p>
        </w:tc>
        <w:tc>
          <w:tcPr>
            <w:tcW w:w="1203" w:type="dxa"/>
            <w:tcBorders>
              <w:top w:val="nil"/>
              <w:left w:val="nil"/>
              <w:bottom w:val="nil"/>
              <w:right w:val="nil"/>
            </w:tcBorders>
            <w:shd w:val="clear" w:color="auto" w:fill="FFFFFF" w:themeFill="background1"/>
            <w:tcMar>
              <w:top w:w="15" w:type="dxa"/>
              <w:left w:w="15" w:type="dxa"/>
              <w:right w:w="15" w:type="dxa"/>
            </w:tcMar>
            <w:vAlign w:val="center"/>
          </w:tcPr>
          <w:p w14:paraId="589A59EE" w14:textId="48916A67" w:rsidR="07195704" w:rsidRDefault="07195704" w:rsidP="07195704">
            <w:pPr>
              <w:jc w:val="center"/>
              <w:rPr>
                <w:rFonts w:ascii="Arial" w:eastAsia="Arial" w:hAnsi="Arial" w:cs="Arial"/>
                <w:sz w:val="20"/>
                <w:szCs w:val="20"/>
              </w:rPr>
            </w:pPr>
            <w:r w:rsidRPr="07195704">
              <w:rPr>
                <w:rFonts w:ascii="Arial" w:eastAsia="Arial" w:hAnsi="Arial" w:cs="Arial"/>
                <w:b/>
                <w:bCs/>
                <w:sz w:val="20"/>
                <w:szCs w:val="20"/>
              </w:rPr>
              <w:t>Plan</w:t>
            </w:r>
            <w:r w:rsidRPr="07195704">
              <w:rPr>
                <w:rFonts w:ascii="Arial" w:eastAsia="Arial" w:hAnsi="Arial" w:cs="Arial"/>
                <w:sz w:val="20"/>
                <w:szCs w:val="20"/>
              </w:rPr>
              <w:t xml:space="preserve"> </w:t>
            </w:r>
          </w:p>
        </w:tc>
      </w:tr>
      <w:tr w:rsidR="0F59A3A3" w14:paraId="0D65513F" w14:textId="77777777" w:rsidTr="1FA2E292">
        <w:trPr>
          <w:trHeight w:val="260"/>
        </w:trPr>
        <w:tc>
          <w:tcPr>
            <w:tcW w:w="2022" w:type="dxa"/>
            <w:tcBorders>
              <w:top w:val="nil"/>
              <w:left w:val="nil"/>
              <w:bottom w:val="nil"/>
              <w:right w:val="nil"/>
            </w:tcBorders>
            <w:shd w:val="clear" w:color="auto" w:fill="FFFFFF" w:themeFill="background1"/>
            <w:tcMar>
              <w:top w:w="15" w:type="dxa"/>
              <w:left w:w="15" w:type="dxa"/>
              <w:right w:w="15" w:type="dxa"/>
            </w:tcMar>
            <w:vAlign w:val="bottom"/>
          </w:tcPr>
          <w:p w14:paraId="06623D66" w14:textId="77FB90BF" w:rsidR="0F59A3A3" w:rsidRDefault="0F59A3A3" w:rsidP="0F59A3A3">
            <w:pPr>
              <w:rPr>
                <w:rFonts w:ascii="Arial" w:eastAsia="Arial" w:hAnsi="Arial" w:cs="Arial"/>
                <w:sz w:val="20"/>
                <w:szCs w:val="20"/>
              </w:rPr>
            </w:pPr>
            <w:r w:rsidRPr="0F59A3A3">
              <w:rPr>
                <w:rFonts w:ascii="Arial" w:eastAsia="Arial" w:hAnsi="Arial" w:cs="Arial"/>
                <w:b/>
                <w:bCs/>
                <w:sz w:val="20"/>
                <w:szCs w:val="20"/>
              </w:rPr>
              <w:t xml:space="preserve"> </w:t>
            </w:r>
          </w:p>
        </w:tc>
        <w:tc>
          <w:tcPr>
            <w:tcW w:w="1190" w:type="dxa"/>
            <w:tcBorders>
              <w:top w:val="nil"/>
              <w:left w:val="nil"/>
              <w:bottom w:val="nil"/>
              <w:right w:val="nil"/>
            </w:tcBorders>
            <w:shd w:val="clear" w:color="auto" w:fill="FFFFFF" w:themeFill="background1"/>
            <w:tcMar>
              <w:top w:w="15" w:type="dxa"/>
              <w:left w:w="15" w:type="dxa"/>
              <w:right w:w="15" w:type="dxa"/>
            </w:tcMar>
            <w:vAlign w:val="bottom"/>
          </w:tcPr>
          <w:p w14:paraId="4D85F77E" w14:textId="5A4AC71D" w:rsidR="0F59A3A3" w:rsidRDefault="0F59A3A3" w:rsidP="0F59A3A3">
            <w:pPr>
              <w:rPr>
                <w:rFonts w:ascii="Arial" w:eastAsia="Arial" w:hAnsi="Arial" w:cs="Arial"/>
              </w:rPr>
            </w:pPr>
          </w:p>
        </w:tc>
        <w:tc>
          <w:tcPr>
            <w:tcW w:w="1203" w:type="dxa"/>
            <w:tcBorders>
              <w:top w:val="nil"/>
              <w:left w:val="nil"/>
              <w:bottom w:val="nil"/>
              <w:right w:val="nil"/>
            </w:tcBorders>
            <w:shd w:val="clear" w:color="auto" w:fill="FFFFFF" w:themeFill="background1"/>
            <w:tcMar>
              <w:top w:w="15" w:type="dxa"/>
              <w:left w:w="15" w:type="dxa"/>
              <w:right w:w="15" w:type="dxa"/>
            </w:tcMar>
            <w:vAlign w:val="center"/>
          </w:tcPr>
          <w:p w14:paraId="4CF960C4" w14:textId="7F7854AC"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2024-25</w:t>
            </w:r>
            <w:r w:rsidRPr="0F59A3A3">
              <w:rPr>
                <w:rFonts w:ascii="Arial" w:eastAsia="Arial" w:hAnsi="Arial" w:cs="Arial"/>
                <w:sz w:val="20"/>
                <w:szCs w:val="20"/>
              </w:rPr>
              <w:t xml:space="preserve">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2E50D20A" w14:textId="0E4C1C3F"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2025-26</w:t>
            </w:r>
            <w:r w:rsidRPr="0F59A3A3">
              <w:rPr>
                <w:rFonts w:ascii="Arial" w:eastAsia="Arial" w:hAnsi="Arial" w:cs="Arial"/>
                <w:sz w:val="20"/>
                <w:szCs w:val="20"/>
              </w:rPr>
              <w:t xml:space="preserve"> </w:t>
            </w:r>
          </w:p>
        </w:tc>
        <w:tc>
          <w:tcPr>
            <w:tcW w:w="1191" w:type="dxa"/>
            <w:tcBorders>
              <w:top w:val="nil"/>
              <w:left w:val="nil"/>
              <w:bottom w:val="nil"/>
              <w:right w:val="nil"/>
            </w:tcBorders>
            <w:shd w:val="clear" w:color="auto" w:fill="FFFFFF" w:themeFill="background1"/>
            <w:tcMar>
              <w:top w:w="15" w:type="dxa"/>
              <w:left w:w="15" w:type="dxa"/>
              <w:right w:w="15" w:type="dxa"/>
            </w:tcMar>
            <w:vAlign w:val="center"/>
          </w:tcPr>
          <w:p w14:paraId="728DDC1D" w14:textId="484538A6"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2026-27</w:t>
            </w:r>
            <w:r w:rsidRPr="0F59A3A3">
              <w:rPr>
                <w:rFonts w:ascii="Arial" w:eastAsia="Arial" w:hAnsi="Arial" w:cs="Arial"/>
                <w:sz w:val="20"/>
                <w:szCs w:val="20"/>
              </w:rPr>
              <w:t xml:space="preserve"> </w:t>
            </w:r>
          </w:p>
        </w:tc>
        <w:tc>
          <w:tcPr>
            <w:tcW w:w="1214" w:type="dxa"/>
            <w:tcBorders>
              <w:top w:val="nil"/>
              <w:left w:val="nil"/>
              <w:bottom w:val="nil"/>
              <w:right w:val="nil"/>
            </w:tcBorders>
            <w:shd w:val="clear" w:color="auto" w:fill="FFFFFF" w:themeFill="background1"/>
            <w:tcMar>
              <w:top w:w="15" w:type="dxa"/>
              <w:left w:w="15" w:type="dxa"/>
              <w:right w:w="15" w:type="dxa"/>
            </w:tcMar>
            <w:vAlign w:val="center"/>
          </w:tcPr>
          <w:p w14:paraId="5BA50AB5" w14:textId="107E7C5D"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2027-28</w:t>
            </w:r>
            <w:r w:rsidRPr="0F59A3A3">
              <w:rPr>
                <w:rFonts w:ascii="Arial" w:eastAsia="Arial" w:hAnsi="Arial" w:cs="Arial"/>
                <w:sz w:val="20"/>
                <w:szCs w:val="20"/>
              </w:rPr>
              <w:t xml:space="preserve"> </w:t>
            </w:r>
          </w:p>
        </w:tc>
        <w:tc>
          <w:tcPr>
            <w:tcW w:w="1203" w:type="dxa"/>
            <w:tcBorders>
              <w:top w:val="nil"/>
              <w:left w:val="nil"/>
              <w:bottom w:val="nil"/>
              <w:right w:val="nil"/>
            </w:tcBorders>
            <w:shd w:val="clear" w:color="auto" w:fill="FFFFFF" w:themeFill="background1"/>
            <w:tcMar>
              <w:top w:w="15" w:type="dxa"/>
              <w:left w:w="15" w:type="dxa"/>
              <w:right w:w="15" w:type="dxa"/>
            </w:tcMar>
            <w:vAlign w:val="center"/>
          </w:tcPr>
          <w:p w14:paraId="03BE46BC" w14:textId="6969CC55" w:rsidR="07195704" w:rsidRDefault="07195704" w:rsidP="07195704">
            <w:pPr>
              <w:jc w:val="center"/>
              <w:rPr>
                <w:rFonts w:ascii="Arial" w:eastAsia="Arial" w:hAnsi="Arial" w:cs="Arial"/>
                <w:sz w:val="20"/>
                <w:szCs w:val="20"/>
              </w:rPr>
            </w:pPr>
            <w:r w:rsidRPr="07195704">
              <w:rPr>
                <w:rFonts w:ascii="Arial" w:eastAsia="Arial" w:hAnsi="Arial" w:cs="Arial"/>
                <w:b/>
                <w:bCs/>
                <w:sz w:val="20"/>
                <w:szCs w:val="20"/>
              </w:rPr>
              <w:t>202</w:t>
            </w:r>
            <w:r w:rsidR="4F4CFEC6" w:rsidRPr="07195704">
              <w:rPr>
                <w:rFonts w:ascii="Arial" w:eastAsia="Arial" w:hAnsi="Arial" w:cs="Arial"/>
                <w:b/>
                <w:bCs/>
                <w:sz w:val="20"/>
                <w:szCs w:val="20"/>
              </w:rPr>
              <w:t>8</w:t>
            </w:r>
            <w:r w:rsidRPr="07195704">
              <w:rPr>
                <w:rFonts w:ascii="Arial" w:eastAsia="Arial" w:hAnsi="Arial" w:cs="Arial"/>
                <w:b/>
                <w:bCs/>
                <w:sz w:val="20"/>
                <w:szCs w:val="20"/>
              </w:rPr>
              <w:t>-2</w:t>
            </w:r>
            <w:r w:rsidR="21A56E6D" w:rsidRPr="07195704">
              <w:rPr>
                <w:rFonts w:ascii="Arial" w:eastAsia="Arial" w:hAnsi="Arial" w:cs="Arial"/>
                <w:b/>
                <w:bCs/>
                <w:sz w:val="20"/>
                <w:szCs w:val="20"/>
              </w:rPr>
              <w:t>9</w:t>
            </w:r>
            <w:r w:rsidRPr="07195704">
              <w:rPr>
                <w:rFonts w:ascii="Arial" w:eastAsia="Arial" w:hAnsi="Arial" w:cs="Arial"/>
                <w:sz w:val="20"/>
                <w:szCs w:val="20"/>
              </w:rPr>
              <w:t xml:space="preserve"> </w:t>
            </w:r>
          </w:p>
        </w:tc>
      </w:tr>
      <w:tr w:rsidR="0F59A3A3" w14:paraId="3F1C45EF" w14:textId="77777777" w:rsidTr="1FA2E292">
        <w:trPr>
          <w:trHeight w:val="260"/>
        </w:trPr>
        <w:tc>
          <w:tcPr>
            <w:tcW w:w="2022" w:type="dxa"/>
            <w:tcBorders>
              <w:top w:val="nil"/>
              <w:left w:val="nil"/>
              <w:bottom w:val="single" w:sz="6" w:space="0" w:color="A5A6A5"/>
              <w:right w:val="nil"/>
            </w:tcBorders>
            <w:shd w:val="clear" w:color="auto" w:fill="FFFFFF" w:themeFill="background1"/>
            <w:tcMar>
              <w:top w:w="15" w:type="dxa"/>
              <w:left w:w="15" w:type="dxa"/>
              <w:right w:w="15" w:type="dxa"/>
            </w:tcMar>
            <w:vAlign w:val="bottom"/>
          </w:tcPr>
          <w:p w14:paraId="5163A963" w14:textId="197BC438" w:rsidR="0F59A3A3" w:rsidRDefault="0F59A3A3" w:rsidP="0F59A3A3">
            <w:pPr>
              <w:rPr>
                <w:rFonts w:ascii="Arial" w:eastAsia="Arial" w:hAnsi="Arial" w:cs="Arial"/>
                <w:sz w:val="20"/>
                <w:szCs w:val="20"/>
              </w:rPr>
            </w:pPr>
            <w:r w:rsidRPr="0F59A3A3">
              <w:rPr>
                <w:rFonts w:ascii="Arial" w:eastAsia="Arial" w:hAnsi="Arial" w:cs="Arial"/>
                <w:b/>
                <w:bCs/>
                <w:sz w:val="20"/>
                <w:szCs w:val="20"/>
              </w:rPr>
              <w:t xml:space="preserve"> </w:t>
            </w:r>
          </w:p>
        </w:tc>
        <w:tc>
          <w:tcPr>
            <w:tcW w:w="1190" w:type="dxa"/>
            <w:tcBorders>
              <w:top w:val="nil"/>
              <w:left w:val="nil"/>
              <w:bottom w:val="single" w:sz="6" w:space="0" w:color="A5A6A5"/>
              <w:right w:val="nil"/>
            </w:tcBorders>
            <w:shd w:val="clear" w:color="auto" w:fill="FFFFFF" w:themeFill="background1"/>
            <w:tcMar>
              <w:top w:w="15" w:type="dxa"/>
              <w:left w:w="15" w:type="dxa"/>
              <w:right w:w="15" w:type="dxa"/>
            </w:tcMar>
            <w:vAlign w:val="bottom"/>
          </w:tcPr>
          <w:p w14:paraId="52C28CE0" w14:textId="12E2368D" w:rsidR="0F59A3A3" w:rsidRDefault="0F59A3A3" w:rsidP="0F59A3A3">
            <w:pPr>
              <w:rPr>
                <w:rFonts w:ascii="Arial" w:eastAsia="Arial" w:hAnsi="Arial" w:cs="Arial"/>
              </w:rPr>
            </w:pPr>
          </w:p>
        </w:tc>
        <w:tc>
          <w:tcPr>
            <w:tcW w:w="1203" w:type="dxa"/>
            <w:tcBorders>
              <w:top w:val="nil"/>
              <w:left w:val="nil"/>
              <w:bottom w:val="single" w:sz="6" w:space="0" w:color="A5A6A5"/>
              <w:right w:val="nil"/>
            </w:tcBorders>
            <w:shd w:val="clear" w:color="auto" w:fill="FFFFFF" w:themeFill="background1"/>
            <w:tcMar>
              <w:top w:w="15" w:type="dxa"/>
              <w:left w:w="15" w:type="dxa"/>
              <w:right w:w="15" w:type="dxa"/>
            </w:tcMar>
            <w:vAlign w:val="center"/>
          </w:tcPr>
          <w:p w14:paraId="684E326A" w14:textId="49509405"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£m</w:t>
            </w:r>
            <w:r w:rsidRPr="0F59A3A3">
              <w:rPr>
                <w:rFonts w:ascii="Arial" w:eastAsia="Arial" w:hAnsi="Arial" w:cs="Arial"/>
                <w:sz w:val="20"/>
                <w:szCs w:val="20"/>
              </w:rPr>
              <w:t xml:space="preserve"> </w:t>
            </w:r>
          </w:p>
        </w:tc>
        <w:tc>
          <w:tcPr>
            <w:tcW w:w="1203" w:type="dxa"/>
            <w:tcBorders>
              <w:top w:val="nil"/>
              <w:left w:val="nil"/>
              <w:bottom w:val="single" w:sz="6" w:space="0" w:color="A5A6A5"/>
              <w:right w:val="nil"/>
            </w:tcBorders>
            <w:shd w:val="clear" w:color="auto" w:fill="D9D9D9" w:themeFill="background1" w:themeFillShade="D9"/>
            <w:tcMar>
              <w:top w:w="15" w:type="dxa"/>
              <w:left w:w="15" w:type="dxa"/>
              <w:right w:w="15" w:type="dxa"/>
            </w:tcMar>
            <w:vAlign w:val="center"/>
          </w:tcPr>
          <w:p w14:paraId="19EE05A9" w14:textId="170937D0"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£m</w:t>
            </w:r>
            <w:r w:rsidRPr="0F59A3A3">
              <w:rPr>
                <w:rFonts w:ascii="Arial" w:eastAsia="Arial" w:hAnsi="Arial" w:cs="Arial"/>
                <w:sz w:val="20"/>
                <w:szCs w:val="20"/>
              </w:rPr>
              <w:t xml:space="preserve"> </w:t>
            </w:r>
          </w:p>
        </w:tc>
        <w:tc>
          <w:tcPr>
            <w:tcW w:w="1191" w:type="dxa"/>
            <w:tcBorders>
              <w:top w:val="nil"/>
              <w:left w:val="nil"/>
              <w:bottom w:val="single" w:sz="6" w:space="0" w:color="A5A6A5"/>
              <w:right w:val="nil"/>
            </w:tcBorders>
            <w:shd w:val="clear" w:color="auto" w:fill="FFFFFF" w:themeFill="background1"/>
            <w:tcMar>
              <w:top w:w="15" w:type="dxa"/>
              <w:left w:w="15" w:type="dxa"/>
              <w:right w:w="15" w:type="dxa"/>
            </w:tcMar>
            <w:vAlign w:val="center"/>
          </w:tcPr>
          <w:p w14:paraId="655F678A" w14:textId="65076489"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£m</w:t>
            </w:r>
            <w:r w:rsidRPr="0F59A3A3">
              <w:rPr>
                <w:rFonts w:ascii="Arial" w:eastAsia="Arial" w:hAnsi="Arial" w:cs="Arial"/>
                <w:sz w:val="20"/>
                <w:szCs w:val="20"/>
              </w:rPr>
              <w:t xml:space="preserve"> </w:t>
            </w:r>
          </w:p>
        </w:tc>
        <w:tc>
          <w:tcPr>
            <w:tcW w:w="1214" w:type="dxa"/>
            <w:tcBorders>
              <w:top w:val="nil"/>
              <w:left w:val="nil"/>
              <w:bottom w:val="single" w:sz="6" w:space="0" w:color="A5A6A5"/>
              <w:right w:val="nil"/>
            </w:tcBorders>
            <w:shd w:val="clear" w:color="auto" w:fill="FFFFFF" w:themeFill="background1"/>
            <w:tcMar>
              <w:top w:w="15" w:type="dxa"/>
              <w:left w:w="15" w:type="dxa"/>
              <w:right w:w="15" w:type="dxa"/>
            </w:tcMar>
            <w:vAlign w:val="center"/>
          </w:tcPr>
          <w:p w14:paraId="24C60DC9" w14:textId="7A74FD9A"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£m</w:t>
            </w:r>
            <w:r w:rsidRPr="0F59A3A3">
              <w:rPr>
                <w:rFonts w:ascii="Arial" w:eastAsia="Arial" w:hAnsi="Arial" w:cs="Arial"/>
                <w:sz w:val="20"/>
                <w:szCs w:val="20"/>
              </w:rPr>
              <w:t xml:space="preserve"> </w:t>
            </w:r>
          </w:p>
        </w:tc>
        <w:tc>
          <w:tcPr>
            <w:tcW w:w="1203" w:type="dxa"/>
            <w:tcBorders>
              <w:top w:val="nil"/>
              <w:left w:val="nil"/>
              <w:bottom w:val="single" w:sz="6" w:space="0" w:color="A5A6A5"/>
              <w:right w:val="nil"/>
            </w:tcBorders>
            <w:shd w:val="clear" w:color="auto" w:fill="FFFFFF" w:themeFill="background1"/>
            <w:tcMar>
              <w:top w:w="15" w:type="dxa"/>
              <w:left w:w="15" w:type="dxa"/>
              <w:right w:w="15" w:type="dxa"/>
            </w:tcMar>
            <w:vAlign w:val="center"/>
          </w:tcPr>
          <w:p w14:paraId="0CDFCEE0" w14:textId="7A74FD9A" w:rsidR="07195704" w:rsidRDefault="07195704" w:rsidP="07195704">
            <w:pPr>
              <w:jc w:val="center"/>
              <w:rPr>
                <w:rFonts w:ascii="Arial" w:eastAsia="Arial" w:hAnsi="Arial" w:cs="Arial"/>
                <w:sz w:val="20"/>
                <w:szCs w:val="20"/>
              </w:rPr>
            </w:pPr>
            <w:r w:rsidRPr="07195704">
              <w:rPr>
                <w:rFonts w:ascii="Arial" w:eastAsia="Arial" w:hAnsi="Arial" w:cs="Arial"/>
                <w:b/>
                <w:bCs/>
                <w:sz w:val="20"/>
                <w:szCs w:val="20"/>
              </w:rPr>
              <w:t>£m</w:t>
            </w:r>
            <w:r w:rsidRPr="07195704">
              <w:rPr>
                <w:rFonts w:ascii="Arial" w:eastAsia="Arial" w:hAnsi="Arial" w:cs="Arial"/>
                <w:sz w:val="20"/>
                <w:szCs w:val="20"/>
              </w:rPr>
              <w:t xml:space="preserve"> </w:t>
            </w:r>
          </w:p>
        </w:tc>
      </w:tr>
      <w:tr w:rsidR="0F59A3A3" w14:paraId="000E45CF"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575B2A3F" w14:textId="1076E27F" w:rsidR="0F59A3A3" w:rsidRDefault="0F59A3A3" w:rsidP="0F59A3A3">
            <w:pPr>
              <w:rPr>
                <w:rFonts w:ascii="Arial" w:eastAsia="Arial" w:hAnsi="Arial" w:cs="Arial"/>
                <w:sz w:val="20"/>
                <w:szCs w:val="20"/>
              </w:rPr>
            </w:pPr>
            <w:r w:rsidRPr="0F59A3A3">
              <w:rPr>
                <w:rFonts w:ascii="Arial" w:eastAsia="Arial" w:hAnsi="Arial" w:cs="Arial"/>
                <w:sz w:val="20"/>
                <w:szCs w:val="20"/>
              </w:rPr>
              <w:t xml:space="preserve">Land Assembly  </w:t>
            </w:r>
          </w:p>
        </w:tc>
        <w:tc>
          <w:tcPr>
            <w:tcW w:w="1190" w:type="dxa"/>
            <w:tcBorders>
              <w:top w:val="nil"/>
              <w:left w:val="nil"/>
              <w:bottom w:val="nil"/>
              <w:right w:val="nil"/>
            </w:tcBorders>
            <w:tcMar>
              <w:top w:w="15" w:type="dxa"/>
              <w:left w:w="15" w:type="dxa"/>
              <w:right w:w="15" w:type="dxa"/>
            </w:tcMar>
            <w:vAlign w:val="bottom"/>
          </w:tcPr>
          <w:p w14:paraId="0C878820" w14:textId="2C1A7578" w:rsidR="0F59A3A3" w:rsidRDefault="0F59A3A3" w:rsidP="0F59A3A3">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6E9C796B" w14:textId="139CC317"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76.3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72613361" w14:textId="097B15CE"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95.9 </w:t>
            </w:r>
          </w:p>
        </w:tc>
        <w:tc>
          <w:tcPr>
            <w:tcW w:w="1191" w:type="dxa"/>
            <w:tcBorders>
              <w:top w:val="nil"/>
              <w:left w:val="nil"/>
              <w:bottom w:val="nil"/>
              <w:right w:val="nil"/>
            </w:tcBorders>
            <w:tcMar>
              <w:top w:w="15" w:type="dxa"/>
              <w:left w:w="15" w:type="dxa"/>
              <w:right w:w="15" w:type="dxa"/>
            </w:tcMar>
            <w:vAlign w:val="center"/>
          </w:tcPr>
          <w:p w14:paraId="2C8C5800" w14:textId="569898F4"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22.4 </w:t>
            </w:r>
          </w:p>
        </w:tc>
        <w:tc>
          <w:tcPr>
            <w:tcW w:w="1214" w:type="dxa"/>
            <w:tcBorders>
              <w:top w:val="nil"/>
              <w:left w:val="nil"/>
              <w:bottom w:val="nil"/>
              <w:right w:val="nil"/>
            </w:tcBorders>
            <w:tcMar>
              <w:top w:w="15" w:type="dxa"/>
              <w:left w:w="15" w:type="dxa"/>
              <w:right w:w="15" w:type="dxa"/>
            </w:tcMar>
            <w:vAlign w:val="center"/>
          </w:tcPr>
          <w:p w14:paraId="3626981F" w14:textId="7B145DF2"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10.0 </w:t>
            </w:r>
          </w:p>
        </w:tc>
        <w:tc>
          <w:tcPr>
            <w:tcW w:w="1203" w:type="dxa"/>
            <w:tcBorders>
              <w:top w:val="nil"/>
              <w:left w:val="nil"/>
              <w:bottom w:val="nil"/>
              <w:right w:val="nil"/>
            </w:tcBorders>
            <w:tcMar>
              <w:top w:w="15" w:type="dxa"/>
              <w:left w:w="15" w:type="dxa"/>
              <w:right w:w="15" w:type="dxa"/>
            </w:tcMar>
            <w:vAlign w:val="center"/>
          </w:tcPr>
          <w:p w14:paraId="058383C3" w14:textId="696EA36E"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w:t>
            </w:r>
            <w:r w:rsidR="4833297D" w:rsidRPr="07195704">
              <w:rPr>
                <w:rFonts w:ascii="Arial" w:eastAsia="Arial" w:hAnsi="Arial" w:cs="Arial"/>
                <w:sz w:val="20"/>
                <w:szCs w:val="20"/>
              </w:rPr>
              <w:t>-</w:t>
            </w:r>
          </w:p>
        </w:tc>
      </w:tr>
      <w:tr w:rsidR="07195704" w14:paraId="5FF4264C"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6C031D3E" w14:textId="59B605F2" w:rsidR="4833297D" w:rsidRDefault="4833297D" w:rsidP="07195704">
            <w:pPr>
              <w:rPr>
                <w:rFonts w:ascii="Arial" w:eastAsia="Arial" w:hAnsi="Arial" w:cs="Arial"/>
                <w:sz w:val="20"/>
                <w:szCs w:val="20"/>
              </w:rPr>
            </w:pPr>
            <w:r w:rsidRPr="07195704">
              <w:rPr>
                <w:rFonts w:ascii="Arial" w:eastAsia="Arial" w:hAnsi="Arial" w:cs="Arial"/>
                <w:sz w:val="20"/>
                <w:szCs w:val="20"/>
              </w:rPr>
              <w:t>Infrastructure</w:t>
            </w:r>
          </w:p>
        </w:tc>
        <w:tc>
          <w:tcPr>
            <w:tcW w:w="1190" w:type="dxa"/>
            <w:tcBorders>
              <w:top w:val="nil"/>
              <w:left w:val="nil"/>
              <w:bottom w:val="nil"/>
              <w:right w:val="nil"/>
            </w:tcBorders>
            <w:tcMar>
              <w:top w:w="15" w:type="dxa"/>
              <w:left w:w="15" w:type="dxa"/>
              <w:right w:w="15" w:type="dxa"/>
            </w:tcMar>
            <w:vAlign w:val="bottom"/>
          </w:tcPr>
          <w:p w14:paraId="48C4162A" w14:textId="7AD24A43" w:rsidR="07195704" w:rsidRDefault="07195704" w:rsidP="07195704">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47F2A2EA" w14:textId="2E071564" w:rsidR="4833297D" w:rsidRDefault="4833297D" w:rsidP="07195704">
            <w:pPr>
              <w:jc w:val="center"/>
              <w:rPr>
                <w:rFonts w:ascii="Arial" w:eastAsia="Arial" w:hAnsi="Arial" w:cs="Arial"/>
                <w:sz w:val="20"/>
                <w:szCs w:val="20"/>
              </w:rPr>
            </w:pPr>
            <w:r w:rsidRPr="07195704">
              <w:rPr>
                <w:rFonts w:ascii="Arial" w:eastAsia="Arial" w:hAnsi="Arial" w:cs="Arial"/>
                <w:sz w:val="20"/>
                <w:szCs w:val="20"/>
              </w:rPr>
              <w:t>-</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594E37F2" w14:textId="5A3530AF" w:rsidR="4833297D" w:rsidRDefault="4833297D" w:rsidP="07195704">
            <w:pPr>
              <w:jc w:val="center"/>
              <w:rPr>
                <w:rFonts w:ascii="Arial" w:eastAsia="Arial" w:hAnsi="Arial" w:cs="Arial"/>
                <w:sz w:val="20"/>
                <w:szCs w:val="20"/>
              </w:rPr>
            </w:pPr>
            <w:r w:rsidRPr="07195704">
              <w:rPr>
                <w:rFonts w:ascii="Arial" w:eastAsia="Arial" w:hAnsi="Arial" w:cs="Arial"/>
                <w:sz w:val="20"/>
                <w:szCs w:val="20"/>
              </w:rPr>
              <w:t>-</w:t>
            </w:r>
          </w:p>
        </w:tc>
        <w:tc>
          <w:tcPr>
            <w:tcW w:w="1191" w:type="dxa"/>
            <w:tcBorders>
              <w:top w:val="nil"/>
              <w:left w:val="nil"/>
              <w:bottom w:val="nil"/>
              <w:right w:val="nil"/>
            </w:tcBorders>
            <w:tcMar>
              <w:top w:w="15" w:type="dxa"/>
              <w:left w:w="15" w:type="dxa"/>
              <w:right w:w="15" w:type="dxa"/>
            </w:tcMar>
            <w:vAlign w:val="center"/>
          </w:tcPr>
          <w:p w14:paraId="2EBF61A2" w14:textId="6A8B1692" w:rsidR="4833297D" w:rsidRDefault="4833297D" w:rsidP="07195704">
            <w:pPr>
              <w:jc w:val="center"/>
              <w:rPr>
                <w:rFonts w:ascii="Arial" w:eastAsia="Arial" w:hAnsi="Arial" w:cs="Arial"/>
                <w:sz w:val="20"/>
                <w:szCs w:val="20"/>
              </w:rPr>
            </w:pPr>
            <w:r w:rsidRPr="07195704">
              <w:rPr>
                <w:rFonts w:ascii="Arial" w:eastAsia="Arial" w:hAnsi="Arial" w:cs="Arial"/>
                <w:sz w:val="20"/>
                <w:szCs w:val="20"/>
              </w:rPr>
              <w:t>-</w:t>
            </w:r>
          </w:p>
        </w:tc>
        <w:tc>
          <w:tcPr>
            <w:tcW w:w="1214" w:type="dxa"/>
            <w:tcBorders>
              <w:top w:val="nil"/>
              <w:left w:val="nil"/>
              <w:bottom w:val="nil"/>
              <w:right w:val="nil"/>
            </w:tcBorders>
            <w:tcMar>
              <w:top w:w="15" w:type="dxa"/>
              <w:left w:w="15" w:type="dxa"/>
              <w:right w:w="15" w:type="dxa"/>
            </w:tcMar>
            <w:vAlign w:val="center"/>
          </w:tcPr>
          <w:p w14:paraId="67464114" w14:textId="61A57E4E" w:rsidR="4833297D" w:rsidRDefault="4833297D" w:rsidP="07195704">
            <w:pPr>
              <w:jc w:val="center"/>
              <w:rPr>
                <w:rFonts w:ascii="Arial" w:eastAsia="Arial" w:hAnsi="Arial" w:cs="Arial"/>
                <w:sz w:val="20"/>
                <w:szCs w:val="20"/>
              </w:rPr>
            </w:pPr>
            <w:r w:rsidRPr="07195704">
              <w:rPr>
                <w:rFonts w:ascii="Arial" w:eastAsia="Arial" w:hAnsi="Arial" w:cs="Arial"/>
                <w:sz w:val="20"/>
                <w:szCs w:val="20"/>
              </w:rPr>
              <w:t>-</w:t>
            </w:r>
          </w:p>
        </w:tc>
        <w:tc>
          <w:tcPr>
            <w:tcW w:w="1203" w:type="dxa"/>
            <w:tcBorders>
              <w:top w:val="nil"/>
              <w:left w:val="nil"/>
              <w:bottom w:val="nil"/>
              <w:right w:val="nil"/>
            </w:tcBorders>
            <w:tcMar>
              <w:top w:w="15" w:type="dxa"/>
              <w:left w:w="15" w:type="dxa"/>
              <w:right w:w="15" w:type="dxa"/>
            </w:tcMar>
            <w:vAlign w:val="center"/>
          </w:tcPr>
          <w:p w14:paraId="6F580BDC" w14:textId="30012C52" w:rsidR="4833297D" w:rsidRDefault="4833297D" w:rsidP="07195704">
            <w:pPr>
              <w:jc w:val="center"/>
              <w:rPr>
                <w:rFonts w:ascii="Arial" w:eastAsia="Arial" w:hAnsi="Arial" w:cs="Arial"/>
                <w:sz w:val="20"/>
                <w:szCs w:val="20"/>
              </w:rPr>
            </w:pPr>
            <w:r w:rsidRPr="07195704">
              <w:rPr>
                <w:rFonts w:ascii="Arial" w:eastAsia="Arial" w:hAnsi="Arial" w:cs="Arial"/>
                <w:sz w:val="20"/>
                <w:szCs w:val="20"/>
              </w:rPr>
              <w:t>0.4</w:t>
            </w:r>
          </w:p>
        </w:tc>
      </w:tr>
      <w:tr w:rsidR="07195704" w14:paraId="362F63C8"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695E6786" w14:textId="48FE40FA" w:rsidR="07195704" w:rsidRDefault="07195704" w:rsidP="07195704">
            <w:pPr>
              <w:rPr>
                <w:rFonts w:ascii="Arial" w:eastAsia="Arial" w:hAnsi="Arial" w:cs="Arial"/>
                <w:sz w:val="20"/>
                <w:szCs w:val="20"/>
              </w:rPr>
            </w:pPr>
            <w:r w:rsidRPr="07195704">
              <w:rPr>
                <w:rFonts w:ascii="Arial" w:eastAsia="Arial" w:hAnsi="Arial" w:cs="Arial"/>
                <w:sz w:val="20"/>
                <w:szCs w:val="20"/>
              </w:rPr>
              <w:t xml:space="preserve">Heat Network </w:t>
            </w:r>
          </w:p>
        </w:tc>
        <w:tc>
          <w:tcPr>
            <w:tcW w:w="1190" w:type="dxa"/>
            <w:tcBorders>
              <w:top w:val="nil"/>
              <w:left w:val="nil"/>
              <w:bottom w:val="nil"/>
              <w:right w:val="nil"/>
            </w:tcBorders>
            <w:tcMar>
              <w:top w:w="15" w:type="dxa"/>
              <w:left w:w="15" w:type="dxa"/>
              <w:right w:w="15" w:type="dxa"/>
            </w:tcMar>
            <w:vAlign w:val="bottom"/>
          </w:tcPr>
          <w:p w14:paraId="44AF614F" w14:textId="20107275" w:rsidR="07195704" w:rsidRDefault="07195704" w:rsidP="07195704">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4C2BE9B7" w14:textId="1AA723E4"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2.4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54A28E67" w14:textId="58FC5BF8"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32.6 </w:t>
            </w:r>
          </w:p>
        </w:tc>
        <w:tc>
          <w:tcPr>
            <w:tcW w:w="1191" w:type="dxa"/>
            <w:tcBorders>
              <w:top w:val="nil"/>
              <w:left w:val="nil"/>
              <w:bottom w:val="nil"/>
              <w:right w:val="nil"/>
            </w:tcBorders>
            <w:tcMar>
              <w:top w:w="15" w:type="dxa"/>
              <w:left w:w="15" w:type="dxa"/>
              <w:right w:w="15" w:type="dxa"/>
            </w:tcMar>
            <w:vAlign w:val="center"/>
          </w:tcPr>
          <w:p w14:paraId="17A439E3" w14:textId="2C4E8BB9"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   </w:t>
            </w:r>
          </w:p>
        </w:tc>
        <w:tc>
          <w:tcPr>
            <w:tcW w:w="1214" w:type="dxa"/>
            <w:tcBorders>
              <w:top w:val="nil"/>
              <w:left w:val="nil"/>
              <w:bottom w:val="nil"/>
              <w:right w:val="nil"/>
            </w:tcBorders>
            <w:tcMar>
              <w:top w:w="15" w:type="dxa"/>
              <w:left w:w="15" w:type="dxa"/>
              <w:right w:w="15" w:type="dxa"/>
            </w:tcMar>
            <w:vAlign w:val="center"/>
          </w:tcPr>
          <w:p w14:paraId="11505F94" w14:textId="506A8D17"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   </w:t>
            </w:r>
          </w:p>
        </w:tc>
        <w:tc>
          <w:tcPr>
            <w:tcW w:w="1203" w:type="dxa"/>
            <w:tcBorders>
              <w:top w:val="nil"/>
              <w:left w:val="nil"/>
              <w:bottom w:val="nil"/>
              <w:right w:val="nil"/>
            </w:tcBorders>
            <w:tcMar>
              <w:top w:w="15" w:type="dxa"/>
              <w:left w:w="15" w:type="dxa"/>
              <w:right w:w="15" w:type="dxa"/>
            </w:tcMar>
            <w:vAlign w:val="center"/>
          </w:tcPr>
          <w:p w14:paraId="270DBBF2" w14:textId="506A8D17"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   </w:t>
            </w:r>
          </w:p>
        </w:tc>
      </w:tr>
      <w:tr w:rsidR="0F59A3A3" w14:paraId="20208CF1" w14:textId="77777777" w:rsidTr="1FA2E292">
        <w:trPr>
          <w:trHeight w:val="260"/>
        </w:trPr>
        <w:tc>
          <w:tcPr>
            <w:tcW w:w="2022"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bottom"/>
          </w:tcPr>
          <w:p w14:paraId="55131A8D" w14:textId="2CE7BB0F" w:rsidR="0F59A3A3" w:rsidRDefault="0F59A3A3" w:rsidP="0F59A3A3">
            <w:pPr>
              <w:rPr>
                <w:rFonts w:ascii="Arial" w:eastAsia="Arial" w:hAnsi="Arial" w:cs="Arial"/>
                <w:sz w:val="20"/>
                <w:szCs w:val="20"/>
              </w:rPr>
            </w:pPr>
            <w:r w:rsidRPr="0F59A3A3">
              <w:rPr>
                <w:rFonts w:ascii="Arial" w:eastAsia="Arial" w:hAnsi="Arial" w:cs="Arial"/>
                <w:b/>
                <w:bCs/>
                <w:sz w:val="20"/>
                <w:szCs w:val="20"/>
              </w:rPr>
              <w:t>Total expenditure</w:t>
            </w:r>
            <w:r w:rsidRPr="0F59A3A3">
              <w:rPr>
                <w:rFonts w:ascii="Arial" w:eastAsia="Arial" w:hAnsi="Arial" w:cs="Arial"/>
                <w:sz w:val="20"/>
                <w:szCs w:val="20"/>
              </w:rPr>
              <w:t xml:space="preserve"> </w:t>
            </w:r>
          </w:p>
        </w:tc>
        <w:tc>
          <w:tcPr>
            <w:tcW w:w="1190"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bottom"/>
          </w:tcPr>
          <w:p w14:paraId="52722BB6" w14:textId="4D7863C0" w:rsidR="0F59A3A3" w:rsidRDefault="0F59A3A3" w:rsidP="0F59A3A3">
            <w:pPr>
              <w:rPr>
                <w:rFonts w:ascii="Arial" w:eastAsia="Arial" w:hAnsi="Arial" w:cs="Arial"/>
              </w:rPr>
            </w:pPr>
          </w:p>
        </w:tc>
        <w:tc>
          <w:tcPr>
            <w:tcW w:w="1203"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27DA9DB5" w14:textId="3DB16037"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 xml:space="preserve">78.7 </w:t>
            </w:r>
          </w:p>
        </w:tc>
        <w:tc>
          <w:tcPr>
            <w:tcW w:w="1203" w:type="dxa"/>
            <w:tcBorders>
              <w:top w:val="single" w:sz="6" w:space="0" w:color="A5A6A5"/>
              <w:left w:val="nil"/>
              <w:bottom w:val="single" w:sz="6" w:space="0" w:color="A5A6A5"/>
              <w:right w:val="nil"/>
            </w:tcBorders>
            <w:shd w:val="clear" w:color="auto" w:fill="D9D9D9" w:themeFill="background1" w:themeFillShade="D9"/>
            <w:tcMar>
              <w:top w:w="15" w:type="dxa"/>
              <w:left w:w="15" w:type="dxa"/>
              <w:right w:w="15" w:type="dxa"/>
            </w:tcMar>
            <w:vAlign w:val="center"/>
          </w:tcPr>
          <w:p w14:paraId="1D2B8D33" w14:textId="655C13F6"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 xml:space="preserve"> 128.5 </w:t>
            </w:r>
          </w:p>
        </w:tc>
        <w:tc>
          <w:tcPr>
            <w:tcW w:w="1191"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4440B724" w14:textId="58C872F4"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 xml:space="preserve"> 22.4 </w:t>
            </w:r>
          </w:p>
        </w:tc>
        <w:tc>
          <w:tcPr>
            <w:tcW w:w="1214"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58A6A895" w14:textId="7B7B5FC4"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 xml:space="preserve"> 10.0 </w:t>
            </w:r>
          </w:p>
        </w:tc>
        <w:tc>
          <w:tcPr>
            <w:tcW w:w="1203"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6D40297E" w14:textId="118B75F1" w:rsidR="07195704" w:rsidRDefault="07195704" w:rsidP="07195704">
            <w:pPr>
              <w:jc w:val="center"/>
              <w:rPr>
                <w:rFonts w:ascii="Arial" w:eastAsia="Arial" w:hAnsi="Arial" w:cs="Arial"/>
                <w:b/>
                <w:bCs/>
                <w:sz w:val="20"/>
                <w:szCs w:val="20"/>
              </w:rPr>
            </w:pPr>
            <w:r w:rsidRPr="07195704">
              <w:rPr>
                <w:rFonts w:ascii="Arial" w:eastAsia="Arial" w:hAnsi="Arial" w:cs="Arial"/>
                <w:b/>
                <w:bCs/>
                <w:sz w:val="20"/>
                <w:szCs w:val="20"/>
              </w:rPr>
              <w:t xml:space="preserve"> </w:t>
            </w:r>
            <w:r w:rsidR="7D2AABE7" w:rsidRPr="07195704">
              <w:rPr>
                <w:rFonts w:ascii="Arial" w:eastAsia="Arial" w:hAnsi="Arial" w:cs="Arial"/>
                <w:b/>
                <w:bCs/>
                <w:sz w:val="20"/>
                <w:szCs w:val="20"/>
              </w:rPr>
              <w:t>0.4</w:t>
            </w:r>
            <w:r w:rsidRPr="07195704">
              <w:rPr>
                <w:rFonts w:ascii="Arial" w:eastAsia="Arial" w:hAnsi="Arial" w:cs="Arial"/>
                <w:b/>
                <w:bCs/>
                <w:sz w:val="20"/>
                <w:szCs w:val="20"/>
              </w:rPr>
              <w:t xml:space="preserve"> </w:t>
            </w:r>
          </w:p>
        </w:tc>
      </w:tr>
      <w:tr w:rsidR="0F59A3A3" w14:paraId="1CB91679" w14:textId="77777777" w:rsidTr="1FA2E292">
        <w:trPr>
          <w:trHeight w:val="260"/>
        </w:trPr>
        <w:tc>
          <w:tcPr>
            <w:tcW w:w="2022" w:type="dxa"/>
            <w:tcBorders>
              <w:top w:val="single" w:sz="6" w:space="0" w:color="A5A6A5"/>
              <w:left w:val="nil"/>
              <w:bottom w:val="nil"/>
              <w:right w:val="nil"/>
            </w:tcBorders>
            <w:tcMar>
              <w:top w:w="15" w:type="dxa"/>
              <w:left w:w="15" w:type="dxa"/>
              <w:right w:w="15" w:type="dxa"/>
            </w:tcMar>
            <w:vAlign w:val="bottom"/>
          </w:tcPr>
          <w:p w14:paraId="760DE081" w14:textId="3BE335F1" w:rsidR="0F59A3A3" w:rsidRDefault="0F59A3A3" w:rsidP="0F59A3A3">
            <w:pPr>
              <w:rPr>
                <w:rFonts w:ascii="Arial" w:eastAsia="Arial" w:hAnsi="Arial" w:cs="Arial"/>
                <w:sz w:val="20"/>
                <w:szCs w:val="20"/>
              </w:rPr>
            </w:pPr>
            <w:r w:rsidRPr="0F59A3A3">
              <w:rPr>
                <w:rFonts w:ascii="Arial" w:eastAsia="Arial" w:hAnsi="Arial" w:cs="Arial"/>
                <w:sz w:val="20"/>
                <w:szCs w:val="20"/>
              </w:rPr>
              <w:t>Capital Grants</w:t>
            </w:r>
          </w:p>
        </w:tc>
        <w:tc>
          <w:tcPr>
            <w:tcW w:w="1190" w:type="dxa"/>
            <w:tcBorders>
              <w:top w:val="single" w:sz="6" w:space="0" w:color="A5A6A5"/>
              <w:left w:val="nil"/>
              <w:bottom w:val="nil"/>
              <w:right w:val="nil"/>
            </w:tcBorders>
            <w:tcMar>
              <w:top w:w="15" w:type="dxa"/>
              <w:left w:w="15" w:type="dxa"/>
              <w:right w:w="15" w:type="dxa"/>
            </w:tcMar>
            <w:vAlign w:val="bottom"/>
          </w:tcPr>
          <w:p w14:paraId="3905A0AF" w14:textId="4C5B9FC1" w:rsidR="0F59A3A3" w:rsidRDefault="0F59A3A3" w:rsidP="0F59A3A3">
            <w:pPr>
              <w:rPr>
                <w:rFonts w:ascii="Arial" w:eastAsia="Arial" w:hAnsi="Arial" w:cs="Arial"/>
              </w:rPr>
            </w:pPr>
          </w:p>
        </w:tc>
        <w:tc>
          <w:tcPr>
            <w:tcW w:w="1203" w:type="dxa"/>
            <w:tcBorders>
              <w:top w:val="single" w:sz="6" w:space="0" w:color="A5A6A5"/>
              <w:left w:val="nil"/>
              <w:bottom w:val="nil"/>
              <w:right w:val="nil"/>
            </w:tcBorders>
            <w:tcMar>
              <w:top w:w="15" w:type="dxa"/>
              <w:left w:w="15" w:type="dxa"/>
              <w:right w:w="15" w:type="dxa"/>
            </w:tcMar>
            <w:vAlign w:val="center"/>
          </w:tcPr>
          <w:p w14:paraId="16C4A78E" w14:textId="7D351602"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32.6</w:t>
            </w:r>
          </w:p>
        </w:tc>
        <w:tc>
          <w:tcPr>
            <w:tcW w:w="1203" w:type="dxa"/>
            <w:tcBorders>
              <w:top w:val="single" w:sz="6" w:space="0" w:color="A5A6A5"/>
              <w:left w:val="nil"/>
              <w:bottom w:val="nil"/>
              <w:right w:val="nil"/>
            </w:tcBorders>
            <w:shd w:val="clear" w:color="auto" w:fill="D9D9D9" w:themeFill="background1" w:themeFillShade="D9"/>
            <w:tcMar>
              <w:top w:w="15" w:type="dxa"/>
              <w:left w:w="15" w:type="dxa"/>
              <w:right w:w="15" w:type="dxa"/>
            </w:tcMar>
            <w:vAlign w:val="center"/>
          </w:tcPr>
          <w:p w14:paraId="5902A799" w14:textId="39D9A528"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32.6</w:t>
            </w:r>
          </w:p>
        </w:tc>
        <w:tc>
          <w:tcPr>
            <w:tcW w:w="1191" w:type="dxa"/>
            <w:tcBorders>
              <w:top w:val="single" w:sz="6" w:space="0" w:color="A5A6A5"/>
              <w:left w:val="nil"/>
              <w:bottom w:val="nil"/>
              <w:right w:val="nil"/>
            </w:tcBorders>
            <w:tcMar>
              <w:top w:w="15" w:type="dxa"/>
              <w:left w:w="15" w:type="dxa"/>
              <w:right w:w="15" w:type="dxa"/>
            </w:tcMar>
            <w:vAlign w:val="center"/>
          </w:tcPr>
          <w:p w14:paraId="1872E47E" w14:textId="7A3E95ED"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0.0</w:t>
            </w:r>
          </w:p>
        </w:tc>
        <w:tc>
          <w:tcPr>
            <w:tcW w:w="1214" w:type="dxa"/>
            <w:tcBorders>
              <w:top w:val="single" w:sz="6" w:space="0" w:color="A5A6A5"/>
              <w:left w:val="nil"/>
              <w:bottom w:val="nil"/>
              <w:right w:val="nil"/>
            </w:tcBorders>
            <w:tcMar>
              <w:top w:w="15" w:type="dxa"/>
              <w:left w:w="15" w:type="dxa"/>
              <w:right w:w="15" w:type="dxa"/>
            </w:tcMar>
            <w:vAlign w:val="center"/>
          </w:tcPr>
          <w:p w14:paraId="621E8C39" w14:textId="5F6150E1"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0.0</w:t>
            </w:r>
          </w:p>
        </w:tc>
        <w:tc>
          <w:tcPr>
            <w:tcW w:w="1203" w:type="dxa"/>
            <w:tcBorders>
              <w:top w:val="single" w:sz="6" w:space="0" w:color="A5A6A5"/>
              <w:left w:val="nil"/>
              <w:bottom w:val="nil"/>
              <w:right w:val="nil"/>
            </w:tcBorders>
            <w:tcMar>
              <w:top w:w="15" w:type="dxa"/>
              <w:left w:w="15" w:type="dxa"/>
              <w:right w:w="15" w:type="dxa"/>
            </w:tcMar>
            <w:vAlign w:val="center"/>
          </w:tcPr>
          <w:p w14:paraId="3E81AA31" w14:textId="5F6150E1"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0.0</w:t>
            </w:r>
          </w:p>
        </w:tc>
      </w:tr>
      <w:tr w:rsidR="0F59A3A3" w14:paraId="334D6120"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3A268BE7" w14:textId="73E2EDDA" w:rsidR="0F59A3A3" w:rsidRDefault="032244C8" w:rsidP="0F59A3A3">
            <w:pPr>
              <w:rPr>
                <w:rFonts w:ascii="Arial" w:eastAsia="Arial" w:hAnsi="Arial" w:cs="Arial"/>
                <w:sz w:val="20"/>
                <w:szCs w:val="20"/>
              </w:rPr>
            </w:pPr>
            <w:r w:rsidRPr="57EA1165">
              <w:rPr>
                <w:rFonts w:ascii="Arial" w:eastAsia="Arial" w:hAnsi="Arial" w:cs="Arial"/>
                <w:sz w:val="20"/>
                <w:szCs w:val="20"/>
              </w:rPr>
              <w:t xml:space="preserve">Approved </w:t>
            </w:r>
            <w:r w:rsidR="6EBDC45F" w:rsidRPr="57EA1165">
              <w:rPr>
                <w:rFonts w:ascii="Arial" w:eastAsia="Arial" w:hAnsi="Arial" w:cs="Arial"/>
                <w:sz w:val="20"/>
                <w:szCs w:val="20"/>
              </w:rPr>
              <w:t xml:space="preserve">Borrowing </w:t>
            </w:r>
          </w:p>
        </w:tc>
        <w:tc>
          <w:tcPr>
            <w:tcW w:w="1190" w:type="dxa"/>
            <w:tcBorders>
              <w:top w:val="nil"/>
              <w:left w:val="nil"/>
              <w:bottom w:val="nil"/>
              <w:right w:val="nil"/>
            </w:tcBorders>
            <w:tcMar>
              <w:top w:w="15" w:type="dxa"/>
              <w:left w:w="15" w:type="dxa"/>
              <w:right w:w="15" w:type="dxa"/>
            </w:tcMar>
            <w:vAlign w:val="bottom"/>
          </w:tcPr>
          <w:p w14:paraId="40FB04FA" w14:textId="7243C09E" w:rsidR="0F59A3A3" w:rsidRDefault="0F59A3A3" w:rsidP="0F59A3A3">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2A52FB18" w14:textId="4AB01A42"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45.3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343420BD" w14:textId="13977CE0"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54.7 </w:t>
            </w:r>
          </w:p>
        </w:tc>
        <w:tc>
          <w:tcPr>
            <w:tcW w:w="1191" w:type="dxa"/>
            <w:tcBorders>
              <w:top w:val="nil"/>
              <w:left w:val="nil"/>
              <w:bottom w:val="nil"/>
              <w:right w:val="nil"/>
            </w:tcBorders>
            <w:tcMar>
              <w:top w:w="15" w:type="dxa"/>
              <w:left w:w="15" w:type="dxa"/>
              <w:right w:w="15" w:type="dxa"/>
            </w:tcMar>
            <w:vAlign w:val="center"/>
          </w:tcPr>
          <w:p w14:paraId="5BE50AF5" w14:textId="5D65BE98"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0.0</w:t>
            </w:r>
          </w:p>
        </w:tc>
        <w:tc>
          <w:tcPr>
            <w:tcW w:w="1214" w:type="dxa"/>
            <w:tcBorders>
              <w:top w:val="nil"/>
              <w:left w:val="nil"/>
              <w:bottom w:val="nil"/>
              <w:right w:val="nil"/>
            </w:tcBorders>
            <w:tcMar>
              <w:top w:w="15" w:type="dxa"/>
              <w:left w:w="15" w:type="dxa"/>
              <w:right w:w="15" w:type="dxa"/>
            </w:tcMar>
            <w:vAlign w:val="center"/>
          </w:tcPr>
          <w:p w14:paraId="6AF8C1A7" w14:textId="1ACF8F79"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0.0</w:t>
            </w:r>
          </w:p>
        </w:tc>
        <w:tc>
          <w:tcPr>
            <w:tcW w:w="1203" w:type="dxa"/>
            <w:tcBorders>
              <w:top w:val="nil"/>
              <w:left w:val="nil"/>
              <w:bottom w:val="nil"/>
              <w:right w:val="nil"/>
            </w:tcBorders>
            <w:tcMar>
              <w:top w:w="15" w:type="dxa"/>
              <w:left w:w="15" w:type="dxa"/>
              <w:right w:w="15" w:type="dxa"/>
            </w:tcMar>
            <w:vAlign w:val="center"/>
          </w:tcPr>
          <w:p w14:paraId="1548AA88" w14:textId="1ACF8F79"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0.0</w:t>
            </w:r>
          </w:p>
        </w:tc>
      </w:tr>
      <w:tr w:rsidR="57EA1165" w14:paraId="7F04BAA3"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11DB7F67" w14:textId="59D4D256" w:rsidR="5D5E3524" w:rsidRDefault="0B06B137" w:rsidP="57EA1165">
            <w:pPr>
              <w:rPr>
                <w:rFonts w:ascii="Arial" w:eastAsia="Arial" w:hAnsi="Arial" w:cs="Arial"/>
                <w:sz w:val="20"/>
                <w:szCs w:val="20"/>
              </w:rPr>
            </w:pPr>
            <w:r w:rsidRPr="1FA2E292">
              <w:rPr>
                <w:rFonts w:ascii="Arial" w:eastAsia="Arial" w:hAnsi="Arial" w:cs="Arial"/>
                <w:sz w:val="20"/>
                <w:szCs w:val="20"/>
              </w:rPr>
              <w:t>Additional Approved</w:t>
            </w:r>
            <w:r w:rsidR="00836B24">
              <w:rPr>
                <w:rFonts w:ascii="Arial" w:eastAsia="Arial" w:hAnsi="Arial" w:cs="Arial"/>
                <w:sz w:val="20"/>
                <w:szCs w:val="20"/>
              </w:rPr>
              <w:t xml:space="preserve"> </w:t>
            </w:r>
            <w:r w:rsidR="07EEAE61" w:rsidRPr="1FA2E292">
              <w:rPr>
                <w:rFonts w:ascii="Arial" w:eastAsia="Arial" w:hAnsi="Arial" w:cs="Arial"/>
                <w:sz w:val="20"/>
                <w:szCs w:val="20"/>
              </w:rPr>
              <w:t>Borrowing</w:t>
            </w:r>
          </w:p>
        </w:tc>
        <w:tc>
          <w:tcPr>
            <w:tcW w:w="1190" w:type="dxa"/>
            <w:tcBorders>
              <w:top w:val="nil"/>
              <w:left w:val="nil"/>
              <w:bottom w:val="nil"/>
              <w:right w:val="nil"/>
            </w:tcBorders>
            <w:tcMar>
              <w:top w:w="15" w:type="dxa"/>
              <w:left w:w="15" w:type="dxa"/>
              <w:right w:w="15" w:type="dxa"/>
            </w:tcMar>
            <w:vAlign w:val="bottom"/>
          </w:tcPr>
          <w:p w14:paraId="577BA3BF" w14:textId="2AAFDF5B" w:rsidR="57EA1165" w:rsidRDefault="57EA1165" w:rsidP="57EA1165">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0F027AA1" w14:textId="5B8EECC0" w:rsidR="650D63ED" w:rsidRDefault="650D63ED" w:rsidP="57EA1165">
            <w:pPr>
              <w:jc w:val="center"/>
              <w:rPr>
                <w:rFonts w:ascii="Arial" w:eastAsia="Arial" w:hAnsi="Arial" w:cs="Arial"/>
                <w:sz w:val="20"/>
                <w:szCs w:val="20"/>
              </w:rPr>
            </w:pPr>
            <w:r w:rsidRPr="57EA1165">
              <w:rPr>
                <w:rFonts w:ascii="Arial" w:eastAsia="Arial" w:hAnsi="Arial" w:cs="Arial"/>
                <w:sz w:val="20"/>
                <w:szCs w:val="20"/>
              </w:rPr>
              <w:t>-</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360651DC" w14:textId="3E61CA2B" w:rsidR="46D81CAF" w:rsidRDefault="46D81CAF" w:rsidP="57EA1165">
            <w:pPr>
              <w:jc w:val="center"/>
              <w:rPr>
                <w:rFonts w:ascii="Arial" w:eastAsia="Arial" w:hAnsi="Arial" w:cs="Arial"/>
                <w:sz w:val="20"/>
                <w:szCs w:val="20"/>
              </w:rPr>
            </w:pPr>
            <w:r w:rsidRPr="57EA1165">
              <w:rPr>
                <w:rFonts w:ascii="Arial" w:eastAsia="Arial" w:hAnsi="Arial" w:cs="Arial"/>
                <w:sz w:val="20"/>
                <w:szCs w:val="20"/>
              </w:rPr>
              <w:t>41.2</w:t>
            </w:r>
          </w:p>
        </w:tc>
        <w:tc>
          <w:tcPr>
            <w:tcW w:w="1191" w:type="dxa"/>
            <w:tcBorders>
              <w:top w:val="nil"/>
              <w:left w:val="nil"/>
              <w:bottom w:val="nil"/>
              <w:right w:val="nil"/>
            </w:tcBorders>
            <w:tcMar>
              <w:top w:w="15" w:type="dxa"/>
              <w:left w:w="15" w:type="dxa"/>
              <w:right w:w="15" w:type="dxa"/>
            </w:tcMar>
            <w:vAlign w:val="center"/>
          </w:tcPr>
          <w:p w14:paraId="793A0240" w14:textId="5A19F4E0" w:rsidR="46D81CAF" w:rsidRDefault="46D81CAF" w:rsidP="57EA1165">
            <w:pPr>
              <w:jc w:val="center"/>
              <w:rPr>
                <w:rFonts w:ascii="Arial" w:eastAsia="Arial" w:hAnsi="Arial" w:cs="Arial"/>
                <w:sz w:val="20"/>
                <w:szCs w:val="20"/>
              </w:rPr>
            </w:pPr>
            <w:r w:rsidRPr="57EA1165">
              <w:rPr>
                <w:rFonts w:ascii="Arial" w:eastAsia="Arial" w:hAnsi="Arial" w:cs="Arial"/>
                <w:sz w:val="20"/>
                <w:szCs w:val="20"/>
              </w:rPr>
              <w:t>22.4</w:t>
            </w:r>
          </w:p>
        </w:tc>
        <w:tc>
          <w:tcPr>
            <w:tcW w:w="1214" w:type="dxa"/>
            <w:tcBorders>
              <w:top w:val="nil"/>
              <w:left w:val="nil"/>
              <w:bottom w:val="nil"/>
              <w:right w:val="nil"/>
            </w:tcBorders>
            <w:tcMar>
              <w:top w:w="15" w:type="dxa"/>
              <w:left w:w="15" w:type="dxa"/>
              <w:right w:w="15" w:type="dxa"/>
            </w:tcMar>
            <w:vAlign w:val="center"/>
          </w:tcPr>
          <w:p w14:paraId="0FA8842E" w14:textId="7BF96FBA" w:rsidR="46D81CAF" w:rsidRDefault="46D81CAF" w:rsidP="57EA1165">
            <w:pPr>
              <w:jc w:val="center"/>
              <w:rPr>
                <w:rFonts w:ascii="Arial" w:eastAsia="Arial" w:hAnsi="Arial" w:cs="Arial"/>
                <w:sz w:val="20"/>
                <w:szCs w:val="20"/>
              </w:rPr>
            </w:pPr>
            <w:r w:rsidRPr="57EA1165">
              <w:rPr>
                <w:rFonts w:ascii="Arial" w:eastAsia="Arial" w:hAnsi="Arial" w:cs="Arial"/>
                <w:sz w:val="20"/>
                <w:szCs w:val="20"/>
              </w:rPr>
              <w:t>10.0</w:t>
            </w:r>
          </w:p>
        </w:tc>
        <w:tc>
          <w:tcPr>
            <w:tcW w:w="1203" w:type="dxa"/>
            <w:tcBorders>
              <w:top w:val="nil"/>
              <w:left w:val="nil"/>
              <w:bottom w:val="nil"/>
              <w:right w:val="nil"/>
            </w:tcBorders>
            <w:tcMar>
              <w:top w:w="15" w:type="dxa"/>
              <w:left w:w="15" w:type="dxa"/>
              <w:right w:w="15" w:type="dxa"/>
            </w:tcMar>
            <w:vAlign w:val="center"/>
          </w:tcPr>
          <w:p w14:paraId="35D2A443" w14:textId="55A2C492" w:rsidR="46D81CAF" w:rsidRDefault="46D81CAF" w:rsidP="57EA1165">
            <w:pPr>
              <w:jc w:val="center"/>
              <w:rPr>
                <w:rFonts w:ascii="Arial" w:eastAsia="Arial" w:hAnsi="Arial" w:cs="Arial"/>
                <w:sz w:val="20"/>
                <w:szCs w:val="20"/>
              </w:rPr>
            </w:pPr>
            <w:r w:rsidRPr="57EA1165">
              <w:rPr>
                <w:rFonts w:ascii="Arial" w:eastAsia="Arial" w:hAnsi="Arial" w:cs="Arial"/>
                <w:sz w:val="20"/>
                <w:szCs w:val="20"/>
              </w:rPr>
              <w:t>0.4</w:t>
            </w:r>
          </w:p>
        </w:tc>
      </w:tr>
      <w:tr w:rsidR="0F59A3A3" w14:paraId="385DC22F" w14:textId="77777777" w:rsidTr="1FA2E292">
        <w:trPr>
          <w:trHeight w:val="260"/>
        </w:trPr>
        <w:tc>
          <w:tcPr>
            <w:tcW w:w="2022" w:type="dxa"/>
            <w:tcBorders>
              <w:top w:val="nil"/>
              <w:left w:val="nil"/>
              <w:bottom w:val="nil"/>
              <w:right w:val="nil"/>
            </w:tcBorders>
            <w:tcMar>
              <w:top w:w="15" w:type="dxa"/>
              <w:left w:w="15" w:type="dxa"/>
              <w:right w:w="15" w:type="dxa"/>
            </w:tcMar>
            <w:vAlign w:val="bottom"/>
          </w:tcPr>
          <w:p w14:paraId="5EB0D809" w14:textId="488520C2" w:rsidR="0F59A3A3" w:rsidRDefault="1DECCF25" w:rsidP="5DC38DB6">
            <w:pPr>
              <w:spacing w:line="259" w:lineRule="auto"/>
              <w:rPr>
                <w:rFonts w:ascii="Arial" w:eastAsia="Arial" w:hAnsi="Arial" w:cs="Arial"/>
                <w:sz w:val="20"/>
                <w:szCs w:val="20"/>
              </w:rPr>
            </w:pPr>
            <w:r w:rsidRPr="1FA2E292">
              <w:rPr>
                <w:rFonts w:ascii="Arial" w:eastAsia="Arial" w:hAnsi="Arial" w:cs="Arial"/>
                <w:sz w:val="20"/>
                <w:szCs w:val="20"/>
              </w:rPr>
              <w:t>Revenue Contribution</w:t>
            </w:r>
          </w:p>
        </w:tc>
        <w:tc>
          <w:tcPr>
            <w:tcW w:w="1190" w:type="dxa"/>
            <w:tcBorders>
              <w:top w:val="nil"/>
              <w:left w:val="nil"/>
              <w:bottom w:val="nil"/>
              <w:right w:val="nil"/>
            </w:tcBorders>
            <w:tcMar>
              <w:top w:w="15" w:type="dxa"/>
              <w:left w:w="15" w:type="dxa"/>
              <w:right w:w="15" w:type="dxa"/>
            </w:tcMar>
            <w:vAlign w:val="bottom"/>
          </w:tcPr>
          <w:p w14:paraId="1194FC13" w14:textId="6E3B95EF" w:rsidR="0F59A3A3" w:rsidRDefault="0F59A3A3" w:rsidP="0F59A3A3">
            <w:pPr>
              <w:rPr>
                <w:rFonts w:ascii="Arial" w:eastAsia="Arial" w:hAnsi="Arial" w:cs="Arial"/>
              </w:rPr>
            </w:pPr>
          </w:p>
        </w:tc>
        <w:tc>
          <w:tcPr>
            <w:tcW w:w="1203" w:type="dxa"/>
            <w:tcBorders>
              <w:top w:val="nil"/>
              <w:left w:val="nil"/>
              <w:bottom w:val="nil"/>
              <w:right w:val="nil"/>
            </w:tcBorders>
            <w:tcMar>
              <w:top w:w="15" w:type="dxa"/>
              <w:left w:w="15" w:type="dxa"/>
              <w:right w:w="15" w:type="dxa"/>
            </w:tcMar>
            <w:vAlign w:val="center"/>
          </w:tcPr>
          <w:p w14:paraId="7500662F" w14:textId="142A7F73"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0.8  </w:t>
            </w:r>
          </w:p>
        </w:tc>
        <w:tc>
          <w:tcPr>
            <w:tcW w:w="1203" w:type="dxa"/>
            <w:tcBorders>
              <w:top w:val="nil"/>
              <w:left w:val="nil"/>
              <w:bottom w:val="nil"/>
              <w:right w:val="nil"/>
            </w:tcBorders>
            <w:shd w:val="clear" w:color="auto" w:fill="D9D9D9" w:themeFill="background1" w:themeFillShade="D9"/>
            <w:tcMar>
              <w:top w:w="15" w:type="dxa"/>
              <w:left w:w="15" w:type="dxa"/>
              <w:right w:w="15" w:type="dxa"/>
            </w:tcMar>
            <w:vAlign w:val="center"/>
          </w:tcPr>
          <w:p w14:paraId="6E62F5B7" w14:textId="68D55D90"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   </w:t>
            </w:r>
          </w:p>
        </w:tc>
        <w:tc>
          <w:tcPr>
            <w:tcW w:w="1191" w:type="dxa"/>
            <w:tcBorders>
              <w:top w:val="nil"/>
              <w:left w:val="nil"/>
              <w:bottom w:val="nil"/>
              <w:right w:val="nil"/>
            </w:tcBorders>
            <w:tcMar>
              <w:top w:w="15" w:type="dxa"/>
              <w:left w:w="15" w:type="dxa"/>
              <w:right w:w="15" w:type="dxa"/>
            </w:tcMar>
            <w:vAlign w:val="center"/>
          </w:tcPr>
          <w:p w14:paraId="47A5DC60" w14:textId="72C684B7"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   </w:t>
            </w:r>
          </w:p>
        </w:tc>
        <w:tc>
          <w:tcPr>
            <w:tcW w:w="1214" w:type="dxa"/>
            <w:tcBorders>
              <w:top w:val="nil"/>
              <w:left w:val="nil"/>
              <w:bottom w:val="nil"/>
              <w:right w:val="nil"/>
            </w:tcBorders>
            <w:tcMar>
              <w:top w:w="15" w:type="dxa"/>
              <w:left w:w="15" w:type="dxa"/>
              <w:right w:w="15" w:type="dxa"/>
            </w:tcMar>
            <w:vAlign w:val="center"/>
          </w:tcPr>
          <w:p w14:paraId="45D52688" w14:textId="26D3A784" w:rsidR="0F59A3A3" w:rsidRDefault="0F59A3A3" w:rsidP="0F59A3A3">
            <w:pPr>
              <w:jc w:val="center"/>
              <w:rPr>
                <w:rFonts w:ascii="Arial" w:eastAsia="Arial" w:hAnsi="Arial" w:cs="Arial"/>
                <w:sz w:val="20"/>
                <w:szCs w:val="20"/>
              </w:rPr>
            </w:pPr>
            <w:r w:rsidRPr="0F59A3A3">
              <w:rPr>
                <w:rFonts w:ascii="Arial" w:eastAsia="Arial" w:hAnsi="Arial" w:cs="Arial"/>
                <w:sz w:val="20"/>
                <w:szCs w:val="20"/>
              </w:rPr>
              <w:t xml:space="preserve"> -   </w:t>
            </w:r>
          </w:p>
        </w:tc>
        <w:tc>
          <w:tcPr>
            <w:tcW w:w="1203" w:type="dxa"/>
            <w:tcBorders>
              <w:top w:val="nil"/>
              <w:left w:val="nil"/>
              <w:bottom w:val="nil"/>
              <w:right w:val="nil"/>
            </w:tcBorders>
            <w:tcMar>
              <w:top w:w="15" w:type="dxa"/>
              <w:left w:w="15" w:type="dxa"/>
              <w:right w:w="15" w:type="dxa"/>
            </w:tcMar>
            <w:vAlign w:val="center"/>
          </w:tcPr>
          <w:p w14:paraId="66EF2E71" w14:textId="26D3A784" w:rsidR="07195704" w:rsidRDefault="07195704" w:rsidP="07195704">
            <w:pPr>
              <w:jc w:val="center"/>
              <w:rPr>
                <w:rFonts w:ascii="Arial" w:eastAsia="Arial" w:hAnsi="Arial" w:cs="Arial"/>
                <w:sz w:val="20"/>
                <w:szCs w:val="20"/>
              </w:rPr>
            </w:pPr>
            <w:r w:rsidRPr="07195704">
              <w:rPr>
                <w:rFonts w:ascii="Arial" w:eastAsia="Arial" w:hAnsi="Arial" w:cs="Arial"/>
                <w:sz w:val="20"/>
                <w:szCs w:val="20"/>
              </w:rPr>
              <w:t xml:space="preserve"> -   </w:t>
            </w:r>
          </w:p>
        </w:tc>
      </w:tr>
      <w:tr w:rsidR="0F59A3A3" w14:paraId="1425143F" w14:textId="77777777" w:rsidTr="1FA2E292">
        <w:trPr>
          <w:trHeight w:val="260"/>
        </w:trPr>
        <w:tc>
          <w:tcPr>
            <w:tcW w:w="2022"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bottom"/>
          </w:tcPr>
          <w:p w14:paraId="0C4C8137" w14:textId="560ABCFE" w:rsidR="0F59A3A3" w:rsidRDefault="0F59A3A3" w:rsidP="0F59A3A3">
            <w:pPr>
              <w:rPr>
                <w:rFonts w:ascii="Arial" w:eastAsia="Arial" w:hAnsi="Arial" w:cs="Arial"/>
                <w:sz w:val="20"/>
                <w:szCs w:val="20"/>
              </w:rPr>
            </w:pPr>
            <w:r w:rsidRPr="0F59A3A3">
              <w:rPr>
                <w:rFonts w:ascii="Arial" w:eastAsia="Arial" w:hAnsi="Arial" w:cs="Arial"/>
                <w:b/>
                <w:bCs/>
                <w:sz w:val="20"/>
                <w:szCs w:val="20"/>
              </w:rPr>
              <w:t>Total funding</w:t>
            </w:r>
            <w:r w:rsidRPr="0F59A3A3">
              <w:rPr>
                <w:rFonts w:ascii="Arial" w:eastAsia="Arial" w:hAnsi="Arial" w:cs="Arial"/>
                <w:sz w:val="20"/>
                <w:szCs w:val="20"/>
              </w:rPr>
              <w:t xml:space="preserve"> </w:t>
            </w:r>
          </w:p>
        </w:tc>
        <w:tc>
          <w:tcPr>
            <w:tcW w:w="1190"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bottom"/>
          </w:tcPr>
          <w:p w14:paraId="4C7283A2" w14:textId="3D1E8FFA" w:rsidR="0F59A3A3" w:rsidRDefault="0F59A3A3" w:rsidP="0F59A3A3">
            <w:pPr>
              <w:rPr>
                <w:rFonts w:ascii="Arial" w:eastAsia="Arial" w:hAnsi="Arial" w:cs="Arial"/>
              </w:rPr>
            </w:pPr>
          </w:p>
        </w:tc>
        <w:tc>
          <w:tcPr>
            <w:tcW w:w="1203"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58902D72" w14:textId="3718582C" w:rsidR="0F59A3A3" w:rsidRDefault="0F59A3A3" w:rsidP="0F59A3A3">
            <w:pPr>
              <w:jc w:val="center"/>
              <w:rPr>
                <w:rFonts w:ascii="Arial" w:eastAsia="Arial" w:hAnsi="Arial" w:cs="Arial"/>
                <w:sz w:val="20"/>
                <w:szCs w:val="20"/>
              </w:rPr>
            </w:pPr>
            <w:r w:rsidRPr="0F59A3A3">
              <w:rPr>
                <w:rFonts w:ascii="Arial" w:eastAsia="Arial" w:hAnsi="Arial" w:cs="Arial"/>
                <w:b/>
                <w:bCs/>
                <w:sz w:val="20"/>
                <w:szCs w:val="20"/>
              </w:rPr>
              <w:t xml:space="preserve">78.7 </w:t>
            </w:r>
          </w:p>
        </w:tc>
        <w:tc>
          <w:tcPr>
            <w:tcW w:w="1203" w:type="dxa"/>
            <w:tcBorders>
              <w:top w:val="single" w:sz="6" w:space="0" w:color="A5A6A5"/>
              <w:left w:val="nil"/>
              <w:bottom w:val="single" w:sz="6" w:space="0" w:color="A5A6A5"/>
              <w:right w:val="nil"/>
            </w:tcBorders>
            <w:shd w:val="clear" w:color="auto" w:fill="D9D9D9" w:themeFill="background1" w:themeFillShade="D9"/>
            <w:tcMar>
              <w:top w:w="15" w:type="dxa"/>
              <w:left w:w="15" w:type="dxa"/>
              <w:right w:w="15" w:type="dxa"/>
            </w:tcMar>
            <w:vAlign w:val="center"/>
          </w:tcPr>
          <w:p w14:paraId="0CDEF821" w14:textId="57DAABBD" w:rsidR="0F59A3A3" w:rsidRDefault="6EBDC45F" w:rsidP="0F59A3A3">
            <w:pPr>
              <w:jc w:val="center"/>
              <w:rPr>
                <w:rFonts w:ascii="Arial" w:eastAsia="Arial" w:hAnsi="Arial" w:cs="Arial"/>
                <w:sz w:val="20"/>
                <w:szCs w:val="20"/>
              </w:rPr>
            </w:pPr>
            <w:r w:rsidRPr="57EA1165">
              <w:rPr>
                <w:rFonts w:ascii="Arial" w:eastAsia="Arial" w:hAnsi="Arial" w:cs="Arial"/>
                <w:b/>
                <w:bCs/>
                <w:sz w:val="20"/>
                <w:szCs w:val="20"/>
              </w:rPr>
              <w:t xml:space="preserve"> </w:t>
            </w:r>
            <w:r w:rsidR="013E674A" w:rsidRPr="57EA1165">
              <w:rPr>
                <w:rFonts w:ascii="Arial" w:eastAsia="Arial" w:hAnsi="Arial" w:cs="Arial"/>
                <w:b/>
                <w:bCs/>
                <w:sz w:val="20"/>
                <w:szCs w:val="20"/>
              </w:rPr>
              <w:t>128.5</w:t>
            </w:r>
          </w:p>
        </w:tc>
        <w:tc>
          <w:tcPr>
            <w:tcW w:w="1191"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151FE047" w14:textId="67361863" w:rsidR="0F59A3A3" w:rsidRDefault="6EBDC45F" w:rsidP="0F59A3A3">
            <w:pPr>
              <w:jc w:val="center"/>
              <w:rPr>
                <w:rFonts w:ascii="Arial" w:eastAsia="Arial" w:hAnsi="Arial" w:cs="Arial"/>
                <w:sz w:val="20"/>
                <w:szCs w:val="20"/>
              </w:rPr>
            </w:pPr>
            <w:r w:rsidRPr="57EA1165">
              <w:rPr>
                <w:rFonts w:ascii="Arial" w:eastAsia="Arial" w:hAnsi="Arial" w:cs="Arial"/>
                <w:b/>
                <w:bCs/>
                <w:sz w:val="20"/>
                <w:szCs w:val="20"/>
              </w:rPr>
              <w:t xml:space="preserve"> </w:t>
            </w:r>
            <w:r w:rsidR="1D256E46" w:rsidRPr="57EA1165">
              <w:rPr>
                <w:rFonts w:ascii="Arial" w:eastAsia="Arial" w:hAnsi="Arial" w:cs="Arial"/>
                <w:b/>
                <w:bCs/>
                <w:sz w:val="20"/>
                <w:szCs w:val="20"/>
              </w:rPr>
              <w:t>22.4</w:t>
            </w:r>
            <w:r w:rsidRPr="57EA1165">
              <w:rPr>
                <w:rFonts w:ascii="Arial" w:eastAsia="Arial" w:hAnsi="Arial" w:cs="Arial"/>
                <w:b/>
                <w:bCs/>
                <w:sz w:val="20"/>
                <w:szCs w:val="20"/>
              </w:rPr>
              <w:t xml:space="preserve">  </w:t>
            </w:r>
          </w:p>
        </w:tc>
        <w:tc>
          <w:tcPr>
            <w:tcW w:w="1214"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403C8A20" w14:textId="03D9B608" w:rsidR="0F59A3A3" w:rsidRDefault="453605EB" w:rsidP="0F59A3A3">
            <w:pPr>
              <w:jc w:val="center"/>
              <w:rPr>
                <w:rFonts w:ascii="Arial" w:eastAsia="Arial" w:hAnsi="Arial" w:cs="Arial"/>
                <w:sz w:val="20"/>
                <w:szCs w:val="20"/>
              </w:rPr>
            </w:pPr>
            <w:r w:rsidRPr="57EA1165">
              <w:rPr>
                <w:rFonts w:ascii="Arial" w:eastAsia="Arial" w:hAnsi="Arial" w:cs="Arial"/>
                <w:b/>
                <w:bCs/>
                <w:sz w:val="20"/>
                <w:szCs w:val="20"/>
              </w:rPr>
              <w:t>10.0</w:t>
            </w:r>
            <w:r w:rsidR="6EBDC45F" w:rsidRPr="57EA1165">
              <w:rPr>
                <w:rFonts w:ascii="Arial" w:eastAsia="Arial" w:hAnsi="Arial" w:cs="Arial"/>
                <w:b/>
                <w:bCs/>
                <w:sz w:val="20"/>
                <w:szCs w:val="20"/>
              </w:rPr>
              <w:t xml:space="preserve">   </w:t>
            </w:r>
          </w:p>
        </w:tc>
        <w:tc>
          <w:tcPr>
            <w:tcW w:w="1203" w:type="dxa"/>
            <w:tcBorders>
              <w:top w:val="single" w:sz="6" w:space="0" w:color="A5A6A5"/>
              <w:left w:val="nil"/>
              <w:bottom w:val="single" w:sz="6" w:space="0" w:color="A5A6A5"/>
              <w:right w:val="nil"/>
            </w:tcBorders>
            <w:shd w:val="clear" w:color="auto" w:fill="FFFFFF" w:themeFill="background1"/>
            <w:tcMar>
              <w:top w:w="15" w:type="dxa"/>
              <w:left w:w="15" w:type="dxa"/>
              <w:right w:w="15" w:type="dxa"/>
            </w:tcMar>
            <w:vAlign w:val="center"/>
          </w:tcPr>
          <w:p w14:paraId="0A949157" w14:textId="0F08E00F" w:rsidR="07195704" w:rsidRDefault="7740FD69" w:rsidP="07195704">
            <w:pPr>
              <w:jc w:val="center"/>
              <w:rPr>
                <w:rFonts w:ascii="Arial" w:eastAsia="Arial" w:hAnsi="Arial" w:cs="Arial"/>
                <w:sz w:val="20"/>
                <w:szCs w:val="20"/>
              </w:rPr>
            </w:pPr>
            <w:r w:rsidRPr="57EA1165">
              <w:rPr>
                <w:rFonts w:ascii="Arial" w:eastAsia="Arial" w:hAnsi="Arial" w:cs="Arial"/>
                <w:b/>
                <w:bCs/>
                <w:sz w:val="20"/>
                <w:szCs w:val="20"/>
              </w:rPr>
              <w:t xml:space="preserve"> </w:t>
            </w:r>
            <w:r w:rsidR="362F66AA" w:rsidRPr="57EA1165">
              <w:rPr>
                <w:rFonts w:ascii="Arial" w:eastAsia="Arial" w:hAnsi="Arial" w:cs="Arial"/>
                <w:b/>
                <w:bCs/>
                <w:sz w:val="20"/>
                <w:szCs w:val="20"/>
              </w:rPr>
              <w:t>0.4</w:t>
            </w:r>
            <w:r w:rsidRPr="57EA1165">
              <w:rPr>
                <w:rFonts w:ascii="Arial" w:eastAsia="Arial" w:hAnsi="Arial" w:cs="Arial"/>
                <w:b/>
                <w:bCs/>
                <w:sz w:val="20"/>
                <w:szCs w:val="20"/>
              </w:rPr>
              <w:t xml:space="preserve">   </w:t>
            </w:r>
          </w:p>
        </w:tc>
      </w:tr>
    </w:tbl>
    <w:p w14:paraId="0ADE98B4" w14:textId="5278AF42" w:rsidR="60BEF2F8" w:rsidRDefault="7A960FE4" w:rsidP="003B6A3E">
      <w:pPr>
        <w:pStyle w:val="ListParagraph"/>
        <w:numPr>
          <w:ilvl w:val="0"/>
          <w:numId w:val="39"/>
        </w:numPr>
        <w:spacing w:before="240"/>
        <w:rPr>
          <w:rFonts w:eastAsiaTheme="minorEastAsia"/>
          <w:color w:val="000000" w:themeColor="text1"/>
        </w:rPr>
      </w:pPr>
      <w:r w:rsidRPr="678D5708">
        <w:rPr>
          <w:rFonts w:eastAsiaTheme="minorEastAsia"/>
          <w:color w:val="auto"/>
        </w:rPr>
        <w:t xml:space="preserve">It is assumed that interest payments will continue to be covered by GLA. See Table </w:t>
      </w:r>
      <w:r w:rsidR="4C01F6BB" w:rsidRPr="678D5708">
        <w:rPr>
          <w:rFonts w:eastAsiaTheme="minorEastAsia"/>
          <w:color w:val="auto"/>
        </w:rPr>
        <w:t>4</w:t>
      </w:r>
      <w:r w:rsidRPr="678D5708">
        <w:rPr>
          <w:rFonts w:eastAsiaTheme="minorEastAsia"/>
          <w:color w:val="auto"/>
        </w:rPr>
        <w:t xml:space="preserve"> below for </w:t>
      </w:r>
      <w:r w:rsidR="5140FCF5" w:rsidRPr="678D5708">
        <w:rPr>
          <w:rFonts w:eastAsiaTheme="minorEastAsia"/>
          <w:color w:val="auto"/>
        </w:rPr>
        <w:t>C</w:t>
      </w:r>
      <w:r w:rsidR="3AD01ACD" w:rsidRPr="678D5708">
        <w:rPr>
          <w:rFonts w:eastAsiaTheme="minorEastAsia"/>
          <w:color w:val="auto"/>
        </w:rPr>
        <w:t>apital financing costs</w:t>
      </w:r>
      <w:r w:rsidRPr="678D5708">
        <w:rPr>
          <w:rFonts w:eastAsiaTheme="minorEastAsia"/>
          <w:color w:val="auto"/>
        </w:rPr>
        <w:t xml:space="preserve"> schedule.</w:t>
      </w:r>
    </w:p>
    <w:p w14:paraId="5D2A0D84" w14:textId="3CCB6F28" w:rsidR="007067C4" w:rsidRDefault="3A11DBB1" w:rsidP="00797FC8">
      <w:pPr>
        <w:pStyle w:val="Heading2"/>
        <w:ind w:left="680"/>
        <w:rPr>
          <w:rFonts w:ascii="Foundry Form Sans" w:hAnsi="Foundry Form Sans" w:cs="Times New Roman"/>
          <w:i w:val="0"/>
          <w:iCs w:val="0"/>
          <w:color w:val="auto"/>
          <w:sz w:val="24"/>
          <w:szCs w:val="24"/>
        </w:rPr>
      </w:pPr>
      <w:r w:rsidRPr="07195704">
        <w:rPr>
          <w:rFonts w:ascii="Foundry Form Sans" w:hAnsi="Foundry Form Sans" w:cs="Times New Roman"/>
          <w:i w:val="0"/>
          <w:iCs w:val="0"/>
          <w:color w:val="auto"/>
          <w:sz w:val="24"/>
          <w:szCs w:val="24"/>
        </w:rPr>
        <w:t>Table </w:t>
      </w:r>
      <w:r w:rsidR="1E7E5495" w:rsidRPr="07195704">
        <w:rPr>
          <w:rFonts w:ascii="Foundry Form Sans" w:hAnsi="Foundry Form Sans" w:cs="Times New Roman"/>
          <w:i w:val="0"/>
          <w:iCs w:val="0"/>
          <w:color w:val="auto"/>
          <w:sz w:val="24"/>
          <w:szCs w:val="24"/>
        </w:rPr>
        <w:t>4</w:t>
      </w:r>
      <w:r w:rsidRPr="07195704">
        <w:rPr>
          <w:rFonts w:ascii="Foundry Form Sans" w:hAnsi="Foundry Form Sans" w:cs="Times New Roman"/>
          <w:i w:val="0"/>
          <w:iCs w:val="0"/>
          <w:color w:val="auto"/>
          <w:sz w:val="24"/>
          <w:szCs w:val="24"/>
        </w:rPr>
        <w:t xml:space="preserve">: </w:t>
      </w:r>
      <w:r w:rsidR="1003C3DB" w:rsidRPr="07195704">
        <w:rPr>
          <w:rFonts w:ascii="Foundry Form Sans" w:hAnsi="Foundry Form Sans" w:cs="Times New Roman"/>
          <w:i w:val="0"/>
          <w:iCs w:val="0"/>
          <w:color w:val="auto"/>
          <w:sz w:val="24"/>
          <w:szCs w:val="24"/>
        </w:rPr>
        <w:t xml:space="preserve">OPDC </w:t>
      </w:r>
      <w:r w:rsidRPr="07195704">
        <w:rPr>
          <w:rFonts w:ascii="Foundry Form Sans" w:hAnsi="Foundry Form Sans" w:cs="Times New Roman"/>
          <w:i w:val="0"/>
          <w:iCs w:val="0"/>
          <w:color w:val="auto"/>
          <w:sz w:val="24"/>
          <w:szCs w:val="24"/>
        </w:rPr>
        <w:t>- Capital financing costs</w:t>
      </w:r>
    </w:p>
    <w:p w14:paraId="2786291C" w14:textId="77777777" w:rsidR="001A7332" w:rsidRPr="001A7332" w:rsidRDefault="001A7332" w:rsidP="49996C8F">
      <w:pPr>
        <w:rPr>
          <w:color w:val="auto"/>
        </w:rPr>
      </w:pPr>
    </w:p>
    <w:tbl>
      <w:tblPr>
        <w:tblW w:w="9648" w:type="dxa"/>
        <w:tblInd w:w="602" w:type="dxa"/>
        <w:tblLook w:val="04A0" w:firstRow="1" w:lastRow="0" w:firstColumn="1" w:lastColumn="0" w:noHBand="0" w:noVBand="1"/>
      </w:tblPr>
      <w:tblGrid>
        <w:gridCol w:w="3982"/>
        <w:gridCol w:w="1259"/>
        <w:gridCol w:w="1314"/>
        <w:gridCol w:w="1037"/>
        <w:gridCol w:w="1028"/>
        <w:gridCol w:w="1028"/>
      </w:tblGrid>
      <w:tr w:rsidR="0034201C" w:rsidRPr="00B974FA" w14:paraId="3DB2ED5F" w14:textId="77777777" w:rsidTr="1FA2E292">
        <w:trPr>
          <w:trHeight w:val="282"/>
        </w:trPr>
        <w:tc>
          <w:tcPr>
            <w:tcW w:w="3982" w:type="dxa"/>
            <w:tcBorders>
              <w:top w:val="single" w:sz="8" w:space="0" w:color="A6A5A6"/>
              <w:left w:val="single" w:sz="8" w:space="0" w:color="FFFFFF" w:themeColor="background1"/>
              <w:right w:val="nil"/>
            </w:tcBorders>
            <w:shd w:val="clear" w:color="auto" w:fill="FFFFFF" w:themeFill="background1"/>
            <w:vAlign w:val="center"/>
            <w:hideMark/>
          </w:tcPr>
          <w:p w14:paraId="50E74846" w14:textId="0620A65B" w:rsidR="0034201C" w:rsidRPr="00B974FA" w:rsidRDefault="730C1507" w:rsidP="49996C8F">
            <w:pPr>
              <w:rPr>
                <w:b/>
                <w:bCs/>
                <w:color w:val="auto"/>
                <w:sz w:val="20"/>
                <w:szCs w:val="20"/>
              </w:rPr>
            </w:pPr>
            <w:r w:rsidRPr="49996C8F">
              <w:rPr>
                <w:b/>
                <w:bCs/>
                <w:color w:val="auto"/>
                <w:sz w:val="20"/>
                <w:szCs w:val="20"/>
              </w:rPr>
              <w:t xml:space="preserve">OPDC </w:t>
            </w:r>
            <w:r w:rsidR="3FBEAC76" w:rsidRPr="49996C8F">
              <w:rPr>
                <w:b/>
                <w:bCs/>
                <w:color w:val="auto"/>
                <w:sz w:val="20"/>
                <w:szCs w:val="20"/>
              </w:rPr>
              <w:t>– Capital financing costs</w:t>
            </w:r>
          </w:p>
        </w:tc>
        <w:tc>
          <w:tcPr>
            <w:tcW w:w="1259" w:type="dxa"/>
            <w:tcBorders>
              <w:top w:val="single" w:sz="8" w:space="0" w:color="A6A5A6"/>
              <w:left w:val="nil"/>
              <w:right w:val="nil"/>
            </w:tcBorders>
            <w:shd w:val="clear" w:color="auto" w:fill="auto"/>
            <w:vAlign w:val="center"/>
          </w:tcPr>
          <w:p w14:paraId="53CC92E6" w14:textId="77777777" w:rsidR="0034201C" w:rsidRPr="00B974FA" w:rsidRDefault="3FBEAC76" w:rsidP="49996C8F">
            <w:pPr>
              <w:jc w:val="center"/>
              <w:rPr>
                <w:b/>
                <w:bCs/>
                <w:color w:val="auto"/>
                <w:sz w:val="20"/>
                <w:szCs w:val="20"/>
              </w:rPr>
            </w:pPr>
            <w:r w:rsidRPr="49996C8F">
              <w:rPr>
                <w:b/>
                <w:bCs/>
                <w:color w:val="auto"/>
                <w:sz w:val="20"/>
                <w:szCs w:val="20"/>
              </w:rPr>
              <w:t>Forecast Outturn</w:t>
            </w:r>
          </w:p>
        </w:tc>
        <w:tc>
          <w:tcPr>
            <w:tcW w:w="1314" w:type="dxa"/>
            <w:tcBorders>
              <w:top w:val="single" w:sz="8" w:space="0" w:color="A6A5A6"/>
              <w:left w:val="nil"/>
              <w:right w:val="nil"/>
            </w:tcBorders>
            <w:shd w:val="clear" w:color="auto" w:fill="D9D9D9" w:themeFill="background1" w:themeFillShade="D9"/>
            <w:vAlign w:val="center"/>
            <w:hideMark/>
          </w:tcPr>
          <w:p w14:paraId="6A2C69DA" w14:textId="77777777" w:rsidR="0034201C" w:rsidRPr="00B974FA" w:rsidRDefault="3FBEAC76" w:rsidP="49996C8F">
            <w:pPr>
              <w:jc w:val="center"/>
              <w:rPr>
                <w:b/>
                <w:bCs/>
                <w:color w:val="auto"/>
                <w:sz w:val="20"/>
                <w:szCs w:val="20"/>
              </w:rPr>
            </w:pPr>
            <w:r w:rsidRPr="49996C8F">
              <w:rPr>
                <w:b/>
                <w:bCs/>
                <w:color w:val="auto"/>
                <w:sz w:val="20"/>
                <w:szCs w:val="20"/>
              </w:rPr>
              <w:t>Budget</w:t>
            </w:r>
          </w:p>
        </w:tc>
        <w:tc>
          <w:tcPr>
            <w:tcW w:w="1037" w:type="dxa"/>
            <w:tcBorders>
              <w:top w:val="single" w:sz="8" w:space="0" w:color="A6A5A6"/>
              <w:left w:val="nil"/>
              <w:right w:val="nil"/>
            </w:tcBorders>
            <w:shd w:val="clear" w:color="auto" w:fill="FFFFFF" w:themeFill="background1"/>
            <w:vAlign w:val="center"/>
            <w:hideMark/>
          </w:tcPr>
          <w:p w14:paraId="44E5CA67" w14:textId="77777777" w:rsidR="0034201C" w:rsidRPr="00B974FA" w:rsidRDefault="3FBEAC76" w:rsidP="49996C8F">
            <w:pPr>
              <w:jc w:val="center"/>
              <w:rPr>
                <w:b/>
                <w:bCs/>
                <w:color w:val="auto"/>
                <w:sz w:val="20"/>
                <w:szCs w:val="20"/>
              </w:rPr>
            </w:pPr>
            <w:r w:rsidRPr="49996C8F">
              <w:rPr>
                <w:b/>
                <w:bCs/>
                <w:color w:val="auto"/>
                <w:sz w:val="20"/>
                <w:szCs w:val="20"/>
              </w:rPr>
              <w:t>Plan</w:t>
            </w:r>
          </w:p>
        </w:tc>
        <w:tc>
          <w:tcPr>
            <w:tcW w:w="1028" w:type="dxa"/>
            <w:tcBorders>
              <w:top w:val="single" w:sz="8" w:space="0" w:color="A6A5A6"/>
              <w:left w:val="nil"/>
              <w:right w:val="nil"/>
            </w:tcBorders>
            <w:shd w:val="clear" w:color="auto" w:fill="FFFFFF" w:themeFill="background1"/>
            <w:vAlign w:val="center"/>
            <w:hideMark/>
          </w:tcPr>
          <w:p w14:paraId="3E92B513" w14:textId="77777777" w:rsidR="0034201C" w:rsidRPr="00B974FA" w:rsidRDefault="3FBEAC76" w:rsidP="49996C8F">
            <w:pPr>
              <w:jc w:val="center"/>
              <w:rPr>
                <w:b/>
                <w:bCs/>
                <w:color w:val="auto"/>
                <w:sz w:val="20"/>
                <w:szCs w:val="20"/>
              </w:rPr>
            </w:pPr>
            <w:r w:rsidRPr="49996C8F">
              <w:rPr>
                <w:b/>
                <w:bCs/>
                <w:color w:val="auto"/>
                <w:sz w:val="20"/>
                <w:szCs w:val="20"/>
              </w:rPr>
              <w:t>Plan</w:t>
            </w:r>
          </w:p>
        </w:tc>
        <w:tc>
          <w:tcPr>
            <w:tcW w:w="1028" w:type="dxa"/>
            <w:tcBorders>
              <w:top w:val="single" w:sz="8" w:space="0" w:color="A6A5A6"/>
              <w:left w:val="nil"/>
              <w:right w:val="nil"/>
            </w:tcBorders>
            <w:shd w:val="clear" w:color="auto" w:fill="FFFFFF" w:themeFill="background1"/>
            <w:vAlign w:val="center"/>
          </w:tcPr>
          <w:p w14:paraId="377D54A4" w14:textId="77777777" w:rsidR="16A89082" w:rsidRDefault="16A89082" w:rsidP="16A89082">
            <w:pPr>
              <w:jc w:val="center"/>
              <w:rPr>
                <w:b/>
                <w:bCs/>
                <w:color w:val="auto"/>
                <w:sz w:val="20"/>
                <w:szCs w:val="20"/>
              </w:rPr>
            </w:pPr>
            <w:r w:rsidRPr="16A89082">
              <w:rPr>
                <w:b/>
                <w:bCs/>
                <w:color w:val="auto"/>
                <w:sz w:val="20"/>
                <w:szCs w:val="20"/>
              </w:rPr>
              <w:t>Plan</w:t>
            </w:r>
          </w:p>
        </w:tc>
      </w:tr>
      <w:tr w:rsidR="0034201C" w:rsidRPr="00B974FA" w14:paraId="2A3AD492" w14:textId="77777777" w:rsidTr="1FA2E292">
        <w:trPr>
          <w:trHeight w:val="282"/>
        </w:trPr>
        <w:tc>
          <w:tcPr>
            <w:tcW w:w="3982" w:type="dxa"/>
            <w:tcBorders>
              <w:bottom w:val="nil"/>
              <w:right w:val="nil"/>
            </w:tcBorders>
            <w:shd w:val="clear" w:color="auto" w:fill="FFFFFF" w:themeFill="background1"/>
            <w:vAlign w:val="center"/>
          </w:tcPr>
          <w:p w14:paraId="14492E74" w14:textId="77777777" w:rsidR="0034201C" w:rsidRPr="00B974FA" w:rsidRDefault="0034201C" w:rsidP="49996C8F">
            <w:pPr>
              <w:rPr>
                <w:b/>
                <w:bCs/>
                <w:color w:val="auto"/>
                <w:sz w:val="20"/>
                <w:szCs w:val="20"/>
              </w:rPr>
            </w:pPr>
          </w:p>
        </w:tc>
        <w:tc>
          <w:tcPr>
            <w:tcW w:w="1259" w:type="dxa"/>
            <w:tcBorders>
              <w:left w:val="nil"/>
              <w:bottom w:val="nil"/>
              <w:right w:val="nil"/>
            </w:tcBorders>
            <w:shd w:val="clear" w:color="auto" w:fill="auto"/>
            <w:vAlign w:val="center"/>
          </w:tcPr>
          <w:p w14:paraId="5687E2EB" w14:textId="77777777" w:rsidR="0034201C" w:rsidRPr="00B974FA" w:rsidRDefault="3FBEAC76" w:rsidP="49996C8F">
            <w:pPr>
              <w:jc w:val="center"/>
              <w:rPr>
                <w:b/>
                <w:bCs/>
                <w:color w:val="auto"/>
                <w:sz w:val="20"/>
                <w:szCs w:val="20"/>
              </w:rPr>
            </w:pPr>
            <w:r w:rsidRPr="49996C8F">
              <w:rPr>
                <w:b/>
                <w:bCs/>
                <w:color w:val="auto"/>
                <w:sz w:val="20"/>
                <w:szCs w:val="20"/>
              </w:rPr>
              <w:t>2024-25</w:t>
            </w:r>
          </w:p>
        </w:tc>
        <w:tc>
          <w:tcPr>
            <w:tcW w:w="1314" w:type="dxa"/>
            <w:tcBorders>
              <w:left w:val="nil"/>
              <w:bottom w:val="nil"/>
              <w:right w:val="nil"/>
            </w:tcBorders>
            <w:shd w:val="clear" w:color="auto" w:fill="D9D9D9" w:themeFill="background1" w:themeFillShade="D9"/>
            <w:vAlign w:val="center"/>
          </w:tcPr>
          <w:p w14:paraId="361935DA" w14:textId="77777777" w:rsidR="0034201C" w:rsidRPr="00B974FA" w:rsidRDefault="3FBEAC76" w:rsidP="49996C8F">
            <w:pPr>
              <w:jc w:val="center"/>
              <w:rPr>
                <w:b/>
                <w:bCs/>
                <w:color w:val="auto"/>
                <w:sz w:val="20"/>
                <w:szCs w:val="20"/>
              </w:rPr>
            </w:pPr>
            <w:r w:rsidRPr="49996C8F">
              <w:rPr>
                <w:b/>
                <w:bCs/>
                <w:color w:val="auto"/>
                <w:sz w:val="20"/>
                <w:szCs w:val="20"/>
              </w:rPr>
              <w:t>2025-26</w:t>
            </w:r>
          </w:p>
        </w:tc>
        <w:tc>
          <w:tcPr>
            <w:tcW w:w="1037" w:type="dxa"/>
            <w:tcBorders>
              <w:left w:val="nil"/>
              <w:bottom w:val="nil"/>
              <w:right w:val="nil"/>
            </w:tcBorders>
            <w:shd w:val="clear" w:color="auto" w:fill="FFFFFF" w:themeFill="background1"/>
            <w:vAlign w:val="center"/>
          </w:tcPr>
          <w:p w14:paraId="0033B5EE" w14:textId="77777777" w:rsidR="0034201C" w:rsidRPr="00B974FA" w:rsidRDefault="3FBEAC76" w:rsidP="49996C8F">
            <w:pPr>
              <w:jc w:val="center"/>
              <w:rPr>
                <w:b/>
                <w:bCs/>
                <w:color w:val="auto"/>
                <w:sz w:val="20"/>
                <w:szCs w:val="20"/>
              </w:rPr>
            </w:pPr>
            <w:r w:rsidRPr="49996C8F">
              <w:rPr>
                <w:b/>
                <w:bCs/>
                <w:color w:val="auto"/>
                <w:sz w:val="20"/>
                <w:szCs w:val="20"/>
              </w:rPr>
              <w:t>2026-27</w:t>
            </w:r>
          </w:p>
        </w:tc>
        <w:tc>
          <w:tcPr>
            <w:tcW w:w="1028" w:type="dxa"/>
            <w:tcBorders>
              <w:left w:val="nil"/>
              <w:bottom w:val="nil"/>
              <w:right w:val="nil"/>
            </w:tcBorders>
            <w:shd w:val="clear" w:color="auto" w:fill="FFFFFF" w:themeFill="background1"/>
            <w:vAlign w:val="center"/>
          </w:tcPr>
          <w:p w14:paraId="5AD714BF" w14:textId="77777777" w:rsidR="0034201C" w:rsidRPr="00B974FA" w:rsidRDefault="3FBEAC76" w:rsidP="49996C8F">
            <w:pPr>
              <w:jc w:val="center"/>
              <w:rPr>
                <w:b/>
                <w:bCs/>
                <w:color w:val="auto"/>
                <w:sz w:val="20"/>
                <w:szCs w:val="20"/>
              </w:rPr>
            </w:pPr>
            <w:r w:rsidRPr="49996C8F">
              <w:rPr>
                <w:b/>
                <w:bCs/>
                <w:color w:val="auto"/>
                <w:sz w:val="20"/>
                <w:szCs w:val="20"/>
              </w:rPr>
              <w:t>2027-28</w:t>
            </w:r>
          </w:p>
        </w:tc>
        <w:tc>
          <w:tcPr>
            <w:tcW w:w="1028" w:type="dxa"/>
            <w:tcBorders>
              <w:left w:val="nil"/>
              <w:bottom w:val="nil"/>
              <w:right w:val="nil"/>
            </w:tcBorders>
            <w:shd w:val="clear" w:color="auto" w:fill="FFFFFF" w:themeFill="background1"/>
            <w:vAlign w:val="center"/>
          </w:tcPr>
          <w:p w14:paraId="2967E7EF" w14:textId="387EE91B" w:rsidR="16A89082" w:rsidRDefault="16A89082" w:rsidP="16A89082">
            <w:pPr>
              <w:jc w:val="center"/>
              <w:rPr>
                <w:b/>
                <w:bCs/>
                <w:color w:val="auto"/>
                <w:sz w:val="20"/>
                <w:szCs w:val="20"/>
              </w:rPr>
            </w:pPr>
            <w:r w:rsidRPr="16A89082">
              <w:rPr>
                <w:b/>
                <w:bCs/>
                <w:color w:val="auto"/>
                <w:sz w:val="20"/>
                <w:szCs w:val="20"/>
              </w:rPr>
              <w:t>202</w:t>
            </w:r>
            <w:r w:rsidR="6EC18207" w:rsidRPr="16A89082">
              <w:rPr>
                <w:b/>
                <w:bCs/>
                <w:color w:val="auto"/>
                <w:sz w:val="20"/>
                <w:szCs w:val="20"/>
              </w:rPr>
              <w:t>8</w:t>
            </w:r>
            <w:r w:rsidRPr="16A89082">
              <w:rPr>
                <w:b/>
                <w:bCs/>
                <w:color w:val="auto"/>
                <w:sz w:val="20"/>
                <w:szCs w:val="20"/>
              </w:rPr>
              <w:t>-2</w:t>
            </w:r>
            <w:r w:rsidR="104D860A" w:rsidRPr="16A89082">
              <w:rPr>
                <w:b/>
                <w:bCs/>
                <w:color w:val="auto"/>
                <w:sz w:val="20"/>
                <w:szCs w:val="20"/>
              </w:rPr>
              <w:t>9</w:t>
            </w:r>
          </w:p>
        </w:tc>
      </w:tr>
      <w:tr w:rsidR="0034201C" w:rsidRPr="00B974FA" w14:paraId="691A6A55" w14:textId="77777777" w:rsidTr="1FA2E292">
        <w:trPr>
          <w:trHeight w:val="296"/>
        </w:trPr>
        <w:tc>
          <w:tcPr>
            <w:tcW w:w="3982" w:type="dxa"/>
            <w:tcBorders>
              <w:top w:val="nil"/>
              <w:left w:val="single" w:sz="8" w:space="0" w:color="FFFFFF" w:themeColor="background1"/>
              <w:bottom w:val="single" w:sz="8" w:space="0" w:color="A6A5A6"/>
              <w:right w:val="nil"/>
            </w:tcBorders>
            <w:vAlign w:val="center"/>
            <w:hideMark/>
          </w:tcPr>
          <w:p w14:paraId="2DF9A1E2" w14:textId="77777777" w:rsidR="0034201C" w:rsidRPr="00B974FA" w:rsidRDefault="0034201C" w:rsidP="49996C8F">
            <w:pPr>
              <w:rPr>
                <w:color w:val="auto"/>
                <w:sz w:val="20"/>
                <w:szCs w:val="20"/>
              </w:rPr>
            </w:pPr>
          </w:p>
        </w:tc>
        <w:tc>
          <w:tcPr>
            <w:tcW w:w="1259" w:type="dxa"/>
            <w:tcBorders>
              <w:top w:val="nil"/>
              <w:left w:val="nil"/>
              <w:bottom w:val="single" w:sz="8" w:space="0" w:color="A6A5A6"/>
              <w:right w:val="nil"/>
            </w:tcBorders>
            <w:shd w:val="clear" w:color="auto" w:fill="auto"/>
            <w:vAlign w:val="center"/>
          </w:tcPr>
          <w:p w14:paraId="5CC42175" w14:textId="77777777" w:rsidR="0034201C" w:rsidRPr="00B974FA" w:rsidRDefault="3FBEAC76" w:rsidP="49996C8F">
            <w:pPr>
              <w:jc w:val="center"/>
              <w:rPr>
                <w:color w:val="auto"/>
                <w:sz w:val="20"/>
                <w:szCs w:val="20"/>
              </w:rPr>
            </w:pPr>
            <w:r w:rsidRPr="49996C8F">
              <w:rPr>
                <w:b/>
                <w:bCs/>
                <w:color w:val="auto"/>
                <w:sz w:val="20"/>
                <w:szCs w:val="20"/>
              </w:rPr>
              <w:t>£m</w:t>
            </w:r>
          </w:p>
        </w:tc>
        <w:tc>
          <w:tcPr>
            <w:tcW w:w="1314" w:type="dxa"/>
            <w:tcBorders>
              <w:top w:val="nil"/>
              <w:left w:val="nil"/>
              <w:bottom w:val="single" w:sz="8" w:space="0" w:color="A6A5A6"/>
              <w:right w:val="nil"/>
            </w:tcBorders>
            <w:shd w:val="clear" w:color="auto" w:fill="D9D9D9" w:themeFill="background1" w:themeFillShade="D9"/>
            <w:vAlign w:val="center"/>
            <w:hideMark/>
          </w:tcPr>
          <w:p w14:paraId="6B4474D8" w14:textId="77777777" w:rsidR="0034201C" w:rsidRPr="00B974FA" w:rsidRDefault="3FBEAC76" w:rsidP="49996C8F">
            <w:pPr>
              <w:jc w:val="center"/>
              <w:rPr>
                <w:color w:val="auto"/>
                <w:sz w:val="20"/>
                <w:szCs w:val="20"/>
              </w:rPr>
            </w:pPr>
            <w:r w:rsidRPr="49996C8F">
              <w:rPr>
                <w:b/>
                <w:bCs/>
                <w:color w:val="auto"/>
                <w:sz w:val="20"/>
                <w:szCs w:val="20"/>
              </w:rPr>
              <w:t>£m</w:t>
            </w:r>
          </w:p>
        </w:tc>
        <w:tc>
          <w:tcPr>
            <w:tcW w:w="1037" w:type="dxa"/>
            <w:tcBorders>
              <w:top w:val="nil"/>
              <w:left w:val="nil"/>
              <w:bottom w:val="single" w:sz="8" w:space="0" w:color="A6A5A6"/>
              <w:right w:val="nil"/>
            </w:tcBorders>
            <w:shd w:val="clear" w:color="auto" w:fill="FFFFFF" w:themeFill="background1"/>
            <w:vAlign w:val="center"/>
            <w:hideMark/>
          </w:tcPr>
          <w:p w14:paraId="3C437F86" w14:textId="77777777" w:rsidR="0034201C" w:rsidRPr="00B974FA" w:rsidRDefault="3FBEAC76" w:rsidP="49996C8F">
            <w:pPr>
              <w:jc w:val="center"/>
              <w:rPr>
                <w:color w:val="auto"/>
                <w:sz w:val="20"/>
                <w:szCs w:val="20"/>
              </w:rPr>
            </w:pPr>
            <w:r w:rsidRPr="49996C8F">
              <w:rPr>
                <w:b/>
                <w:bCs/>
                <w:color w:val="auto"/>
                <w:sz w:val="20"/>
                <w:szCs w:val="20"/>
              </w:rPr>
              <w:t>£m</w:t>
            </w:r>
          </w:p>
        </w:tc>
        <w:tc>
          <w:tcPr>
            <w:tcW w:w="1028" w:type="dxa"/>
            <w:tcBorders>
              <w:top w:val="nil"/>
              <w:left w:val="nil"/>
              <w:bottom w:val="single" w:sz="8" w:space="0" w:color="A6A5A6"/>
              <w:right w:val="nil"/>
            </w:tcBorders>
            <w:shd w:val="clear" w:color="auto" w:fill="FFFFFF" w:themeFill="background1"/>
            <w:vAlign w:val="center"/>
            <w:hideMark/>
          </w:tcPr>
          <w:p w14:paraId="048017AB" w14:textId="77777777" w:rsidR="0034201C" w:rsidRPr="00B974FA" w:rsidRDefault="3FBEAC76" w:rsidP="49996C8F">
            <w:pPr>
              <w:jc w:val="center"/>
              <w:rPr>
                <w:color w:val="auto"/>
                <w:sz w:val="20"/>
                <w:szCs w:val="20"/>
              </w:rPr>
            </w:pPr>
            <w:r w:rsidRPr="49996C8F">
              <w:rPr>
                <w:b/>
                <w:bCs/>
                <w:color w:val="auto"/>
                <w:sz w:val="20"/>
                <w:szCs w:val="20"/>
              </w:rPr>
              <w:t>£m</w:t>
            </w:r>
          </w:p>
        </w:tc>
        <w:tc>
          <w:tcPr>
            <w:tcW w:w="1028" w:type="dxa"/>
            <w:tcBorders>
              <w:top w:val="nil"/>
              <w:left w:val="nil"/>
              <w:bottom w:val="single" w:sz="8" w:space="0" w:color="A6A5A6"/>
              <w:right w:val="nil"/>
            </w:tcBorders>
            <w:shd w:val="clear" w:color="auto" w:fill="FFFFFF" w:themeFill="background1"/>
            <w:vAlign w:val="center"/>
          </w:tcPr>
          <w:p w14:paraId="59FC8D33" w14:textId="77777777" w:rsidR="16A89082" w:rsidRDefault="16A89082" w:rsidP="16A89082">
            <w:pPr>
              <w:jc w:val="center"/>
              <w:rPr>
                <w:color w:val="auto"/>
                <w:sz w:val="20"/>
                <w:szCs w:val="20"/>
              </w:rPr>
            </w:pPr>
            <w:r w:rsidRPr="16A89082">
              <w:rPr>
                <w:b/>
                <w:bCs/>
                <w:color w:val="auto"/>
                <w:sz w:val="20"/>
                <w:szCs w:val="20"/>
              </w:rPr>
              <w:t>£m</w:t>
            </w:r>
          </w:p>
        </w:tc>
      </w:tr>
      <w:tr w:rsidR="0034201C" w:rsidRPr="00B974FA" w14:paraId="2C369C24" w14:textId="77777777" w:rsidTr="1FA2E292">
        <w:trPr>
          <w:trHeight w:val="296"/>
        </w:trPr>
        <w:tc>
          <w:tcPr>
            <w:tcW w:w="3982" w:type="dxa"/>
            <w:tcBorders>
              <w:top w:val="nil"/>
              <w:left w:val="single" w:sz="8" w:space="0" w:color="FFFFFF" w:themeColor="background1"/>
              <w:bottom w:val="single" w:sz="8" w:space="0" w:color="A6A5A6"/>
              <w:right w:val="nil"/>
            </w:tcBorders>
            <w:vAlign w:val="center"/>
            <w:hideMark/>
          </w:tcPr>
          <w:p w14:paraId="51828C18" w14:textId="77777777" w:rsidR="0034201C" w:rsidRPr="00B974FA" w:rsidRDefault="3FBEAC76" w:rsidP="49996C8F">
            <w:pPr>
              <w:rPr>
                <w:color w:val="auto"/>
                <w:sz w:val="20"/>
                <w:szCs w:val="20"/>
              </w:rPr>
            </w:pPr>
            <w:r w:rsidRPr="49996C8F">
              <w:rPr>
                <w:color w:val="auto"/>
                <w:sz w:val="20"/>
                <w:szCs w:val="20"/>
              </w:rPr>
              <w:t>External interest cost</w:t>
            </w:r>
          </w:p>
        </w:tc>
        <w:tc>
          <w:tcPr>
            <w:tcW w:w="1259" w:type="dxa"/>
            <w:tcBorders>
              <w:top w:val="nil"/>
              <w:left w:val="nil"/>
              <w:bottom w:val="single" w:sz="8" w:space="0" w:color="A6A5A6"/>
              <w:right w:val="nil"/>
            </w:tcBorders>
            <w:shd w:val="clear" w:color="auto" w:fill="auto"/>
            <w:vAlign w:val="center"/>
          </w:tcPr>
          <w:p w14:paraId="18454DF6" w14:textId="4BE3DE7B" w:rsidR="0034201C" w:rsidRPr="00B974FA" w:rsidRDefault="1A93123A" w:rsidP="49996C8F">
            <w:pPr>
              <w:jc w:val="center"/>
              <w:rPr>
                <w:color w:val="auto"/>
                <w:sz w:val="20"/>
                <w:szCs w:val="20"/>
              </w:rPr>
            </w:pPr>
            <w:r w:rsidRPr="1FA2E292">
              <w:rPr>
                <w:color w:val="auto"/>
                <w:sz w:val="20"/>
                <w:szCs w:val="20"/>
              </w:rPr>
              <w:t>1.</w:t>
            </w:r>
            <w:r w:rsidR="54CFA9F7" w:rsidRPr="1FA2E292">
              <w:rPr>
                <w:color w:val="auto"/>
                <w:sz w:val="20"/>
                <w:szCs w:val="20"/>
              </w:rPr>
              <w:t>4</w:t>
            </w:r>
          </w:p>
        </w:tc>
        <w:tc>
          <w:tcPr>
            <w:tcW w:w="1314" w:type="dxa"/>
            <w:tcBorders>
              <w:top w:val="nil"/>
              <w:left w:val="nil"/>
              <w:bottom w:val="single" w:sz="8" w:space="0" w:color="A6A5A6"/>
              <w:right w:val="nil"/>
            </w:tcBorders>
            <w:shd w:val="clear" w:color="auto" w:fill="D9D9D9" w:themeFill="background1" w:themeFillShade="D9"/>
            <w:vAlign w:val="center"/>
          </w:tcPr>
          <w:p w14:paraId="35CC96A8" w14:textId="7FDAF82F" w:rsidR="0034201C" w:rsidRPr="00B974FA" w:rsidRDefault="7FE95467">
            <w:pPr>
              <w:spacing w:line="259" w:lineRule="auto"/>
              <w:jc w:val="center"/>
              <w:rPr>
                <w:rFonts w:eastAsia="Foundry Form Sans" w:cs="Foundry Form Sans"/>
                <w:sz w:val="20"/>
                <w:szCs w:val="20"/>
              </w:rPr>
            </w:pPr>
            <w:r w:rsidRPr="1FA2E292">
              <w:rPr>
                <w:color w:val="auto"/>
                <w:sz w:val="20"/>
                <w:szCs w:val="20"/>
              </w:rPr>
              <w:t>4.5</w:t>
            </w:r>
          </w:p>
        </w:tc>
        <w:tc>
          <w:tcPr>
            <w:tcW w:w="1037" w:type="dxa"/>
            <w:tcBorders>
              <w:top w:val="nil"/>
              <w:left w:val="nil"/>
              <w:bottom w:val="single" w:sz="8" w:space="0" w:color="A6A5A6"/>
              <w:right w:val="nil"/>
            </w:tcBorders>
            <w:vAlign w:val="center"/>
          </w:tcPr>
          <w:p w14:paraId="04BC7F08" w14:textId="69B5DE3E" w:rsidR="0034201C" w:rsidRPr="00B974FA" w:rsidRDefault="4B922004" w:rsidP="49996C8F">
            <w:pPr>
              <w:jc w:val="center"/>
              <w:rPr>
                <w:color w:val="auto"/>
                <w:sz w:val="20"/>
                <w:szCs w:val="20"/>
              </w:rPr>
            </w:pPr>
            <w:r w:rsidRPr="1FA2E292">
              <w:rPr>
                <w:color w:val="auto"/>
                <w:sz w:val="20"/>
                <w:szCs w:val="20"/>
              </w:rPr>
              <w:t>7.3</w:t>
            </w:r>
          </w:p>
        </w:tc>
        <w:tc>
          <w:tcPr>
            <w:tcW w:w="1028" w:type="dxa"/>
            <w:tcBorders>
              <w:top w:val="nil"/>
              <w:left w:val="nil"/>
              <w:bottom w:val="single" w:sz="8" w:space="0" w:color="A6A5A6"/>
              <w:right w:val="nil"/>
            </w:tcBorders>
            <w:vAlign w:val="center"/>
          </w:tcPr>
          <w:p w14:paraId="4E61FAC5" w14:textId="261D4495" w:rsidR="0034201C" w:rsidRPr="00B974FA" w:rsidRDefault="1287D4FB" w:rsidP="00587E59">
            <w:pPr>
              <w:spacing w:line="259" w:lineRule="auto"/>
              <w:jc w:val="center"/>
              <w:rPr>
                <w:rFonts w:eastAsia="Foundry Form Sans" w:cs="Foundry Form Sans"/>
                <w:sz w:val="20"/>
                <w:szCs w:val="20"/>
              </w:rPr>
            </w:pPr>
            <w:r w:rsidRPr="1FA2E292">
              <w:rPr>
                <w:color w:val="auto"/>
                <w:sz w:val="20"/>
                <w:szCs w:val="20"/>
              </w:rPr>
              <w:t>8.1</w:t>
            </w:r>
          </w:p>
        </w:tc>
        <w:tc>
          <w:tcPr>
            <w:tcW w:w="1028" w:type="dxa"/>
            <w:tcBorders>
              <w:top w:val="nil"/>
              <w:left w:val="nil"/>
              <w:bottom w:val="single" w:sz="8" w:space="0" w:color="A6A5A6"/>
              <w:right w:val="nil"/>
            </w:tcBorders>
            <w:vAlign w:val="center"/>
          </w:tcPr>
          <w:p w14:paraId="05CE48AE" w14:textId="6F9CF4E4" w:rsidR="144D0248" w:rsidRDefault="14EE6741" w:rsidP="16A89082">
            <w:pPr>
              <w:jc w:val="center"/>
              <w:rPr>
                <w:color w:val="auto"/>
                <w:sz w:val="20"/>
                <w:szCs w:val="20"/>
              </w:rPr>
            </w:pPr>
            <w:r w:rsidRPr="1FA2E292">
              <w:rPr>
                <w:color w:val="auto"/>
                <w:sz w:val="20"/>
                <w:szCs w:val="20"/>
              </w:rPr>
              <w:t>8.1</w:t>
            </w:r>
          </w:p>
        </w:tc>
      </w:tr>
      <w:tr w:rsidR="0034201C" w:rsidRPr="00B974FA" w14:paraId="1BD858D3" w14:textId="77777777" w:rsidTr="1FA2E292">
        <w:trPr>
          <w:trHeight w:val="296"/>
        </w:trPr>
        <w:tc>
          <w:tcPr>
            <w:tcW w:w="3982" w:type="dxa"/>
            <w:tcBorders>
              <w:top w:val="nil"/>
              <w:left w:val="single" w:sz="8" w:space="0" w:color="FFFFFF" w:themeColor="background1"/>
              <w:bottom w:val="single" w:sz="8" w:space="0" w:color="A6A5A6"/>
              <w:right w:val="nil"/>
            </w:tcBorders>
            <w:shd w:val="clear" w:color="auto" w:fill="FFFFFF" w:themeFill="background1"/>
            <w:vAlign w:val="center"/>
            <w:hideMark/>
          </w:tcPr>
          <w:p w14:paraId="4610E2FA" w14:textId="77777777" w:rsidR="0034201C" w:rsidRPr="00B974FA" w:rsidRDefault="3FBEAC76" w:rsidP="49996C8F">
            <w:pPr>
              <w:rPr>
                <w:b/>
                <w:bCs/>
                <w:color w:val="auto"/>
                <w:sz w:val="20"/>
                <w:szCs w:val="20"/>
              </w:rPr>
            </w:pPr>
            <w:r w:rsidRPr="49996C8F">
              <w:rPr>
                <w:b/>
                <w:bCs/>
                <w:color w:val="auto"/>
                <w:sz w:val="20"/>
                <w:szCs w:val="20"/>
              </w:rPr>
              <w:t>Total</w:t>
            </w:r>
          </w:p>
        </w:tc>
        <w:tc>
          <w:tcPr>
            <w:tcW w:w="1259" w:type="dxa"/>
            <w:tcBorders>
              <w:top w:val="nil"/>
              <w:left w:val="nil"/>
              <w:bottom w:val="single" w:sz="8" w:space="0" w:color="A6A5A6"/>
              <w:right w:val="nil"/>
            </w:tcBorders>
            <w:shd w:val="clear" w:color="auto" w:fill="auto"/>
            <w:vAlign w:val="center"/>
          </w:tcPr>
          <w:p w14:paraId="10E058C1" w14:textId="736BC5D0" w:rsidR="0034201C" w:rsidRPr="00B974FA" w:rsidRDefault="79C05806" w:rsidP="49996C8F">
            <w:pPr>
              <w:jc w:val="center"/>
              <w:rPr>
                <w:b/>
                <w:bCs/>
                <w:color w:val="auto"/>
                <w:sz w:val="20"/>
                <w:szCs w:val="20"/>
              </w:rPr>
            </w:pPr>
            <w:r w:rsidRPr="1FA2E292">
              <w:rPr>
                <w:b/>
                <w:bCs/>
                <w:color w:val="auto"/>
                <w:sz w:val="20"/>
                <w:szCs w:val="20"/>
              </w:rPr>
              <w:t>1.</w:t>
            </w:r>
            <w:r w:rsidR="036860D8" w:rsidRPr="1FA2E292">
              <w:rPr>
                <w:b/>
                <w:bCs/>
                <w:color w:val="auto"/>
                <w:sz w:val="20"/>
                <w:szCs w:val="20"/>
              </w:rPr>
              <w:t>4</w:t>
            </w:r>
          </w:p>
        </w:tc>
        <w:tc>
          <w:tcPr>
            <w:tcW w:w="1314" w:type="dxa"/>
            <w:tcBorders>
              <w:top w:val="nil"/>
              <w:left w:val="nil"/>
              <w:bottom w:val="single" w:sz="8" w:space="0" w:color="A6A5A6"/>
              <w:right w:val="nil"/>
            </w:tcBorders>
            <w:shd w:val="clear" w:color="auto" w:fill="D9D9D9" w:themeFill="background1" w:themeFillShade="D9"/>
            <w:vAlign w:val="center"/>
          </w:tcPr>
          <w:p w14:paraId="09B9A5FB" w14:textId="307621AE" w:rsidR="0034201C" w:rsidRPr="00B974FA" w:rsidRDefault="79826292" w:rsidP="49996C8F">
            <w:pPr>
              <w:jc w:val="center"/>
              <w:rPr>
                <w:b/>
                <w:bCs/>
                <w:color w:val="auto"/>
                <w:sz w:val="20"/>
                <w:szCs w:val="20"/>
              </w:rPr>
            </w:pPr>
            <w:r w:rsidRPr="1FA2E292">
              <w:rPr>
                <w:b/>
                <w:bCs/>
                <w:color w:val="auto"/>
                <w:sz w:val="20"/>
                <w:szCs w:val="20"/>
              </w:rPr>
              <w:t>4.5</w:t>
            </w:r>
          </w:p>
        </w:tc>
        <w:tc>
          <w:tcPr>
            <w:tcW w:w="1037" w:type="dxa"/>
            <w:tcBorders>
              <w:top w:val="nil"/>
              <w:left w:val="nil"/>
              <w:bottom w:val="single" w:sz="8" w:space="0" w:color="A6A5A6"/>
              <w:right w:val="nil"/>
            </w:tcBorders>
            <w:vAlign w:val="center"/>
          </w:tcPr>
          <w:p w14:paraId="322134B3" w14:textId="1FA37BBC" w:rsidR="0034201C" w:rsidRPr="00B974FA" w:rsidRDefault="0C10C2A2" w:rsidP="49996C8F">
            <w:pPr>
              <w:jc w:val="center"/>
              <w:rPr>
                <w:b/>
                <w:bCs/>
                <w:color w:val="auto"/>
                <w:sz w:val="20"/>
                <w:szCs w:val="20"/>
              </w:rPr>
            </w:pPr>
            <w:r w:rsidRPr="1FA2E292">
              <w:rPr>
                <w:b/>
                <w:bCs/>
                <w:color w:val="auto"/>
                <w:sz w:val="20"/>
                <w:szCs w:val="20"/>
              </w:rPr>
              <w:t>7.3</w:t>
            </w:r>
          </w:p>
        </w:tc>
        <w:tc>
          <w:tcPr>
            <w:tcW w:w="1028" w:type="dxa"/>
            <w:tcBorders>
              <w:top w:val="nil"/>
              <w:left w:val="nil"/>
              <w:bottom w:val="single" w:sz="8" w:space="0" w:color="A6A5A6"/>
              <w:right w:val="nil"/>
            </w:tcBorders>
            <w:vAlign w:val="center"/>
          </w:tcPr>
          <w:p w14:paraId="3EEF7871" w14:textId="5C614465" w:rsidR="0034201C" w:rsidRPr="00B974FA" w:rsidRDefault="18EC20D1" w:rsidP="49996C8F">
            <w:pPr>
              <w:jc w:val="center"/>
              <w:rPr>
                <w:b/>
                <w:bCs/>
                <w:color w:val="auto"/>
                <w:sz w:val="20"/>
                <w:szCs w:val="20"/>
              </w:rPr>
            </w:pPr>
            <w:r w:rsidRPr="1FA2E292">
              <w:rPr>
                <w:b/>
                <w:bCs/>
                <w:color w:val="auto"/>
                <w:sz w:val="20"/>
                <w:szCs w:val="20"/>
              </w:rPr>
              <w:t>8.1</w:t>
            </w:r>
          </w:p>
        </w:tc>
        <w:tc>
          <w:tcPr>
            <w:tcW w:w="1028" w:type="dxa"/>
            <w:tcBorders>
              <w:top w:val="nil"/>
              <w:left w:val="nil"/>
              <w:bottom w:val="single" w:sz="8" w:space="0" w:color="A6A5A6"/>
              <w:right w:val="nil"/>
            </w:tcBorders>
            <w:vAlign w:val="center"/>
          </w:tcPr>
          <w:p w14:paraId="25C6C597" w14:textId="33C10F7A" w:rsidR="707FEBED" w:rsidRDefault="60BBAD35" w:rsidP="00587E59">
            <w:pPr>
              <w:spacing w:line="259" w:lineRule="auto"/>
              <w:jc w:val="center"/>
              <w:rPr>
                <w:rFonts w:eastAsia="Foundry Form Sans" w:cs="Foundry Form Sans"/>
                <w:sz w:val="20"/>
                <w:szCs w:val="20"/>
              </w:rPr>
            </w:pPr>
            <w:r w:rsidRPr="1FA2E292">
              <w:rPr>
                <w:b/>
                <w:bCs/>
                <w:color w:val="auto"/>
                <w:sz w:val="20"/>
                <w:szCs w:val="20"/>
              </w:rPr>
              <w:t>8.1</w:t>
            </w:r>
          </w:p>
        </w:tc>
      </w:tr>
    </w:tbl>
    <w:p w14:paraId="764D4145" w14:textId="77777777" w:rsidR="00AD0B2C" w:rsidRDefault="00AD0B2C" w:rsidP="00797FC8">
      <w:pPr>
        <w:ind w:left="680"/>
        <w:rPr>
          <w:rFonts w:eastAsiaTheme="minorEastAsia"/>
          <w:b/>
          <w:bCs/>
          <w:color w:val="auto"/>
        </w:rPr>
      </w:pPr>
    </w:p>
    <w:p w14:paraId="18D110B7" w14:textId="6F6AFBDD" w:rsidR="16A89082" w:rsidRPr="00D672F0" w:rsidRDefault="65935131" w:rsidP="00797FC8">
      <w:pPr>
        <w:ind w:left="680"/>
        <w:rPr>
          <w:rFonts w:eastAsiaTheme="minorEastAsia"/>
          <w:b/>
          <w:bCs/>
          <w:color w:val="auto"/>
        </w:rPr>
      </w:pPr>
      <w:r w:rsidRPr="23D8A931">
        <w:rPr>
          <w:rFonts w:eastAsiaTheme="minorEastAsia"/>
          <w:b/>
          <w:bCs/>
          <w:color w:val="auto"/>
        </w:rPr>
        <w:t>20-Year Capital Requirement</w:t>
      </w:r>
    </w:p>
    <w:p w14:paraId="4946B470" w14:textId="10A57DC9" w:rsidR="16A89082" w:rsidRPr="00D672F0" w:rsidRDefault="65935131" w:rsidP="003B6A3E">
      <w:pPr>
        <w:pStyle w:val="ListParagraph"/>
        <w:numPr>
          <w:ilvl w:val="0"/>
          <w:numId w:val="39"/>
        </w:numPr>
        <w:spacing w:before="240"/>
        <w:jc w:val="both"/>
        <w:rPr>
          <w:rFonts w:eastAsiaTheme="minorEastAsia"/>
          <w:color w:val="auto"/>
        </w:rPr>
      </w:pPr>
      <w:r w:rsidRPr="00D672F0">
        <w:rPr>
          <w:rFonts w:eastAsiaTheme="minorEastAsia"/>
          <w:color w:val="auto"/>
        </w:rPr>
        <w:t xml:space="preserve">Whilst OPDC explores opportunities to secure additional capital funding from </w:t>
      </w:r>
      <w:r w:rsidRPr="00D672F0" w:rsidDel="0026393C">
        <w:rPr>
          <w:rFonts w:eastAsiaTheme="minorEastAsia"/>
          <w:color w:val="auto"/>
        </w:rPr>
        <w:t>government</w:t>
      </w:r>
      <w:r w:rsidRPr="00D672F0">
        <w:rPr>
          <w:rFonts w:eastAsiaTheme="minorEastAsia"/>
          <w:color w:val="auto"/>
        </w:rPr>
        <w:t xml:space="preserve">, its agencies and private developers, the </w:t>
      </w:r>
      <w:proofErr w:type="gramStart"/>
      <w:r w:rsidRPr="00D672F0">
        <w:rPr>
          <w:rFonts w:eastAsiaTheme="minorEastAsia"/>
          <w:color w:val="auto"/>
        </w:rPr>
        <w:t>Mayor</w:t>
      </w:r>
      <w:proofErr w:type="gramEnd"/>
      <w:r w:rsidRPr="00D672F0">
        <w:rPr>
          <w:rFonts w:eastAsiaTheme="minorEastAsia"/>
          <w:color w:val="auto"/>
        </w:rPr>
        <w:t xml:space="preserve"> proposes that capital support to OPDC </w:t>
      </w:r>
      <w:r w:rsidR="49EC0B8A" w:rsidRPr="36A56128">
        <w:rPr>
          <w:rFonts w:eastAsiaTheme="minorEastAsia"/>
          <w:color w:val="auto"/>
        </w:rPr>
        <w:t xml:space="preserve">should be provided as loan funding. This funding would be </w:t>
      </w:r>
      <w:r w:rsidRPr="00D672F0">
        <w:rPr>
          <w:rFonts w:eastAsiaTheme="minorEastAsia"/>
          <w:color w:val="auto"/>
        </w:rPr>
        <w:t>to finance land acquisition, infrastructure and enabling works and associated due diligence costs for the purpose</w:t>
      </w:r>
      <w:r w:rsidR="0072655B">
        <w:rPr>
          <w:rFonts w:eastAsiaTheme="minorEastAsia"/>
          <w:color w:val="auto"/>
        </w:rPr>
        <w:t>s</w:t>
      </w:r>
      <w:r w:rsidRPr="00D672F0">
        <w:rPr>
          <w:rFonts w:eastAsiaTheme="minorEastAsia"/>
          <w:color w:val="auto"/>
        </w:rPr>
        <w:t xml:space="preserve"> of </w:t>
      </w:r>
      <w:r w:rsidR="0072655B">
        <w:rPr>
          <w:rFonts w:eastAsiaTheme="minorEastAsia"/>
          <w:color w:val="auto"/>
        </w:rPr>
        <w:t xml:space="preserve">both </w:t>
      </w:r>
      <w:r w:rsidR="0026393C">
        <w:rPr>
          <w:rFonts w:eastAsiaTheme="minorEastAsia"/>
          <w:color w:val="auto"/>
        </w:rPr>
        <w:t>de</w:t>
      </w:r>
      <w:r w:rsidR="007573E9">
        <w:rPr>
          <w:rFonts w:eastAsiaTheme="minorEastAsia"/>
          <w:color w:val="auto"/>
        </w:rPr>
        <w:t>-</w:t>
      </w:r>
      <w:r w:rsidR="0026393C">
        <w:rPr>
          <w:rFonts w:eastAsiaTheme="minorEastAsia"/>
          <w:color w:val="auto"/>
        </w:rPr>
        <w:t xml:space="preserve">risking delivery and </w:t>
      </w:r>
      <w:r w:rsidRPr="00D672F0">
        <w:rPr>
          <w:rFonts w:eastAsiaTheme="minorEastAsia"/>
          <w:color w:val="auto"/>
        </w:rPr>
        <w:t>accelerating OPDC’s target of 1,100 homes within its development area, by 31 March 2029</w:t>
      </w:r>
      <w:r w:rsidR="1F54AC5F" w:rsidRPr="36A56128">
        <w:rPr>
          <w:rFonts w:eastAsiaTheme="minorEastAsia"/>
          <w:color w:val="auto"/>
        </w:rPr>
        <w:t>.</w:t>
      </w:r>
    </w:p>
    <w:p w14:paraId="7F6F4A89" w14:textId="77777777" w:rsidR="00797FC8" w:rsidRPr="00D672F0" w:rsidRDefault="00797FC8" w:rsidP="00797FC8">
      <w:pPr>
        <w:pStyle w:val="ListParagraph"/>
        <w:spacing w:before="240"/>
        <w:ind w:left="680"/>
        <w:jc w:val="both"/>
        <w:rPr>
          <w:rFonts w:eastAsiaTheme="minorEastAsia"/>
          <w:color w:val="auto"/>
        </w:rPr>
      </w:pPr>
    </w:p>
    <w:p w14:paraId="3465E576" w14:textId="7295E1A9" w:rsidR="65935131" w:rsidRPr="00D672F0" w:rsidRDefault="7C9D66DA" w:rsidP="003B6A3E">
      <w:pPr>
        <w:pStyle w:val="ListParagraph"/>
        <w:numPr>
          <w:ilvl w:val="0"/>
          <w:numId w:val="39"/>
        </w:numPr>
        <w:spacing w:before="240"/>
        <w:jc w:val="both"/>
        <w:rPr>
          <w:rFonts w:eastAsiaTheme="minorEastAsia"/>
          <w:color w:val="auto"/>
        </w:rPr>
      </w:pPr>
      <w:r w:rsidRPr="00D672F0">
        <w:rPr>
          <w:rFonts w:eastAsiaTheme="minorEastAsia"/>
          <w:color w:val="auto"/>
        </w:rPr>
        <w:t xml:space="preserve">OPDC </w:t>
      </w:r>
      <w:r w:rsidR="006C18D2">
        <w:rPr>
          <w:rFonts w:eastAsiaTheme="minorEastAsia"/>
          <w:color w:val="auto"/>
        </w:rPr>
        <w:t xml:space="preserve">will </w:t>
      </w:r>
      <w:r w:rsidRPr="00D672F0">
        <w:rPr>
          <w:rFonts w:eastAsiaTheme="minorEastAsia"/>
          <w:color w:val="auto"/>
        </w:rPr>
        <w:t xml:space="preserve">continue to move forward with plans for delivery; continuing to acquire and commit to securing the private land needed for the scheme. </w:t>
      </w:r>
    </w:p>
    <w:p w14:paraId="5D6667EC" w14:textId="611C716F" w:rsidR="65935131" w:rsidRDefault="65935131" w:rsidP="00797FC8">
      <w:pPr>
        <w:keepLines/>
        <w:spacing w:before="375" w:after="375" w:line="276" w:lineRule="auto"/>
        <w:ind w:left="680"/>
        <w:jc w:val="both"/>
        <w:rPr>
          <w:rFonts w:eastAsiaTheme="minorEastAsia"/>
          <w:b/>
          <w:bCs/>
          <w:color w:val="auto"/>
        </w:rPr>
      </w:pPr>
      <w:r w:rsidRPr="23D8A931">
        <w:rPr>
          <w:rFonts w:eastAsiaTheme="minorEastAsia"/>
          <w:b/>
          <w:bCs/>
          <w:color w:val="auto"/>
        </w:rPr>
        <w:t xml:space="preserve">20-Year Capital Investment Plan </w:t>
      </w:r>
    </w:p>
    <w:p w14:paraId="58242A4A" w14:textId="3CA8FB74" w:rsidR="16A89082" w:rsidRDefault="4404DE13" w:rsidP="003B6A3E">
      <w:pPr>
        <w:pStyle w:val="ListParagraph"/>
        <w:numPr>
          <w:ilvl w:val="0"/>
          <w:numId w:val="39"/>
        </w:numPr>
        <w:spacing w:before="375" w:after="375" w:line="259" w:lineRule="auto"/>
        <w:jc w:val="both"/>
        <w:rPr>
          <w:rFonts w:eastAsia="Foundry Form Sans" w:cs="Foundry Form Sans"/>
          <w:color w:val="auto"/>
        </w:rPr>
      </w:pPr>
      <w:r w:rsidRPr="07195704">
        <w:rPr>
          <w:rFonts w:eastAsia="Foundry Form Sans" w:cs="Foundry Form Sans"/>
          <w:color w:val="auto"/>
        </w:rPr>
        <w:t xml:space="preserve">OPDC’s </w:t>
      </w:r>
      <w:r w:rsidR="7C1AB741" w:rsidRPr="07195704">
        <w:rPr>
          <w:rFonts w:eastAsia="Foundry Form Sans" w:cs="Foundry Form Sans"/>
          <w:color w:val="auto"/>
        </w:rPr>
        <w:t>capital spending</w:t>
      </w:r>
      <w:r w:rsidR="11094D12" w:rsidRPr="07195704">
        <w:rPr>
          <w:rFonts w:eastAsia="Foundry Form Sans" w:cs="Foundry Form Sans"/>
          <w:color w:val="auto"/>
        </w:rPr>
        <w:t xml:space="preserve"> plan</w:t>
      </w:r>
      <w:r w:rsidRPr="07195704">
        <w:rPr>
          <w:rFonts w:eastAsia="Foundry Form Sans" w:cs="Foundry Form Sans"/>
          <w:color w:val="auto"/>
        </w:rPr>
        <w:t xml:space="preserve"> is outlined in Table </w:t>
      </w:r>
      <w:r w:rsidR="5EB4BFA6" w:rsidRPr="07195704">
        <w:rPr>
          <w:rFonts w:eastAsia="Foundry Form Sans" w:cs="Foundry Form Sans"/>
          <w:color w:val="auto"/>
        </w:rPr>
        <w:t xml:space="preserve">5 </w:t>
      </w:r>
      <w:r w:rsidRPr="07195704">
        <w:rPr>
          <w:rFonts w:eastAsia="Foundry Form Sans" w:cs="Foundry Form Sans"/>
          <w:color w:val="auto"/>
        </w:rPr>
        <w:t>below.</w:t>
      </w:r>
    </w:p>
    <w:p w14:paraId="1CD75B37" w14:textId="3956D27E" w:rsidR="313BCA7D" w:rsidRDefault="313BCA7D" w:rsidP="00797FC8">
      <w:pPr>
        <w:spacing w:before="375" w:after="375" w:line="259" w:lineRule="auto"/>
        <w:ind w:left="680"/>
        <w:jc w:val="both"/>
        <w:rPr>
          <w:rFonts w:eastAsia="Foundry Form Sans" w:cs="Foundry Form Sans"/>
          <w:b/>
          <w:bCs/>
          <w:color w:val="auto"/>
        </w:rPr>
      </w:pPr>
      <w:r w:rsidRPr="07195704">
        <w:rPr>
          <w:rFonts w:eastAsia="Foundry Form Sans" w:cs="Foundry Form Sans"/>
          <w:b/>
          <w:bCs/>
          <w:color w:val="auto"/>
        </w:rPr>
        <w:t>Table 5: OPDC - 20 Year Capital Spending Plan</w:t>
      </w:r>
    </w:p>
    <w:tbl>
      <w:tblPr>
        <w:tblW w:w="9725" w:type="dxa"/>
        <w:tblInd w:w="705" w:type="dxa"/>
        <w:tblLayout w:type="fixed"/>
        <w:tblLook w:val="06A0" w:firstRow="1" w:lastRow="0" w:firstColumn="1" w:lastColumn="0" w:noHBand="1" w:noVBand="1"/>
      </w:tblPr>
      <w:tblGrid>
        <w:gridCol w:w="1573"/>
        <w:gridCol w:w="152"/>
        <w:gridCol w:w="1011"/>
        <w:gridCol w:w="1036"/>
        <w:gridCol w:w="847"/>
        <w:gridCol w:w="1006"/>
        <w:gridCol w:w="831"/>
        <w:gridCol w:w="1158"/>
        <w:gridCol w:w="1074"/>
        <w:gridCol w:w="1037"/>
      </w:tblGrid>
      <w:tr w:rsidR="07195704" w14:paraId="775B0EE4" w14:textId="77777777" w:rsidTr="00797FC8">
        <w:trPr>
          <w:trHeight w:val="531"/>
        </w:trPr>
        <w:tc>
          <w:tcPr>
            <w:tcW w:w="1573" w:type="dxa"/>
            <w:tcBorders>
              <w:top w:val="nil"/>
              <w:left w:val="nil"/>
              <w:bottom w:val="nil"/>
              <w:right w:val="nil"/>
            </w:tcBorders>
            <w:shd w:val="clear" w:color="auto" w:fill="FFFFFF" w:themeFill="background1"/>
            <w:tcMar>
              <w:top w:w="15" w:type="dxa"/>
              <w:left w:w="15" w:type="dxa"/>
              <w:right w:w="15" w:type="dxa"/>
            </w:tcMar>
            <w:vAlign w:val="bottom"/>
          </w:tcPr>
          <w:p w14:paraId="02130A3D" w14:textId="3BF78B7B" w:rsidR="07195704" w:rsidRDefault="7740FD69" w:rsidP="07195704">
            <w:r w:rsidRPr="57EA1165">
              <w:rPr>
                <w:b/>
                <w:bCs/>
                <w:sz w:val="20"/>
                <w:szCs w:val="20"/>
              </w:rPr>
              <w:t xml:space="preserve">OPDC - </w:t>
            </w:r>
            <w:r w:rsidR="0C18763E" w:rsidRPr="57EA1165">
              <w:rPr>
                <w:b/>
                <w:bCs/>
                <w:sz w:val="20"/>
                <w:szCs w:val="20"/>
              </w:rPr>
              <w:t>C</w:t>
            </w:r>
            <w:r w:rsidRPr="57EA1165">
              <w:rPr>
                <w:b/>
                <w:bCs/>
                <w:sz w:val="20"/>
                <w:szCs w:val="20"/>
              </w:rPr>
              <w:t xml:space="preserve">apital </w:t>
            </w:r>
            <w:r w:rsidR="00D40B75">
              <w:rPr>
                <w:b/>
                <w:bCs/>
                <w:sz w:val="20"/>
                <w:szCs w:val="20"/>
              </w:rPr>
              <w:t>S</w:t>
            </w:r>
            <w:r w:rsidRPr="57EA1165">
              <w:rPr>
                <w:b/>
                <w:bCs/>
                <w:sz w:val="20"/>
                <w:szCs w:val="20"/>
              </w:rPr>
              <w:t xml:space="preserve">pending </w:t>
            </w:r>
            <w:r w:rsidR="00D40B75">
              <w:rPr>
                <w:b/>
                <w:bCs/>
                <w:sz w:val="20"/>
                <w:szCs w:val="20"/>
              </w:rPr>
              <w:t>P</w:t>
            </w:r>
            <w:r w:rsidRPr="57EA1165">
              <w:rPr>
                <w:b/>
                <w:bCs/>
                <w:sz w:val="20"/>
                <w:szCs w:val="20"/>
              </w:rPr>
              <w:t>lan</w:t>
            </w:r>
            <w:r w:rsidRPr="57EA1165">
              <w:rPr>
                <w:sz w:val="20"/>
                <w:szCs w:val="20"/>
              </w:rPr>
              <w:t xml:space="preserve"> </w:t>
            </w:r>
          </w:p>
        </w:tc>
        <w:tc>
          <w:tcPr>
            <w:tcW w:w="152" w:type="dxa"/>
            <w:tcBorders>
              <w:top w:val="nil"/>
              <w:left w:val="nil"/>
              <w:bottom w:val="nil"/>
              <w:right w:val="nil"/>
            </w:tcBorders>
            <w:shd w:val="clear" w:color="auto" w:fill="FFFFFF" w:themeFill="background1"/>
            <w:tcMar>
              <w:top w:w="15" w:type="dxa"/>
              <w:left w:w="15" w:type="dxa"/>
              <w:right w:w="15" w:type="dxa"/>
            </w:tcMar>
            <w:vAlign w:val="bottom"/>
          </w:tcPr>
          <w:p w14:paraId="397E23B9" w14:textId="6F1A217E" w:rsidR="07195704" w:rsidRDefault="07195704"/>
        </w:tc>
        <w:tc>
          <w:tcPr>
            <w:tcW w:w="1011" w:type="dxa"/>
            <w:tcBorders>
              <w:top w:val="nil"/>
              <w:left w:val="nil"/>
              <w:bottom w:val="nil"/>
              <w:right w:val="nil"/>
            </w:tcBorders>
            <w:shd w:val="clear" w:color="auto" w:fill="FFFFFF" w:themeFill="background1"/>
            <w:tcMar>
              <w:top w:w="15" w:type="dxa"/>
              <w:left w:w="15" w:type="dxa"/>
              <w:right w:w="15" w:type="dxa"/>
            </w:tcMar>
            <w:vAlign w:val="bottom"/>
          </w:tcPr>
          <w:p w14:paraId="592134AE" w14:textId="0900F6BA" w:rsidR="07195704" w:rsidRDefault="07195704" w:rsidP="07195704">
            <w:r w:rsidRPr="07195704">
              <w:rPr>
                <w:b/>
                <w:bCs/>
                <w:sz w:val="20"/>
                <w:szCs w:val="20"/>
              </w:rPr>
              <w:t>Forecast Outturn</w:t>
            </w:r>
            <w:r w:rsidRPr="07195704">
              <w:rPr>
                <w:sz w:val="20"/>
                <w:szCs w:val="20"/>
              </w:rPr>
              <w:t xml:space="preserve"> </w:t>
            </w:r>
          </w:p>
        </w:tc>
        <w:tc>
          <w:tcPr>
            <w:tcW w:w="103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1F162D7" w14:textId="3206AD32" w:rsidR="07195704" w:rsidRDefault="07195704" w:rsidP="07195704">
            <w:r w:rsidRPr="07195704">
              <w:rPr>
                <w:b/>
                <w:bCs/>
                <w:sz w:val="20"/>
                <w:szCs w:val="20"/>
              </w:rPr>
              <w:t>Budget</w:t>
            </w:r>
            <w:r w:rsidRPr="07195704">
              <w:rPr>
                <w:sz w:val="20"/>
                <w:szCs w:val="20"/>
              </w:rPr>
              <w:t xml:space="preserve"> </w:t>
            </w:r>
          </w:p>
        </w:tc>
        <w:tc>
          <w:tcPr>
            <w:tcW w:w="847" w:type="dxa"/>
            <w:tcBorders>
              <w:top w:val="nil"/>
              <w:left w:val="nil"/>
              <w:bottom w:val="nil"/>
              <w:right w:val="nil"/>
            </w:tcBorders>
            <w:shd w:val="clear" w:color="auto" w:fill="FFFFFF" w:themeFill="background1"/>
            <w:tcMar>
              <w:top w:w="15" w:type="dxa"/>
              <w:left w:w="15" w:type="dxa"/>
              <w:right w:w="15" w:type="dxa"/>
            </w:tcMar>
            <w:vAlign w:val="bottom"/>
          </w:tcPr>
          <w:p w14:paraId="0F6DA626" w14:textId="2149FC6F" w:rsidR="07195704" w:rsidRDefault="07195704" w:rsidP="07195704">
            <w:r w:rsidRPr="07195704">
              <w:rPr>
                <w:b/>
                <w:bCs/>
                <w:sz w:val="20"/>
                <w:szCs w:val="20"/>
              </w:rPr>
              <w:t>Plan</w:t>
            </w:r>
            <w:r w:rsidRPr="07195704">
              <w:rPr>
                <w:sz w:val="20"/>
                <w:szCs w:val="20"/>
              </w:rPr>
              <w:t xml:space="preserve"> </w:t>
            </w:r>
          </w:p>
        </w:tc>
        <w:tc>
          <w:tcPr>
            <w:tcW w:w="1006" w:type="dxa"/>
            <w:tcBorders>
              <w:top w:val="nil"/>
              <w:left w:val="nil"/>
              <w:bottom w:val="nil"/>
              <w:right w:val="nil"/>
            </w:tcBorders>
            <w:shd w:val="clear" w:color="auto" w:fill="FFFFFF" w:themeFill="background1"/>
            <w:tcMar>
              <w:top w:w="15" w:type="dxa"/>
              <w:left w:w="15" w:type="dxa"/>
              <w:right w:w="15" w:type="dxa"/>
            </w:tcMar>
            <w:vAlign w:val="bottom"/>
          </w:tcPr>
          <w:p w14:paraId="6EF29240" w14:textId="586CAEEE" w:rsidR="07195704" w:rsidRDefault="07195704" w:rsidP="07195704">
            <w:r w:rsidRPr="07195704">
              <w:rPr>
                <w:b/>
                <w:bCs/>
                <w:sz w:val="20"/>
                <w:szCs w:val="20"/>
              </w:rPr>
              <w:t>Plan</w:t>
            </w:r>
            <w:r w:rsidRPr="07195704">
              <w:rPr>
                <w:sz w:val="20"/>
                <w:szCs w:val="20"/>
              </w:rPr>
              <w:t xml:space="preserve"> </w:t>
            </w:r>
          </w:p>
        </w:tc>
        <w:tc>
          <w:tcPr>
            <w:tcW w:w="831" w:type="dxa"/>
            <w:tcBorders>
              <w:top w:val="nil"/>
              <w:left w:val="nil"/>
              <w:bottom w:val="nil"/>
              <w:right w:val="nil"/>
            </w:tcBorders>
            <w:shd w:val="clear" w:color="auto" w:fill="FFFFFF" w:themeFill="background1"/>
            <w:tcMar>
              <w:top w:w="15" w:type="dxa"/>
              <w:left w:w="15" w:type="dxa"/>
              <w:right w:w="15" w:type="dxa"/>
            </w:tcMar>
            <w:vAlign w:val="bottom"/>
          </w:tcPr>
          <w:p w14:paraId="6EE86ECE" w14:textId="3C245367" w:rsidR="07195704" w:rsidRDefault="07195704" w:rsidP="07195704">
            <w:r w:rsidRPr="07195704">
              <w:rPr>
                <w:b/>
                <w:bCs/>
                <w:sz w:val="20"/>
                <w:szCs w:val="20"/>
              </w:rPr>
              <w:t>Plan</w:t>
            </w:r>
            <w:r w:rsidRPr="07195704">
              <w:rPr>
                <w:sz w:val="20"/>
                <w:szCs w:val="20"/>
              </w:rPr>
              <w:t xml:space="preserve"> </w:t>
            </w:r>
          </w:p>
        </w:tc>
        <w:tc>
          <w:tcPr>
            <w:tcW w:w="1158" w:type="dxa"/>
            <w:tcBorders>
              <w:top w:val="nil"/>
              <w:left w:val="nil"/>
              <w:bottom w:val="nil"/>
              <w:right w:val="nil"/>
            </w:tcBorders>
            <w:shd w:val="clear" w:color="auto" w:fill="FFFFFF" w:themeFill="background1"/>
            <w:tcMar>
              <w:top w:w="15" w:type="dxa"/>
              <w:left w:w="15" w:type="dxa"/>
              <w:right w:w="15" w:type="dxa"/>
            </w:tcMar>
            <w:vAlign w:val="bottom"/>
          </w:tcPr>
          <w:p w14:paraId="3C718FBE" w14:textId="604332A6" w:rsidR="07195704" w:rsidRDefault="07195704" w:rsidP="07195704">
            <w:r w:rsidRPr="07195704">
              <w:rPr>
                <w:b/>
                <w:bCs/>
                <w:sz w:val="20"/>
                <w:szCs w:val="20"/>
              </w:rPr>
              <w:t>Plan</w:t>
            </w:r>
            <w:r w:rsidRPr="07195704">
              <w:rPr>
                <w:sz w:val="20"/>
                <w:szCs w:val="20"/>
              </w:rPr>
              <w:t xml:space="preserve"> </w:t>
            </w:r>
          </w:p>
        </w:tc>
        <w:tc>
          <w:tcPr>
            <w:tcW w:w="1074" w:type="dxa"/>
            <w:tcBorders>
              <w:top w:val="nil"/>
              <w:left w:val="nil"/>
              <w:bottom w:val="nil"/>
              <w:right w:val="nil"/>
            </w:tcBorders>
            <w:shd w:val="clear" w:color="auto" w:fill="FFFFFF" w:themeFill="background1"/>
            <w:tcMar>
              <w:top w:w="15" w:type="dxa"/>
              <w:left w:w="15" w:type="dxa"/>
              <w:right w:w="15" w:type="dxa"/>
            </w:tcMar>
            <w:vAlign w:val="bottom"/>
          </w:tcPr>
          <w:p w14:paraId="13425231" w14:textId="6724E068" w:rsidR="07195704" w:rsidRDefault="07195704" w:rsidP="07195704">
            <w:r w:rsidRPr="07195704">
              <w:rPr>
                <w:b/>
                <w:bCs/>
                <w:sz w:val="20"/>
                <w:szCs w:val="20"/>
              </w:rPr>
              <w:t>Plan</w:t>
            </w:r>
            <w:r w:rsidRPr="07195704">
              <w:rPr>
                <w:sz w:val="20"/>
                <w:szCs w:val="20"/>
              </w:rPr>
              <w:t xml:space="preserve"> </w:t>
            </w:r>
          </w:p>
        </w:tc>
        <w:tc>
          <w:tcPr>
            <w:tcW w:w="1037" w:type="dxa"/>
            <w:tcBorders>
              <w:top w:val="nil"/>
              <w:left w:val="nil"/>
              <w:bottom w:val="nil"/>
              <w:right w:val="nil"/>
            </w:tcBorders>
            <w:shd w:val="clear" w:color="auto" w:fill="FFFFFF" w:themeFill="background1"/>
            <w:tcMar>
              <w:top w:w="15" w:type="dxa"/>
              <w:left w:w="15" w:type="dxa"/>
              <w:right w:w="15" w:type="dxa"/>
            </w:tcMar>
            <w:vAlign w:val="bottom"/>
          </w:tcPr>
          <w:p w14:paraId="6C1E71AF" w14:textId="109CBA79" w:rsidR="07195704" w:rsidRDefault="07195704" w:rsidP="07195704">
            <w:r w:rsidRPr="07195704">
              <w:rPr>
                <w:b/>
                <w:bCs/>
                <w:sz w:val="20"/>
                <w:szCs w:val="20"/>
              </w:rPr>
              <w:t>Plan</w:t>
            </w:r>
            <w:r w:rsidRPr="07195704">
              <w:rPr>
                <w:sz w:val="20"/>
                <w:szCs w:val="20"/>
              </w:rPr>
              <w:t xml:space="preserve"> </w:t>
            </w:r>
          </w:p>
        </w:tc>
      </w:tr>
      <w:tr w:rsidR="07195704" w14:paraId="70A7D710" w14:textId="77777777" w:rsidTr="00797FC8">
        <w:trPr>
          <w:trHeight w:val="789"/>
        </w:trPr>
        <w:tc>
          <w:tcPr>
            <w:tcW w:w="1573" w:type="dxa"/>
            <w:tcBorders>
              <w:top w:val="nil"/>
              <w:left w:val="nil"/>
              <w:bottom w:val="nil"/>
              <w:right w:val="nil"/>
            </w:tcBorders>
            <w:shd w:val="clear" w:color="auto" w:fill="FFFFFF" w:themeFill="background1"/>
            <w:tcMar>
              <w:top w:w="15" w:type="dxa"/>
              <w:left w:w="15" w:type="dxa"/>
              <w:right w:w="15" w:type="dxa"/>
            </w:tcMar>
            <w:vAlign w:val="bottom"/>
          </w:tcPr>
          <w:p w14:paraId="18FDAF03" w14:textId="32D677EB" w:rsidR="07195704" w:rsidRDefault="07195704" w:rsidP="07195704">
            <w:r w:rsidRPr="07195704">
              <w:rPr>
                <w:b/>
                <w:bCs/>
                <w:sz w:val="20"/>
                <w:szCs w:val="20"/>
              </w:rPr>
              <w:t xml:space="preserve"> </w:t>
            </w:r>
          </w:p>
        </w:tc>
        <w:tc>
          <w:tcPr>
            <w:tcW w:w="152" w:type="dxa"/>
            <w:tcBorders>
              <w:top w:val="nil"/>
              <w:left w:val="nil"/>
              <w:bottom w:val="nil"/>
              <w:right w:val="nil"/>
            </w:tcBorders>
            <w:shd w:val="clear" w:color="auto" w:fill="FFFFFF" w:themeFill="background1"/>
            <w:tcMar>
              <w:top w:w="15" w:type="dxa"/>
              <w:left w:w="15" w:type="dxa"/>
              <w:right w:w="15" w:type="dxa"/>
            </w:tcMar>
            <w:vAlign w:val="bottom"/>
          </w:tcPr>
          <w:p w14:paraId="4AE00DC0" w14:textId="247B03D3" w:rsidR="07195704" w:rsidRDefault="07195704"/>
        </w:tc>
        <w:tc>
          <w:tcPr>
            <w:tcW w:w="1011" w:type="dxa"/>
            <w:tcBorders>
              <w:top w:val="nil"/>
              <w:left w:val="nil"/>
              <w:bottom w:val="nil"/>
              <w:right w:val="nil"/>
            </w:tcBorders>
            <w:shd w:val="clear" w:color="auto" w:fill="FFFFFF" w:themeFill="background1"/>
            <w:tcMar>
              <w:top w:w="15" w:type="dxa"/>
              <w:left w:w="15" w:type="dxa"/>
              <w:right w:w="15" w:type="dxa"/>
            </w:tcMar>
            <w:vAlign w:val="bottom"/>
          </w:tcPr>
          <w:p w14:paraId="101B9021" w14:textId="3A50B414" w:rsidR="07195704" w:rsidRDefault="07195704" w:rsidP="07195704">
            <w:r w:rsidRPr="07195704">
              <w:rPr>
                <w:b/>
                <w:bCs/>
                <w:sz w:val="20"/>
                <w:szCs w:val="20"/>
              </w:rPr>
              <w:t>2024-25</w:t>
            </w:r>
            <w:r w:rsidRPr="07195704">
              <w:rPr>
                <w:sz w:val="20"/>
                <w:szCs w:val="20"/>
              </w:rPr>
              <w:t xml:space="preserve"> </w:t>
            </w:r>
          </w:p>
        </w:tc>
        <w:tc>
          <w:tcPr>
            <w:tcW w:w="103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57F12AD" w14:textId="7312EEDA" w:rsidR="07195704" w:rsidRDefault="07195704" w:rsidP="07195704">
            <w:r w:rsidRPr="07195704">
              <w:rPr>
                <w:b/>
                <w:bCs/>
                <w:sz w:val="20"/>
                <w:szCs w:val="20"/>
              </w:rPr>
              <w:t>2025-26</w:t>
            </w:r>
            <w:r w:rsidRPr="07195704">
              <w:rPr>
                <w:sz w:val="20"/>
                <w:szCs w:val="20"/>
              </w:rPr>
              <w:t xml:space="preserve"> </w:t>
            </w:r>
          </w:p>
        </w:tc>
        <w:tc>
          <w:tcPr>
            <w:tcW w:w="847" w:type="dxa"/>
            <w:tcBorders>
              <w:top w:val="nil"/>
              <w:left w:val="nil"/>
              <w:bottom w:val="nil"/>
              <w:right w:val="nil"/>
            </w:tcBorders>
            <w:shd w:val="clear" w:color="auto" w:fill="FFFFFF" w:themeFill="background1"/>
            <w:tcMar>
              <w:top w:w="15" w:type="dxa"/>
              <w:left w:w="15" w:type="dxa"/>
              <w:right w:w="15" w:type="dxa"/>
            </w:tcMar>
            <w:vAlign w:val="bottom"/>
          </w:tcPr>
          <w:p w14:paraId="1BB933BF" w14:textId="2A18D87F" w:rsidR="07195704" w:rsidRDefault="07195704" w:rsidP="07195704">
            <w:r w:rsidRPr="07195704">
              <w:rPr>
                <w:b/>
                <w:bCs/>
                <w:sz w:val="20"/>
                <w:szCs w:val="20"/>
              </w:rPr>
              <w:t>2026-27</w:t>
            </w:r>
            <w:r w:rsidRPr="07195704">
              <w:rPr>
                <w:sz w:val="20"/>
                <w:szCs w:val="20"/>
              </w:rPr>
              <w:t xml:space="preserve"> </w:t>
            </w:r>
          </w:p>
        </w:tc>
        <w:tc>
          <w:tcPr>
            <w:tcW w:w="1006" w:type="dxa"/>
            <w:tcBorders>
              <w:top w:val="nil"/>
              <w:left w:val="nil"/>
              <w:bottom w:val="nil"/>
              <w:right w:val="nil"/>
            </w:tcBorders>
            <w:shd w:val="clear" w:color="auto" w:fill="FFFFFF" w:themeFill="background1"/>
            <w:tcMar>
              <w:top w:w="15" w:type="dxa"/>
              <w:left w:w="15" w:type="dxa"/>
              <w:right w:w="15" w:type="dxa"/>
            </w:tcMar>
            <w:vAlign w:val="bottom"/>
          </w:tcPr>
          <w:p w14:paraId="24DB0776" w14:textId="19CBF625" w:rsidR="07195704" w:rsidRDefault="07195704" w:rsidP="07195704">
            <w:r w:rsidRPr="07195704">
              <w:rPr>
                <w:b/>
                <w:bCs/>
                <w:sz w:val="20"/>
                <w:szCs w:val="20"/>
              </w:rPr>
              <w:t>2027-28</w:t>
            </w:r>
            <w:r w:rsidRPr="07195704">
              <w:rPr>
                <w:sz w:val="20"/>
                <w:szCs w:val="20"/>
              </w:rPr>
              <w:t xml:space="preserve"> </w:t>
            </w:r>
          </w:p>
        </w:tc>
        <w:tc>
          <w:tcPr>
            <w:tcW w:w="831" w:type="dxa"/>
            <w:tcBorders>
              <w:top w:val="nil"/>
              <w:left w:val="nil"/>
              <w:bottom w:val="nil"/>
              <w:right w:val="nil"/>
            </w:tcBorders>
            <w:shd w:val="clear" w:color="auto" w:fill="FFFFFF" w:themeFill="background1"/>
            <w:tcMar>
              <w:top w:w="15" w:type="dxa"/>
              <w:left w:w="15" w:type="dxa"/>
              <w:right w:w="15" w:type="dxa"/>
            </w:tcMar>
            <w:vAlign w:val="bottom"/>
          </w:tcPr>
          <w:p w14:paraId="21DCE3A5" w14:textId="3BCBE3D8" w:rsidR="07195704" w:rsidRDefault="07195704" w:rsidP="07195704">
            <w:r w:rsidRPr="07195704">
              <w:rPr>
                <w:b/>
                <w:bCs/>
                <w:sz w:val="20"/>
                <w:szCs w:val="20"/>
              </w:rPr>
              <w:t>2027-28</w:t>
            </w:r>
            <w:r w:rsidRPr="07195704">
              <w:rPr>
                <w:sz w:val="20"/>
                <w:szCs w:val="20"/>
              </w:rPr>
              <w:t xml:space="preserve"> </w:t>
            </w:r>
          </w:p>
        </w:tc>
        <w:tc>
          <w:tcPr>
            <w:tcW w:w="1158" w:type="dxa"/>
            <w:tcBorders>
              <w:top w:val="nil"/>
              <w:left w:val="nil"/>
              <w:bottom w:val="nil"/>
              <w:right w:val="nil"/>
            </w:tcBorders>
            <w:shd w:val="clear" w:color="auto" w:fill="FFFFFF" w:themeFill="background1"/>
            <w:tcMar>
              <w:top w:w="15" w:type="dxa"/>
              <w:left w:w="15" w:type="dxa"/>
              <w:right w:w="15" w:type="dxa"/>
            </w:tcMar>
            <w:vAlign w:val="bottom"/>
          </w:tcPr>
          <w:p w14:paraId="15010D26" w14:textId="7460BEC9" w:rsidR="07195704" w:rsidRDefault="07195704" w:rsidP="07195704">
            <w:r w:rsidRPr="07195704">
              <w:rPr>
                <w:b/>
                <w:bCs/>
                <w:sz w:val="20"/>
                <w:szCs w:val="20"/>
              </w:rPr>
              <w:t>2029-30 to 2033-34</w:t>
            </w:r>
          </w:p>
        </w:tc>
        <w:tc>
          <w:tcPr>
            <w:tcW w:w="1074" w:type="dxa"/>
            <w:tcBorders>
              <w:top w:val="nil"/>
              <w:left w:val="nil"/>
              <w:bottom w:val="nil"/>
              <w:right w:val="nil"/>
            </w:tcBorders>
            <w:shd w:val="clear" w:color="auto" w:fill="FFFFFF" w:themeFill="background1"/>
            <w:tcMar>
              <w:top w:w="15" w:type="dxa"/>
              <w:left w:w="15" w:type="dxa"/>
              <w:right w:w="15" w:type="dxa"/>
            </w:tcMar>
            <w:vAlign w:val="bottom"/>
          </w:tcPr>
          <w:p w14:paraId="788154FC" w14:textId="31265503" w:rsidR="07195704" w:rsidRDefault="07195704" w:rsidP="07195704">
            <w:r w:rsidRPr="07195704">
              <w:rPr>
                <w:b/>
                <w:bCs/>
                <w:sz w:val="20"/>
                <w:szCs w:val="20"/>
              </w:rPr>
              <w:t>2034-35 to 2038-39</w:t>
            </w:r>
          </w:p>
        </w:tc>
        <w:tc>
          <w:tcPr>
            <w:tcW w:w="1037" w:type="dxa"/>
            <w:tcBorders>
              <w:top w:val="nil"/>
              <w:left w:val="nil"/>
              <w:bottom w:val="nil"/>
              <w:right w:val="nil"/>
            </w:tcBorders>
            <w:shd w:val="clear" w:color="auto" w:fill="FFFFFF" w:themeFill="background1"/>
            <w:tcMar>
              <w:top w:w="15" w:type="dxa"/>
              <w:left w:w="15" w:type="dxa"/>
              <w:right w:w="15" w:type="dxa"/>
            </w:tcMar>
            <w:vAlign w:val="bottom"/>
          </w:tcPr>
          <w:p w14:paraId="1D61EC95" w14:textId="29FC8E25" w:rsidR="07195704" w:rsidRDefault="07195704" w:rsidP="07195704">
            <w:r w:rsidRPr="07195704">
              <w:rPr>
                <w:b/>
                <w:bCs/>
                <w:sz w:val="20"/>
                <w:szCs w:val="20"/>
              </w:rPr>
              <w:t>2039-40 to 2043-44</w:t>
            </w:r>
          </w:p>
        </w:tc>
      </w:tr>
      <w:tr w:rsidR="07195704" w14:paraId="1904B43E" w14:textId="77777777" w:rsidTr="00797FC8">
        <w:trPr>
          <w:trHeight w:val="258"/>
        </w:trPr>
        <w:tc>
          <w:tcPr>
            <w:tcW w:w="1573"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465EFEE5" w14:textId="466AA47B" w:rsidR="07195704" w:rsidRDefault="07195704" w:rsidP="07195704">
            <w:r w:rsidRPr="07195704">
              <w:rPr>
                <w:b/>
                <w:bCs/>
                <w:sz w:val="20"/>
                <w:szCs w:val="20"/>
              </w:rPr>
              <w:t xml:space="preserve"> </w:t>
            </w:r>
          </w:p>
        </w:tc>
        <w:tc>
          <w:tcPr>
            <w:tcW w:w="152"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64214273" w14:textId="0C00A539" w:rsidR="07195704" w:rsidRDefault="07195704"/>
        </w:tc>
        <w:tc>
          <w:tcPr>
            <w:tcW w:w="1011"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23A1963F" w14:textId="2393DB47" w:rsidR="07195704" w:rsidRDefault="07195704" w:rsidP="07195704">
            <w:r w:rsidRPr="07195704">
              <w:rPr>
                <w:b/>
                <w:bCs/>
                <w:sz w:val="20"/>
                <w:szCs w:val="20"/>
              </w:rPr>
              <w:t>£m</w:t>
            </w:r>
            <w:r w:rsidRPr="07195704">
              <w:rPr>
                <w:sz w:val="20"/>
                <w:szCs w:val="20"/>
              </w:rPr>
              <w:t xml:space="preserve"> </w:t>
            </w:r>
          </w:p>
        </w:tc>
        <w:tc>
          <w:tcPr>
            <w:tcW w:w="1036" w:type="dxa"/>
            <w:tcBorders>
              <w:top w:val="nil"/>
              <w:left w:val="nil"/>
              <w:bottom w:val="single" w:sz="4" w:space="0" w:color="A5A6A5"/>
              <w:right w:val="nil"/>
            </w:tcBorders>
            <w:shd w:val="clear" w:color="auto" w:fill="D9D9D9" w:themeFill="background1" w:themeFillShade="D9"/>
            <w:tcMar>
              <w:top w:w="15" w:type="dxa"/>
              <w:left w:w="15" w:type="dxa"/>
              <w:right w:w="15" w:type="dxa"/>
            </w:tcMar>
            <w:vAlign w:val="bottom"/>
          </w:tcPr>
          <w:p w14:paraId="55CB898F" w14:textId="5251ED63" w:rsidR="07195704" w:rsidRDefault="07195704" w:rsidP="07195704">
            <w:r w:rsidRPr="07195704">
              <w:rPr>
                <w:b/>
                <w:bCs/>
                <w:sz w:val="20"/>
                <w:szCs w:val="20"/>
              </w:rPr>
              <w:t>£m</w:t>
            </w:r>
            <w:r w:rsidRPr="07195704">
              <w:rPr>
                <w:sz w:val="20"/>
                <w:szCs w:val="20"/>
              </w:rPr>
              <w:t xml:space="preserve"> </w:t>
            </w:r>
          </w:p>
        </w:tc>
        <w:tc>
          <w:tcPr>
            <w:tcW w:w="847"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654C7061" w14:textId="410268DF" w:rsidR="07195704" w:rsidRDefault="07195704" w:rsidP="07195704">
            <w:r w:rsidRPr="07195704">
              <w:rPr>
                <w:b/>
                <w:bCs/>
                <w:sz w:val="20"/>
                <w:szCs w:val="20"/>
              </w:rPr>
              <w:t>£m</w:t>
            </w:r>
            <w:r w:rsidRPr="07195704">
              <w:rPr>
                <w:sz w:val="20"/>
                <w:szCs w:val="20"/>
              </w:rPr>
              <w:t xml:space="preserve"> </w:t>
            </w:r>
          </w:p>
        </w:tc>
        <w:tc>
          <w:tcPr>
            <w:tcW w:w="1006"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7E5CC7D4" w14:textId="3B003170" w:rsidR="07195704" w:rsidRDefault="07195704" w:rsidP="07195704">
            <w:r w:rsidRPr="07195704">
              <w:rPr>
                <w:b/>
                <w:bCs/>
                <w:sz w:val="20"/>
                <w:szCs w:val="20"/>
              </w:rPr>
              <w:t>£m</w:t>
            </w:r>
            <w:r w:rsidRPr="07195704">
              <w:rPr>
                <w:sz w:val="20"/>
                <w:szCs w:val="20"/>
              </w:rPr>
              <w:t xml:space="preserve"> </w:t>
            </w:r>
          </w:p>
        </w:tc>
        <w:tc>
          <w:tcPr>
            <w:tcW w:w="831"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3C8A4B09" w14:textId="72C21DF0" w:rsidR="07195704" w:rsidRDefault="07195704" w:rsidP="07195704">
            <w:r w:rsidRPr="07195704">
              <w:rPr>
                <w:b/>
                <w:bCs/>
                <w:sz w:val="20"/>
                <w:szCs w:val="20"/>
              </w:rPr>
              <w:t>£m</w:t>
            </w:r>
            <w:r w:rsidRPr="07195704">
              <w:rPr>
                <w:sz w:val="20"/>
                <w:szCs w:val="20"/>
              </w:rPr>
              <w:t xml:space="preserve"> </w:t>
            </w:r>
          </w:p>
        </w:tc>
        <w:tc>
          <w:tcPr>
            <w:tcW w:w="1158"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6700E2C5" w14:textId="2E034EA8" w:rsidR="07195704" w:rsidRDefault="07195704" w:rsidP="07195704">
            <w:r w:rsidRPr="07195704">
              <w:rPr>
                <w:b/>
                <w:bCs/>
                <w:sz w:val="20"/>
                <w:szCs w:val="20"/>
              </w:rPr>
              <w:t>£m</w:t>
            </w:r>
            <w:r w:rsidRPr="07195704">
              <w:rPr>
                <w:sz w:val="20"/>
                <w:szCs w:val="20"/>
              </w:rPr>
              <w:t xml:space="preserve"> </w:t>
            </w:r>
          </w:p>
        </w:tc>
        <w:tc>
          <w:tcPr>
            <w:tcW w:w="1074"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2E122779" w14:textId="2F8ACC49" w:rsidR="07195704" w:rsidRDefault="07195704" w:rsidP="07195704">
            <w:r w:rsidRPr="07195704">
              <w:rPr>
                <w:b/>
                <w:bCs/>
                <w:sz w:val="20"/>
                <w:szCs w:val="20"/>
              </w:rPr>
              <w:t>£m</w:t>
            </w:r>
            <w:r w:rsidRPr="07195704">
              <w:rPr>
                <w:sz w:val="20"/>
                <w:szCs w:val="20"/>
              </w:rPr>
              <w:t xml:space="preserve"> </w:t>
            </w:r>
          </w:p>
        </w:tc>
        <w:tc>
          <w:tcPr>
            <w:tcW w:w="1037"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562F849B" w14:textId="679FF0FF" w:rsidR="07195704" w:rsidRDefault="07195704" w:rsidP="07195704">
            <w:r w:rsidRPr="07195704">
              <w:rPr>
                <w:b/>
                <w:bCs/>
                <w:sz w:val="20"/>
                <w:szCs w:val="20"/>
              </w:rPr>
              <w:t>£m</w:t>
            </w:r>
            <w:r w:rsidRPr="07195704">
              <w:rPr>
                <w:sz w:val="20"/>
                <w:szCs w:val="20"/>
              </w:rPr>
              <w:t xml:space="preserve"> </w:t>
            </w:r>
          </w:p>
        </w:tc>
      </w:tr>
      <w:tr w:rsidR="07195704" w14:paraId="2B9A7285" w14:textId="77777777" w:rsidTr="00797FC8">
        <w:trPr>
          <w:trHeight w:val="258"/>
        </w:trPr>
        <w:tc>
          <w:tcPr>
            <w:tcW w:w="1573" w:type="dxa"/>
            <w:tcBorders>
              <w:top w:val="single" w:sz="4" w:space="0" w:color="A5A6A5"/>
              <w:left w:val="nil"/>
              <w:bottom w:val="nil"/>
              <w:right w:val="nil"/>
            </w:tcBorders>
            <w:tcMar>
              <w:top w:w="15" w:type="dxa"/>
              <w:left w:w="15" w:type="dxa"/>
              <w:right w:w="15" w:type="dxa"/>
            </w:tcMar>
            <w:vAlign w:val="bottom"/>
          </w:tcPr>
          <w:p w14:paraId="54CBCEE9" w14:textId="3210BF14" w:rsidR="07195704" w:rsidRDefault="07195704" w:rsidP="07195704">
            <w:r w:rsidRPr="07195704">
              <w:rPr>
                <w:sz w:val="20"/>
                <w:szCs w:val="20"/>
              </w:rPr>
              <w:t xml:space="preserve">Heat Network </w:t>
            </w:r>
          </w:p>
        </w:tc>
        <w:tc>
          <w:tcPr>
            <w:tcW w:w="152" w:type="dxa"/>
            <w:tcBorders>
              <w:top w:val="single" w:sz="4" w:space="0" w:color="A5A6A5"/>
              <w:left w:val="nil"/>
              <w:bottom w:val="nil"/>
              <w:right w:val="nil"/>
            </w:tcBorders>
            <w:tcMar>
              <w:top w:w="15" w:type="dxa"/>
              <w:left w:w="15" w:type="dxa"/>
              <w:right w:w="15" w:type="dxa"/>
            </w:tcMar>
            <w:vAlign w:val="bottom"/>
          </w:tcPr>
          <w:p w14:paraId="3EE1EE71" w14:textId="50CCEE5F" w:rsidR="07195704" w:rsidRDefault="07195704"/>
        </w:tc>
        <w:tc>
          <w:tcPr>
            <w:tcW w:w="1011" w:type="dxa"/>
            <w:tcBorders>
              <w:top w:val="single" w:sz="4" w:space="0" w:color="A5A6A5"/>
              <w:left w:val="nil"/>
              <w:bottom w:val="nil"/>
              <w:right w:val="nil"/>
            </w:tcBorders>
            <w:tcMar>
              <w:top w:w="15" w:type="dxa"/>
              <w:left w:w="15" w:type="dxa"/>
              <w:right w:w="15" w:type="dxa"/>
            </w:tcMar>
            <w:vAlign w:val="bottom"/>
          </w:tcPr>
          <w:p w14:paraId="27BB3155" w14:textId="742C262F" w:rsidR="07195704" w:rsidRDefault="07195704" w:rsidP="07195704">
            <w:r w:rsidRPr="07195704">
              <w:rPr>
                <w:sz w:val="20"/>
                <w:szCs w:val="20"/>
              </w:rPr>
              <w:t xml:space="preserve">2.4 </w:t>
            </w:r>
          </w:p>
        </w:tc>
        <w:tc>
          <w:tcPr>
            <w:tcW w:w="1036" w:type="dxa"/>
            <w:tcBorders>
              <w:top w:val="single" w:sz="4" w:space="0" w:color="A5A6A5"/>
              <w:left w:val="nil"/>
              <w:bottom w:val="nil"/>
              <w:right w:val="nil"/>
            </w:tcBorders>
            <w:shd w:val="clear" w:color="auto" w:fill="D9D9D9" w:themeFill="background1" w:themeFillShade="D9"/>
            <w:tcMar>
              <w:top w:w="15" w:type="dxa"/>
              <w:left w:w="15" w:type="dxa"/>
              <w:right w:w="15" w:type="dxa"/>
            </w:tcMar>
            <w:vAlign w:val="bottom"/>
          </w:tcPr>
          <w:p w14:paraId="65B59C3D" w14:textId="1AE295C0" w:rsidR="07195704" w:rsidRDefault="07195704" w:rsidP="07195704">
            <w:r w:rsidRPr="07195704">
              <w:rPr>
                <w:sz w:val="20"/>
                <w:szCs w:val="20"/>
              </w:rPr>
              <w:t xml:space="preserve"> 32.6 </w:t>
            </w:r>
          </w:p>
        </w:tc>
        <w:tc>
          <w:tcPr>
            <w:tcW w:w="847" w:type="dxa"/>
            <w:tcBorders>
              <w:top w:val="single" w:sz="4" w:space="0" w:color="A5A6A5"/>
              <w:left w:val="nil"/>
              <w:bottom w:val="nil"/>
              <w:right w:val="nil"/>
            </w:tcBorders>
            <w:tcMar>
              <w:top w:w="15" w:type="dxa"/>
              <w:left w:w="15" w:type="dxa"/>
              <w:right w:w="15" w:type="dxa"/>
            </w:tcMar>
            <w:vAlign w:val="bottom"/>
          </w:tcPr>
          <w:p w14:paraId="63F6732C" w14:textId="118745F9" w:rsidR="07195704" w:rsidRDefault="07195704" w:rsidP="07195704">
            <w:r w:rsidRPr="07195704">
              <w:rPr>
                <w:sz w:val="20"/>
                <w:szCs w:val="20"/>
              </w:rPr>
              <w:t xml:space="preserve"> -   </w:t>
            </w:r>
          </w:p>
        </w:tc>
        <w:tc>
          <w:tcPr>
            <w:tcW w:w="1006" w:type="dxa"/>
            <w:tcBorders>
              <w:top w:val="single" w:sz="4" w:space="0" w:color="A5A6A5"/>
              <w:left w:val="nil"/>
              <w:bottom w:val="nil"/>
              <w:right w:val="nil"/>
            </w:tcBorders>
            <w:tcMar>
              <w:top w:w="15" w:type="dxa"/>
              <w:left w:w="15" w:type="dxa"/>
              <w:right w:w="15" w:type="dxa"/>
            </w:tcMar>
            <w:vAlign w:val="bottom"/>
          </w:tcPr>
          <w:p w14:paraId="61B66C8E" w14:textId="36628392" w:rsidR="07195704" w:rsidRDefault="07195704" w:rsidP="07195704">
            <w:r w:rsidRPr="07195704">
              <w:rPr>
                <w:sz w:val="20"/>
                <w:szCs w:val="20"/>
              </w:rPr>
              <w:t xml:space="preserve"> -   </w:t>
            </w:r>
          </w:p>
        </w:tc>
        <w:tc>
          <w:tcPr>
            <w:tcW w:w="831" w:type="dxa"/>
            <w:tcBorders>
              <w:top w:val="single" w:sz="4" w:space="0" w:color="A5A6A5"/>
              <w:left w:val="nil"/>
              <w:bottom w:val="nil"/>
              <w:right w:val="nil"/>
            </w:tcBorders>
            <w:tcMar>
              <w:top w:w="15" w:type="dxa"/>
              <w:left w:w="15" w:type="dxa"/>
              <w:right w:w="15" w:type="dxa"/>
            </w:tcMar>
            <w:vAlign w:val="bottom"/>
          </w:tcPr>
          <w:p w14:paraId="19549FB2" w14:textId="47B8F2B0" w:rsidR="07195704" w:rsidRDefault="07195704" w:rsidP="07195704">
            <w:r w:rsidRPr="07195704">
              <w:rPr>
                <w:sz w:val="20"/>
                <w:szCs w:val="20"/>
              </w:rPr>
              <w:t xml:space="preserve"> -   </w:t>
            </w:r>
          </w:p>
        </w:tc>
        <w:tc>
          <w:tcPr>
            <w:tcW w:w="1158" w:type="dxa"/>
            <w:tcBorders>
              <w:top w:val="single" w:sz="4" w:space="0" w:color="A5A6A5"/>
              <w:left w:val="nil"/>
              <w:bottom w:val="nil"/>
              <w:right w:val="nil"/>
            </w:tcBorders>
            <w:tcMar>
              <w:top w:w="15" w:type="dxa"/>
              <w:left w:w="15" w:type="dxa"/>
              <w:right w:w="15" w:type="dxa"/>
            </w:tcMar>
            <w:vAlign w:val="bottom"/>
          </w:tcPr>
          <w:p w14:paraId="27FA9C22" w14:textId="36C865B6" w:rsidR="07195704" w:rsidRDefault="07195704" w:rsidP="07195704">
            <w:r w:rsidRPr="07195704">
              <w:rPr>
                <w:sz w:val="20"/>
                <w:szCs w:val="20"/>
              </w:rPr>
              <w:t xml:space="preserve"> -   </w:t>
            </w:r>
          </w:p>
        </w:tc>
        <w:tc>
          <w:tcPr>
            <w:tcW w:w="1074" w:type="dxa"/>
            <w:tcBorders>
              <w:top w:val="single" w:sz="4" w:space="0" w:color="A5A6A5"/>
              <w:left w:val="nil"/>
              <w:bottom w:val="nil"/>
              <w:right w:val="nil"/>
            </w:tcBorders>
            <w:tcMar>
              <w:top w:w="15" w:type="dxa"/>
              <w:left w:w="15" w:type="dxa"/>
              <w:right w:w="15" w:type="dxa"/>
            </w:tcMar>
            <w:vAlign w:val="bottom"/>
          </w:tcPr>
          <w:p w14:paraId="789CC509" w14:textId="4655B4B3" w:rsidR="07195704" w:rsidRDefault="07195704" w:rsidP="07195704">
            <w:r w:rsidRPr="07195704">
              <w:rPr>
                <w:sz w:val="20"/>
                <w:szCs w:val="20"/>
              </w:rPr>
              <w:t xml:space="preserve"> -   </w:t>
            </w:r>
          </w:p>
        </w:tc>
        <w:tc>
          <w:tcPr>
            <w:tcW w:w="1037" w:type="dxa"/>
            <w:tcBorders>
              <w:top w:val="single" w:sz="4" w:space="0" w:color="A5A6A5"/>
              <w:left w:val="nil"/>
              <w:bottom w:val="nil"/>
              <w:right w:val="nil"/>
            </w:tcBorders>
            <w:tcMar>
              <w:top w:w="15" w:type="dxa"/>
              <w:left w:w="15" w:type="dxa"/>
              <w:right w:w="15" w:type="dxa"/>
            </w:tcMar>
            <w:vAlign w:val="bottom"/>
          </w:tcPr>
          <w:p w14:paraId="52A93899" w14:textId="173F8867" w:rsidR="07195704" w:rsidRDefault="07195704" w:rsidP="07195704">
            <w:r w:rsidRPr="07195704">
              <w:rPr>
                <w:sz w:val="20"/>
                <w:szCs w:val="20"/>
              </w:rPr>
              <w:t xml:space="preserve"> -   </w:t>
            </w:r>
          </w:p>
        </w:tc>
      </w:tr>
      <w:tr w:rsidR="07195704" w14:paraId="4F2625FB" w14:textId="77777777" w:rsidTr="00797FC8">
        <w:trPr>
          <w:trHeight w:val="258"/>
        </w:trPr>
        <w:tc>
          <w:tcPr>
            <w:tcW w:w="1573" w:type="dxa"/>
            <w:tcBorders>
              <w:top w:val="nil"/>
              <w:left w:val="nil"/>
              <w:bottom w:val="nil"/>
              <w:right w:val="nil"/>
            </w:tcBorders>
            <w:tcMar>
              <w:top w:w="15" w:type="dxa"/>
              <w:left w:w="15" w:type="dxa"/>
              <w:right w:w="15" w:type="dxa"/>
            </w:tcMar>
            <w:vAlign w:val="bottom"/>
          </w:tcPr>
          <w:p w14:paraId="65198383" w14:textId="5E91E81A" w:rsidR="07195704" w:rsidRDefault="07195704" w:rsidP="07195704">
            <w:r w:rsidRPr="07195704">
              <w:rPr>
                <w:sz w:val="20"/>
                <w:szCs w:val="20"/>
              </w:rPr>
              <w:t xml:space="preserve">Land Assembly  </w:t>
            </w:r>
          </w:p>
        </w:tc>
        <w:tc>
          <w:tcPr>
            <w:tcW w:w="152" w:type="dxa"/>
            <w:tcBorders>
              <w:top w:val="nil"/>
              <w:left w:val="nil"/>
              <w:bottom w:val="nil"/>
              <w:right w:val="nil"/>
            </w:tcBorders>
            <w:tcMar>
              <w:top w:w="15" w:type="dxa"/>
              <w:left w:w="15" w:type="dxa"/>
              <w:right w:w="15" w:type="dxa"/>
            </w:tcMar>
            <w:vAlign w:val="bottom"/>
          </w:tcPr>
          <w:p w14:paraId="4241505A" w14:textId="504316ED" w:rsidR="07195704" w:rsidRDefault="07195704"/>
        </w:tc>
        <w:tc>
          <w:tcPr>
            <w:tcW w:w="1011" w:type="dxa"/>
            <w:tcBorders>
              <w:top w:val="nil"/>
              <w:left w:val="nil"/>
              <w:bottom w:val="nil"/>
              <w:right w:val="nil"/>
            </w:tcBorders>
            <w:tcMar>
              <w:top w:w="15" w:type="dxa"/>
              <w:left w:w="15" w:type="dxa"/>
              <w:right w:w="15" w:type="dxa"/>
            </w:tcMar>
            <w:vAlign w:val="bottom"/>
          </w:tcPr>
          <w:p w14:paraId="31DF37E4" w14:textId="7EC97DBB" w:rsidR="07195704" w:rsidRDefault="07195704" w:rsidP="07195704">
            <w:r w:rsidRPr="07195704">
              <w:rPr>
                <w:sz w:val="20"/>
                <w:szCs w:val="20"/>
              </w:rPr>
              <w:t xml:space="preserve">76.3 </w:t>
            </w:r>
          </w:p>
        </w:tc>
        <w:tc>
          <w:tcPr>
            <w:tcW w:w="103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23BA46C" w14:textId="3B1BC799" w:rsidR="07195704" w:rsidRDefault="07195704" w:rsidP="07195704">
            <w:r w:rsidRPr="07195704">
              <w:rPr>
                <w:sz w:val="20"/>
                <w:szCs w:val="20"/>
              </w:rPr>
              <w:t xml:space="preserve"> 95.9 </w:t>
            </w:r>
          </w:p>
        </w:tc>
        <w:tc>
          <w:tcPr>
            <w:tcW w:w="847" w:type="dxa"/>
            <w:tcBorders>
              <w:top w:val="nil"/>
              <w:left w:val="nil"/>
              <w:bottom w:val="nil"/>
              <w:right w:val="nil"/>
            </w:tcBorders>
            <w:tcMar>
              <w:top w:w="15" w:type="dxa"/>
              <w:left w:w="15" w:type="dxa"/>
              <w:right w:w="15" w:type="dxa"/>
            </w:tcMar>
            <w:vAlign w:val="bottom"/>
          </w:tcPr>
          <w:p w14:paraId="4F646831" w14:textId="3BF37BBF" w:rsidR="07195704" w:rsidRDefault="07195704" w:rsidP="07195704">
            <w:r w:rsidRPr="07195704">
              <w:rPr>
                <w:sz w:val="20"/>
                <w:szCs w:val="20"/>
              </w:rPr>
              <w:t xml:space="preserve"> 22.4 </w:t>
            </w:r>
          </w:p>
        </w:tc>
        <w:tc>
          <w:tcPr>
            <w:tcW w:w="1006" w:type="dxa"/>
            <w:tcBorders>
              <w:top w:val="nil"/>
              <w:left w:val="nil"/>
              <w:bottom w:val="nil"/>
              <w:right w:val="nil"/>
            </w:tcBorders>
            <w:tcMar>
              <w:top w:w="15" w:type="dxa"/>
              <w:left w:w="15" w:type="dxa"/>
              <w:right w:w="15" w:type="dxa"/>
            </w:tcMar>
            <w:vAlign w:val="bottom"/>
          </w:tcPr>
          <w:p w14:paraId="7DB593E2" w14:textId="6EE2D4C2" w:rsidR="07195704" w:rsidRDefault="07195704" w:rsidP="07195704">
            <w:r w:rsidRPr="07195704">
              <w:rPr>
                <w:sz w:val="20"/>
                <w:szCs w:val="20"/>
              </w:rPr>
              <w:t xml:space="preserve"> 10.0 </w:t>
            </w:r>
          </w:p>
        </w:tc>
        <w:tc>
          <w:tcPr>
            <w:tcW w:w="831" w:type="dxa"/>
            <w:tcBorders>
              <w:top w:val="nil"/>
              <w:left w:val="nil"/>
              <w:bottom w:val="nil"/>
              <w:right w:val="nil"/>
            </w:tcBorders>
            <w:tcMar>
              <w:top w:w="15" w:type="dxa"/>
              <w:left w:w="15" w:type="dxa"/>
              <w:right w:w="15" w:type="dxa"/>
            </w:tcMar>
            <w:vAlign w:val="bottom"/>
          </w:tcPr>
          <w:p w14:paraId="3DBB65B8" w14:textId="7AAE5478" w:rsidR="07195704" w:rsidRDefault="07195704" w:rsidP="07195704">
            <w:r w:rsidRPr="07195704">
              <w:rPr>
                <w:sz w:val="20"/>
                <w:szCs w:val="20"/>
              </w:rPr>
              <w:t xml:space="preserve"> -   </w:t>
            </w:r>
          </w:p>
        </w:tc>
        <w:tc>
          <w:tcPr>
            <w:tcW w:w="1158" w:type="dxa"/>
            <w:tcBorders>
              <w:top w:val="nil"/>
              <w:left w:val="nil"/>
              <w:bottom w:val="nil"/>
              <w:right w:val="nil"/>
            </w:tcBorders>
            <w:tcMar>
              <w:top w:w="15" w:type="dxa"/>
              <w:left w:w="15" w:type="dxa"/>
              <w:right w:w="15" w:type="dxa"/>
            </w:tcMar>
            <w:vAlign w:val="bottom"/>
          </w:tcPr>
          <w:p w14:paraId="18D56D01" w14:textId="3386258C" w:rsidR="07195704" w:rsidRDefault="07195704" w:rsidP="07195704">
            <w:r w:rsidRPr="07195704">
              <w:rPr>
                <w:sz w:val="20"/>
                <w:szCs w:val="20"/>
              </w:rPr>
              <w:t xml:space="preserve"> -   </w:t>
            </w:r>
          </w:p>
        </w:tc>
        <w:tc>
          <w:tcPr>
            <w:tcW w:w="1074" w:type="dxa"/>
            <w:tcBorders>
              <w:top w:val="nil"/>
              <w:left w:val="nil"/>
              <w:bottom w:val="nil"/>
              <w:right w:val="nil"/>
            </w:tcBorders>
            <w:tcMar>
              <w:top w:w="15" w:type="dxa"/>
              <w:left w:w="15" w:type="dxa"/>
              <w:right w:w="15" w:type="dxa"/>
            </w:tcMar>
            <w:vAlign w:val="bottom"/>
          </w:tcPr>
          <w:p w14:paraId="5EF4ADAA" w14:textId="52255F40" w:rsidR="07195704" w:rsidRDefault="07195704" w:rsidP="07195704">
            <w:r w:rsidRPr="07195704">
              <w:rPr>
                <w:sz w:val="20"/>
                <w:szCs w:val="20"/>
              </w:rPr>
              <w:t xml:space="preserve"> -   </w:t>
            </w:r>
          </w:p>
        </w:tc>
        <w:tc>
          <w:tcPr>
            <w:tcW w:w="1037" w:type="dxa"/>
            <w:tcBorders>
              <w:top w:val="nil"/>
              <w:left w:val="nil"/>
              <w:bottom w:val="nil"/>
              <w:right w:val="nil"/>
            </w:tcBorders>
            <w:tcMar>
              <w:top w:w="15" w:type="dxa"/>
              <w:left w:w="15" w:type="dxa"/>
              <w:right w:w="15" w:type="dxa"/>
            </w:tcMar>
            <w:vAlign w:val="bottom"/>
          </w:tcPr>
          <w:p w14:paraId="36434FCB" w14:textId="0A5FAFED" w:rsidR="07195704" w:rsidRDefault="07195704" w:rsidP="07195704">
            <w:r w:rsidRPr="07195704">
              <w:rPr>
                <w:sz w:val="20"/>
                <w:szCs w:val="20"/>
              </w:rPr>
              <w:t xml:space="preserve"> -   </w:t>
            </w:r>
          </w:p>
        </w:tc>
      </w:tr>
      <w:tr w:rsidR="07195704" w14:paraId="41CF724B" w14:textId="77777777" w:rsidTr="00797FC8">
        <w:trPr>
          <w:trHeight w:val="258"/>
        </w:trPr>
        <w:tc>
          <w:tcPr>
            <w:tcW w:w="1573" w:type="dxa"/>
            <w:tcBorders>
              <w:top w:val="nil"/>
              <w:left w:val="nil"/>
              <w:bottom w:val="nil"/>
              <w:right w:val="nil"/>
            </w:tcBorders>
            <w:tcMar>
              <w:top w:w="15" w:type="dxa"/>
              <w:left w:w="15" w:type="dxa"/>
              <w:right w:w="15" w:type="dxa"/>
            </w:tcMar>
            <w:vAlign w:val="bottom"/>
          </w:tcPr>
          <w:p w14:paraId="4ADE1961" w14:textId="29484B94" w:rsidR="07195704" w:rsidRDefault="07195704" w:rsidP="07195704">
            <w:r w:rsidRPr="07195704">
              <w:rPr>
                <w:sz w:val="20"/>
                <w:szCs w:val="20"/>
              </w:rPr>
              <w:t>Infrastructure</w:t>
            </w:r>
          </w:p>
        </w:tc>
        <w:tc>
          <w:tcPr>
            <w:tcW w:w="152" w:type="dxa"/>
            <w:tcBorders>
              <w:top w:val="nil"/>
              <w:left w:val="nil"/>
              <w:bottom w:val="nil"/>
              <w:right w:val="nil"/>
            </w:tcBorders>
            <w:tcMar>
              <w:top w:w="15" w:type="dxa"/>
              <w:left w:w="15" w:type="dxa"/>
              <w:right w:w="15" w:type="dxa"/>
            </w:tcMar>
            <w:vAlign w:val="bottom"/>
          </w:tcPr>
          <w:p w14:paraId="1F13D1D1" w14:textId="63C085A2" w:rsidR="07195704" w:rsidRDefault="07195704"/>
        </w:tc>
        <w:tc>
          <w:tcPr>
            <w:tcW w:w="1011" w:type="dxa"/>
            <w:tcBorders>
              <w:top w:val="nil"/>
              <w:left w:val="nil"/>
              <w:bottom w:val="nil"/>
              <w:right w:val="nil"/>
            </w:tcBorders>
            <w:tcMar>
              <w:top w:w="15" w:type="dxa"/>
              <w:left w:w="15" w:type="dxa"/>
              <w:right w:w="15" w:type="dxa"/>
            </w:tcMar>
            <w:vAlign w:val="bottom"/>
          </w:tcPr>
          <w:p w14:paraId="71F631C5" w14:textId="3628B20A" w:rsidR="07195704" w:rsidRDefault="07195704" w:rsidP="07195704">
            <w:r w:rsidRPr="07195704">
              <w:rPr>
                <w:sz w:val="20"/>
                <w:szCs w:val="20"/>
              </w:rPr>
              <w:t xml:space="preserve">-   </w:t>
            </w:r>
          </w:p>
        </w:tc>
        <w:tc>
          <w:tcPr>
            <w:tcW w:w="1036" w:type="dxa"/>
            <w:tcBorders>
              <w:top w:val="nil"/>
              <w:left w:val="nil"/>
              <w:bottom w:val="nil"/>
              <w:right w:val="nil"/>
            </w:tcBorders>
            <w:shd w:val="clear" w:color="auto" w:fill="D9D9D9" w:themeFill="background1" w:themeFillShade="D9"/>
            <w:tcMar>
              <w:top w:w="15" w:type="dxa"/>
              <w:left w:w="15" w:type="dxa"/>
              <w:right w:w="15" w:type="dxa"/>
            </w:tcMar>
            <w:vAlign w:val="bottom"/>
          </w:tcPr>
          <w:p w14:paraId="35F5A04C" w14:textId="5829BADB" w:rsidR="07195704" w:rsidRDefault="07195704" w:rsidP="07195704">
            <w:r w:rsidRPr="07195704">
              <w:rPr>
                <w:sz w:val="20"/>
                <w:szCs w:val="20"/>
              </w:rPr>
              <w:t xml:space="preserve"> -   </w:t>
            </w:r>
          </w:p>
        </w:tc>
        <w:tc>
          <w:tcPr>
            <w:tcW w:w="847" w:type="dxa"/>
            <w:tcBorders>
              <w:top w:val="nil"/>
              <w:left w:val="nil"/>
              <w:bottom w:val="nil"/>
              <w:right w:val="nil"/>
            </w:tcBorders>
            <w:tcMar>
              <w:top w:w="15" w:type="dxa"/>
              <w:left w:w="15" w:type="dxa"/>
              <w:right w:w="15" w:type="dxa"/>
            </w:tcMar>
            <w:vAlign w:val="bottom"/>
          </w:tcPr>
          <w:p w14:paraId="5666231F" w14:textId="0B3DA778" w:rsidR="07195704" w:rsidRDefault="07195704" w:rsidP="07195704">
            <w:r w:rsidRPr="07195704">
              <w:rPr>
                <w:sz w:val="20"/>
                <w:szCs w:val="20"/>
              </w:rPr>
              <w:t xml:space="preserve"> -   </w:t>
            </w:r>
          </w:p>
        </w:tc>
        <w:tc>
          <w:tcPr>
            <w:tcW w:w="1006" w:type="dxa"/>
            <w:tcBorders>
              <w:top w:val="nil"/>
              <w:left w:val="nil"/>
              <w:bottom w:val="nil"/>
              <w:right w:val="nil"/>
            </w:tcBorders>
            <w:tcMar>
              <w:top w:w="15" w:type="dxa"/>
              <w:left w:w="15" w:type="dxa"/>
              <w:right w:w="15" w:type="dxa"/>
            </w:tcMar>
            <w:vAlign w:val="bottom"/>
          </w:tcPr>
          <w:p w14:paraId="0456D62E" w14:textId="2A4AC6E2" w:rsidR="07195704" w:rsidRDefault="07195704" w:rsidP="07195704">
            <w:r w:rsidRPr="07195704">
              <w:rPr>
                <w:sz w:val="20"/>
                <w:szCs w:val="20"/>
              </w:rPr>
              <w:t xml:space="preserve"> -   </w:t>
            </w:r>
          </w:p>
        </w:tc>
        <w:tc>
          <w:tcPr>
            <w:tcW w:w="831" w:type="dxa"/>
            <w:tcBorders>
              <w:top w:val="nil"/>
              <w:left w:val="nil"/>
              <w:bottom w:val="nil"/>
              <w:right w:val="nil"/>
            </w:tcBorders>
            <w:tcMar>
              <w:top w:w="15" w:type="dxa"/>
              <w:left w:w="15" w:type="dxa"/>
              <w:right w:w="15" w:type="dxa"/>
            </w:tcMar>
            <w:vAlign w:val="bottom"/>
          </w:tcPr>
          <w:p w14:paraId="071F75A5" w14:textId="2E33E879" w:rsidR="07195704" w:rsidRDefault="07195704" w:rsidP="07195704">
            <w:r w:rsidRPr="07195704">
              <w:rPr>
                <w:sz w:val="20"/>
                <w:szCs w:val="20"/>
              </w:rPr>
              <w:t xml:space="preserve"> 0.4 </w:t>
            </w:r>
          </w:p>
        </w:tc>
        <w:tc>
          <w:tcPr>
            <w:tcW w:w="1158" w:type="dxa"/>
            <w:tcBorders>
              <w:top w:val="nil"/>
              <w:left w:val="nil"/>
              <w:bottom w:val="nil"/>
              <w:right w:val="nil"/>
            </w:tcBorders>
            <w:tcMar>
              <w:top w:w="15" w:type="dxa"/>
              <w:left w:w="15" w:type="dxa"/>
              <w:right w:w="15" w:type="dxa"/>
            </w:tcMar>
            <w:vAlign w:val="bottom"/>
          </w:tcPr>
          <w:p w14:paraId="4E89EE6D" w14:textId="624250E5" w:rsidR="07195704" w:rsidRDefault="07195704" w:rsidP="07195704">
            <w:r w:rsidRPr="07195704">
              <w:rPr>
                <w:sz w:val="20"/>
                <w:szCs w:val="20"/>
              </w:rPr>
              <w:t xml:space="preserve"> 166.5 </w:t>
            </w:r>
          </w:p>
        </w:tc>
        <w:tc>
          <w:tcPr>
            <w:tcW w:w="1074" w:type="dxa"/>
            <w:tcBorders>
              <w:top w:val="nil"/>
              <w:left w:val="nil"/>
              <w:bottom w:val="nil"/>
              <w:right w:val="nil"/>
            </w:tcBorders>
            <w:tcMar>
              <w:top w:w="15" w:type="dxa"/>
              <w:left w:w="15" w:type="dxa"/>
              <w:right w:w="15" w:type="dxa"/>
            </w:tcMar>
            <w:vAlign w:val="bottom"/>
          </w:tcPr>
          <w:p w14:paraId="6C3CF241" w14:textId="452A17FA" w:rsidR="07195704" w:rsidRDefault="07195704" w:rsidP="07195704">
            <w:r w:rsidRPr="07195704">
              <w:rPr>
                <w:sz w:val="20"/>
                <w:szCs w:val="20"/>
              </w:rPr>
              <w:t xml:space="preserve"> 185.7 </w:t>
            </w:r>
          </w:p>
        </w:tc>
        <w:tc>
          <w:tcPr>
            <w:tcW w:w="1037" w:type="dxa"/>
            <w:tcBorders>
              <w:top w:val="nil"/>
              <w:left w:val="nil"/>
              <w:bottom w:val="nil"/>
              <w:right w:val="nil"/>
            </w:tcBorders>
            <w:tcMar>
              <w:top w:w="15" w:type="dxa"/>
              <w:left w:w="15" w:type="dxa"/>
              <w:right w:w="15" w:type="dxa"/>
            </w:tcMar>
            <w:vAlign w:val="bottom"/>
          </w:tcPr>
          <w:p w14:paraId="35B632E8" w14:textId="5ED20501" w:rsidR="07195704" w:rsidRDefault="07195704" w:rsidP="07195704">
            <w:r w:rsidRPr="07195704">
              <w:rPr>
                <w:sz w:val="20"/>
                <w:szCs w:val="20"/>
              </w:rPr>
              <w:t xml:space="preserve"> -   </w:t>
            </w:r>
          </w:p>
        </w:tc>
      </w:tr>
      <w:tr w:rsidR="07195704" w14:paraId="56DEC6B0" w14:textId="77777777" w:rsidTr="00797FC8">
        <w:trPr>
          <w:trHeight w:val="258"/>
        </w:trPr>
        <w:tc>
          <w:tcPr>
            <w:tcW w:w="1573"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137CA7A6" w14:textId="033BA4C6" w:rsidR="07195704" w:rsidRDefault="07195704" w:rsidP="07195704">
            <w:r w:rsidRPr="07195704">
              <w:rPr>
                <w:b/>
                <w:bCs/>
                <w:sz w:val="20"/>
                <w:szCs w:val="20"/>
              </w:rPr>
              <w:t>Total expenditure</w:t>
            </w:r>
            <w:r w:rsidRPr="07195704">
              <w:rPr>
                <w:sz w:val="20"/>
                <w:szCs w:val="20"/>
              </w:rPr>
              <w:t xml:space="preserve"> </w:t>
            </w:r>
          </w:p>
        </w:tc>
        <w:tc>
          <w:tcPr>
            <w:tcW w:w="15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02F1B7AB" w14:textId="3BAFE2FA" w:rsidR="07195704" w:rsidRDefault="07195704"/>
        </w:tc>
        <w:tc>
          <w:tcPr>
            <w:tcW w:w="1011"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6CCBE6A" w14:textId="1CE6F5B8" w:rsidR="07195704" w:rsidRDefault="07195704" w:rsidP="07195704">
            <w:r w:rsidRPr="07195704">
              <w:rPr>
                <w:b/>
                <w:bCs/>
                <w:sz w:val="20"/>
                <w:szCs w:val="20"/>
              </w:rPr>
              <w:t xml:space="preserve">78.7 </w:t>
            </w:r>
          </w:p>
        </w:tc>
        <w:tc>
          <w:tcPr>
            <w:tcW w:w="1036" w:type="dxa"/>
            <w:tcBorders>
              <w:top w:val="single" w:sz="4" w:space="0" w:color="A5A6A5"/>
              <w:left w:val="nil"/>
              <w:bottom w:val="single" w:sz="4" w:space="0" w:color="A5A6A5"/>
              <w:right w:val="nil"/>
            </w:tcBorders>
            <w:shd w:val="clear" w:color="auto" w:fill="D9D9D9" w:themeFill="background1" w:themeFillShade="D9"/>
            <w:tcMar>
              <w:top w:w="15" w:type="dxa"/>
              <w:left w:w="15" w:type="dxa"/>
              <w:right w:w="15" w:type="dxa"/>
            </w:tcMar>
            <w:vAlign w:val="bottom"/>
          </w:tcPr>
          <w:p w14:paraId="7761F4AA" w14:textId="6C8ED844" w:rsidR="07195704" w:rsidRDefault="07195704" w:rsidP="07195704">
            <w:r w:rsidRPr="07195704">
              <w:rPr>
                <w:b/>
                <w:bCs/>
                <w:sz w:val="20"/>
                <w:szCs w:val="20"/>
              </w:rPr>
              <w:t xml:space="preserve"> 128.5 </w:t>
            </w:r>
          </w:p>
        </w:tc>
        <w:tc>
          <w:tcPr>
            <w:tcW w:w="847"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41E00873" w14:textId="4D052083" w:rsidR="07195704" w:rsidRDefault="07195704" w:rsidP="07195704">
            <w:r w:rsidRPr="07195704">
              <w:rPr>
                <w:b/>
                <w:bCs/>
                <w:sz w:val="20"/>
                <w:szCs w:val="20"/>
              </w:rPr>
              <w:t xml:space="preserve"> 22.4 </w:t>
            </w:r>
          </w:p>
        </w:tc>
        <w:tc>
          <w:tcPr>
            <w:tcW w:w="1006"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13D149B4" w14:textId="6EFFF94A" w:rsidR="07195704" w:rsidRDefault="07195704" w:rsidP="07195704">
            <w:r w:rsidRPr="07195704">
              <w:rPr>
                <w:b/>
                <w:bCs/>
                <w:sz w:val="20"/>
                <w:szCs w:val="20"/>
              </w:rPr>
              <w:t xml:space="preserve"> 10.0 </w:t>
            </w:r>
          </w:p>
        </w:tc>
        <w:tc>
          <w:tcPr>
            <w:tcW w:w="831"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3DEA2C84" w14:textId="13EF6CF1" w:rsidR="07195704" w:rsidRDefault="07195704" w:rsidP="07195704">
            <w:r w:rsidRPr="07195704">
              <w:rPr>
                <w:b/>
                <w:bCs/>
                <w:sz w:val="20"/>
                <w:szCs w:val="20"/>
              </w:rPr>
              <w:t xml:space="preserve"> 0.4 </w:t>
            </w:r>
          </w:p>
        </w:tc>
        <w:tc>
          <w:tcPr>
            <w:tcW w:w="1158"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59BB94E" w14:textId="34B79A1B" w:rsidR="07195704" w:rsidRDefault="07195704" w:rsidP="07195704">
            <w:r w:rsidRPr="07195704">
              <w:rPr>
                <w:b/>
                <w:bCs/>
                <w:sz w:val="20"/>
                <w:szCs w:val="20"/>
              </w:rPr>
              <w:t xml:space="preserve"> 166.5 </w:t>
            </w:r>
          </w:p>
        </w:tc>
        <w:tc>
          <w:tcPr>
            <w:tcW w:w="1074"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EB6555C" w14:textId="29D978E1" w:rsidR="07195704" w:rsidRDefault="07195704" w:rsidP="07195704">
            <w:r w:rsidRPr="07195704">
              <w:rPr>
                <w:b/>
                <w:bCs/>
                <w:sz w:val="20"/>
                <w:szCs w:val="20"/>
              </w:rPr>
              <w:t xml:space="preserve"> 185.7 </w:t>
            </w:r>
          </w:p>
        </w:tc>
        <w:tc>
          <w:tcPr>
            <w:tcW w:w="1037"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54F58C4" w14:textId="2BE8061D" w:rsidR="07195704" w:rsidRDefault="07195704" w:rsidP="07195704">
            <w:r w:rsidRPr="07195704">
              <w:rPr>
                <w:b/>
                <w:bCs/>
                <w:sz w:val="20"/>
                <w:szCs w:val="20"/>
              </w:rPr>
              <w:t xml:space="preserve"> -   </w:t>
            </w:r>
          </w:p>
        </w:tc>
      </w:tr>
    </w:tbl>
    <w:p w14:paraId="0DDD1353" w14:textId="636DF644" w:rsidR="722B635C" w:rsidRDefault="722B635C" w:rsidP="003B6A3E">
      <w:pPr>
        <w:pStyle w:val="ListParagraph"/>
        <w:numPr>
          <w:ilvl w:val="0"/>
          <w:numId w:val="39"/>
        </w:numPr>
        <w:spacing w:before="375" w:after="375" w:line="259" w:lineRule="auto"/>
        <w:jc w:val="both"/>
        <w:rPr>
          <w:rFonts w:eastAsia="Foundry Form Sans" w:cs="Foundry Form Sans"/>
          <w:color w:val="auto"/>
        </w:rPr>
      </w:pPr>
      <w:r w:rsidRPr="16A89082">
        <w:rPr>
          <w:rFonts w:eastAsia="Foundry Form Sans" w:cs="Foundry Form Sans"/>
          <w:color w:val="auto"/>
        </w:rPr>
        <w:t xml:space="preserve">The Heat Network and Land Assembly programmes are outlined in the 5-year </w:t>
      </w:r>
      <w:r w:rsidR="004F0C7A">
        <w:rPr>
          <w:rFonts w:eastAsia="Foundry Form Sans" w:cs="Foundry Form Sans"/>
          <w:color w:val="auto"/>
        </w:rPr>
        <w:t>c</w:t>
      </w:r>
      <w:r w:rsidRPr="16A89082">
        <w:rPr>
          <w:rFonts w:eastAsia="Foundry Form Sans" w:cs="Foundry Form Sans"/>
          <w:color w:val="auto"/>
        </w:rPr>
        <w:t xml:space="preserve">apital </w:t>
      </w:r>
      <w:r w:rsidR="004F0C7A">
        <w:rPr>
          <w:rFonts w:eastAsia="Foundry Form Sans" w:cs="Foundry Form Sans"/>
          <w:color w:val="auto"/>
        </w:rPr>
        <w:t>s</w:t>
      </w:r>
      <w:r w:rsidRPr="16A89082">
        <w:rPr>
          <w:rFonts w:eastAsia="Foundry Form Sans" w:cs="Foundry Form Sans"/>
          <w:color w:val="auto"/>
        </w:rPr>
        <w:t xml:space="preserve">pending </w:t>
      </w:r>
      <w:r w:rsidR="004F0C7A">
        <w:rPr>
          <w:rFonts w:eastAsia="Foundry Form Sans" w:cs="Foundry Form Sans"/>
          <w:color w:val="auto"/>
        </w:rPr>
        <w:t>p</w:t>
      </w:r>
      <w:r w:rsidRPr="16A89082">
        <w:rPr>
          <w:rFonts w:eastAsia="Foundry Form Sans" w:cs="Foundry Form Sans"/>
          <w:color w:val="auto"/>
        </w:rPr>
        <w:t>lan</w:t>
      </w:r>
      <w:r w:rsidR="24D83AD6" w:rsidRPr="16A89082">
        <w:rPr>
          <w:rFonts w:eastAsia="Foundry Form Sans" w:cs="Foundry Form Sans"/>
          <w:color w:val="auto"/>
        </w:rPr>
        <w:t xml:space="preserve"> section above</w:t>
      </w:r>
      <w:r w:rsidRPr="16A89082">
        <w:rPr>
          <w:rFonts w:eastAsia="Foundry Form Sans" w:cs="Foundry Form Sans"/>
          <w:color w:val="auto"/>
        </w:rPr>
        <w:t>.</w:t>
      </w:r>
    </w:p>
    <w:p w14:paraId="24015ED1" w14:textId="1D77D4E3" w:rsidR="16A89082" w:rsidRDefault="16A89082" w:rsidP="16A89082">
      <w:pPr>
        <w:pStyle w:val="ListParagraph"/>
        <w:spacing w:before="375" w:after="375" w:line="259" w:lineRule="auto"/>
        <w:ind w:left="680"/>
        <w:jc w:val="both"/>
        <w:rPr>
          <w:rFonts w:eastAsia="Foundry Form Sans" w:cs="Foundry Form Sans"/>
          <w:color w:val="auto"/>
        </w:rPr>
      </w:pPr>
    </w:p>
    <w:p w14:paraId="4707868F" w14:textId="7080A952" w:rsidR="3043A10B" w:rsidRDefault="583B2E0C" w:rsidP="003B6A3E">
      <w:pPr>
        <w:pStyle w:val="ListParagraph"/>
        <w:numPr>
          <w:ilvl w:val="0"/>
          <w:numId w:val="39"/>
        </w:numPr>
        <w:spacing w:before="375" w:after="375" w:line="259" w:lineRule="auto"/>
        <w:jc w:val="both"/>
        <w:rPr>
          <w:color w:val="000000" w:themeColor="text1"/>
        </w:rPr>
      </w:pPr>
      <w:r w:rsidRPr="678D5708">
        <w:rPr>
          <w:color w:val="000000" w:themeColor="text1"/>
        </w:rPr>
        <w:t>Infrastructure costs</w:t>
      </w:r>
      <w:r w:rsidR="6B572FB3" w:rsidRPr="678D5708">
        <w:rPr>
          <w:color w:val="000000" w:themeColor="text1"/>
        </w:rPr>
        <w:t xml:space="preserve"> are expected to </w:t>
      </w:r>
      <w:r w:rsidR="3BFEF9F1" w:rsidRPr="678D5708">
        <w:rPr>
          <w:color w:val="000000" w:themeColor="text1"/>
        </w:rPr>
        <w:t xml:space="preserve">be </w:t>
      </w:r>
      <w:r w:rsidRPr="678D5708">
        <w:rPr>
          <w:color w:val="000000" w:themeColor="text1"/>
        </w:rPr>
        <w:t>approximately £352</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(£167</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2029-30 to 2033-34 and £186</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2034-5 to 2038-39). OPDC continue to progress forward with the intention of securing </w:t>
      </w:r>
      <w:r w:rsidR="00A34875">
        <w:rPr>
          <w:color w:val="000000" w:themeColor="text1"/>
        </w:rPr>
        <w:t>g</w:t>
      </w:r>
      <w:r w:rsidRPr="678D5708">
        <w:rPr>
          <w:color w:val="000000" w:themeColor="text1"/>
        </w:rPr>
        <w:t>overnment agenc</w:t>
      </w:r>
      <w:r w:rsidR="698B3EB3" w:rsidRPr="678D5708">
        <w:rPr>
          <w:color w:val="000000" w:themeColor="text1"/>
        </w:rPr>
        <w:t>y</w:t>
      </w:r>
      <w:r w:rsidRPr="678D5708">
        <w:rPr>
          <w:color w:val="000000" w:themeColor="text1"/>
        </w:rPr>
        <w:t xml:space="preserve"> grants and developer contributions to offset these costs.</w:t>
      </w:r>
    </w:p>
    <w:p w14:paraId="65D9254D" w14:textId="4A633E24" w:rsidR="43DB40C9" w:rsidRDefault="43DB40C9" w:rsidP="00797FC8">
      <w:pPr>
        <w:spacing w:before="375" w:after="375"/>
        <w:ind w:left="680"/>
        <w:jc w:val="both"/>
        <w:rPr>
          <w:rFonts w:eastAsiaTheme="minorEastAsia"/>
          <w:b/>
          <w:bCs/>
          <w:color w:val="auto"/>
        </w:rPr>
      </w:pPr>
      <w:r w:rsidRPr="23D8A931">
        <w:rPr>
          <w:rFonts w:eastAsiaTheme="minorEastAsia"/>
          <w:b/>
          <w:bCs/>
          <w:color w:val="auto"/>
        </w:rPr>
        <w:t>20-Year Capital Funding</w:t>
      </w:r>
    </w:p>
    <w:p w14:paraId="42E0CF29" w14:textId="76EE4BC4" w:rsidR="18307BDE" w:rsidRDefault="399609CD" w:rsidP="003B6A3E">
      <w:pPr>
        <w:pStyle w:val="ListParagraph"/>
        <w:numPr>
          <w:ilvl w:val="0"/>
          <w:numId w:val="39"/>
        </w:numPr>
        <w:spacing w:before="375" w:after="375" w:line="259" w:lineRule="auto"/>
        <w:jc w:val="both"/>
        <w:rPr>
          <w:rFonts w:eastAsia="Foundry Form Sans" w:cs="Foundry Form Sans"/>
          <w:color w:val="auto"/>
        </w:rPr>
      </w:pPr>
      <w:r w:rsidRPr="23D8A931">
        <w:rPr>
          <w:rFonts w:eastAsia="Foundry Form Sans" w:cs="Foundry Form Sans"/>
          <w:color w:val="auto"/>
        </w:rPr>
        <w:t xml:space="preserve">Funding for OPDC’s </w:t>
      </w:r>
      <w:r w:rsidR="0CF99103" w:rsidRPr="23D8A931">
        <w:rPr>
          <w:rFonts w:eastAsia="Foundry Form Sans" w:cs="Foundry Form Sans"/>
          <w:color w:val="auto"/>
        </w:rPr>
        <w:t>c</w:t>
      </w:r>
      <w:r w:rsidRPr="23D8A931">
        <w:rPr>
          <w:rFonts w:eastAsia="Foundry Form Sans" w:cs="Foundry Form Sans"/>
          <w:color w:val="auto"/>
        </w:rPr>
        <w:t xml:space="preserve">apital programme is outlined in Table </w:t>
      </w:r>
      <w:r w:rsidR="0A30DB16" w:rsidRPr="23D8A931">
        <w:rPr>
          <w:rFonts w:eastAsia="Foundry Form Sans" w:cs="Foundry Form Sans"/>
          <w:color w:val="auto"/>
        </w:rPr>
        <w:t>6</w:t>
      </w:r>
      <w:r w:rsidRPr="23D8A931">
        <w:rPr>
          <w:rFonts w:eastAsia="Foundry Form Sans" w:cs="Foundry Form Sans"/>
          <w:color w:val="auto"/>
        </w:rPr>
        <w:t xml:space="preserve"> below.</w:t>
      </w:r>
    </w:p>
    <w:p w14:paraId="43B0526A" w14:textId="01474600" w:rsidR="7097C199" w:rsidRDefault="7097C199" w:rsidP="00797FC8">
      <w:pPr>
        <w:spacing w:before="375" w:after="375"/>
        <w:ind w:left="680"/>
        <w:jc w:val="both"/>
        <w:rPr>
          <w:rFonts w:eastAsia="Foundry Form Sans" w:cs="Foundry Form Sans"/>
          <w:b/>
          <w:bCs/>
          <w:color w:val="auto"/>
        </w:rPr>
      </w:pPr>
      <w:r w:rsidRPr="07195704">
        <w:rPr>
          <w:rFonts w:eastAsia="Foundry Form Sans" w:cs="Foundry Form Sans"/>
          <w:b/>
          <w:bCs/>
          <w:color w:val="auto"/>
        </w:rPr>
        <w:t xml:space="preserve">Table 6: </w:t>
      </w:r>
      <w:r w:rsidR="187A2A59" w:rsidRPr="07195704">
        <w:rPr>
          <w:rFonts w:eastAsia="Foundry Form Sans" w:cs="Foundry Form Sans"/>
          <w:b/>
          <w:bCs/>
          <w:color w:val="auto"/>
        </w:rPr>
        <w:t>OPDC – 20 Year Capital Funding Plan</w:t>
      </w:r>
    </w:p>
    <w:tbl>
      <w:tblPr>
        <w:tblW w:w="9699" w:type="dxa"/>
        <w:tblInd w:w="705" w:type="dxa"/>
        <w:tblLayout w:type="fixed"/>
        <w:tblLook w:val="06A0" w:firstRow="1" w:lastRow="0" w:firstColumn="1" w:lastColumn="0" w:noHBand="1" w:noVBand="1"/>
      </w:tblPr>
      <w:tblGrid>
        <w:gridCol w:w="1580"/>
        <w:gridCol w:w="375"/>
        <w:gridCol w:w="870"/>
        <w:gridCol w:w="860"/>
        <w:gridCol w:w="975"/>
        <w:gridCol w:w="912"/>
        <w:gridCol w:w="934"/>
        <w:gridCol w:w="1150"/>
        <w:gridCol w:w="1032"/>
        <w:gridCol w:w="1011"/>
      </w:tblGrid>
      <w:tr w:rsidR="07195704" w14:paraId="512B2451" w14:textId="77777777" w:rsidTr="1FA2E292">
        <w:trPr>
          <w:trHeight w:val="806"/>
        </w:trPr>
        <w:tc>
          <w:tcPr>
            <w:tcW w:w="1580" w:type="dxa"/>
            <w:tcBorders>
              <w:top w:val="nil"/>
              <w:left w:val="nil"/>
              <w:bottom w:val="nil"/>
              <w:right w:val="nil"/>
            </w:tcBorders>
            <w:shd w:val="clear" w:color="auto" w:fill="FFFFFF" w:themeFill="background1"/>
            <w:tcMar>
              <w:top w:w="15" w:type="dxa"/>
              <w:left w:w="15" w:type="dxa"/>
              <w:right w:w="15" w:type="dxa"/>
            </w:tcMar>
            <w:vAlign w:val="bottom"/>
          </w:tcPr>
          <w:p w14:paraId="790636EB" w14:textId="288E28A3" w:rsidR="07195704" w:rsidRDefault="07195704" w:rsidP="07195704">
            <w:r w:rsidRPr="153ADA39">
              <w:rPr>
                <w:b/>
                <w:bCs/>
                <w:sz w:val="20"/>
                <w:szCs w:val="20"/>
              </w:rPr>
              <w:t xml:space="preserve">OPDC - </w:t>
            </w:r>
            <w:r w:rsidR="38D90ACC" w:rsidRPr="153ADA39">
              <w:rPr>
                <w:b/>
                <w:bCs/>
                <w:sz w:val="20"/>
                <w:szCs w:val="20"/>
              </w:rPr>
              <w:t>C</w:t>
            </w:r>
            <w:r w:rsidRPr="153ADA39">
              <w:rPr>
                <w:b/>
                <w:bCs/>
                <w:sz w:val="20"/>
                <w:szCs w:val="20"/>
              </w:rPr>
              <w:t xml:space="preserve">apital </w:t>
            </w:r>
            <w:r w:rsidR="28B5E1EB" w:rsidRPr="153ADA39">
              <w:rPr>
                <w:b/>
                <w:bCs/>
                <w:sz w:val="20"/>
                <w:szCs w:val="20"/>
              </w:rPr>
              <w:t>S</w:t>
            </w:r>
            <w:r w:rsidRPr="153ADA39">
              <w:rPr>
                <w:b/>
                <w:bCs/>
                <w:sz w:val="20"/>
                <w:szCs w:val="20"/>
              </w:rPr>
              <w:t xml:space="preserve">pending </w:t>
            </w:r>
            <w:r w:rsidR="4F041A99" w:rsidRPr="153ADA39">
              <w:rPr>
                <w:b/>
                <w:bCs/>
                <w:sz w:val="20"/>
                <w:szCs w:val="20"/>
              </w:rPr>
              <w:t>P</w:t>
            </w:r>
            <w:r w:rsidRPr="153ADA39">
              <w:rPr>
                <w:b/>
                <w:bCs/>
                <w:sz w:val="20"/>
                <w:szCs w:val="20"/>
              </w:rPr>
              <w:t>lan</w:t>
            </w:r>
            <w:r w:rsidRPr="153ADA39">
              <w:rPr>
                <w:sz w:val="20"/>
                <w:szCs w:val="20"/>
              </w:rPr>
              <w:t xml:space="preserve"> </w:t>
            </w:r>
          </w:p>
        </w:tc>
        <w:tc>
          <w:tcPr>
            <w:tcW w:w="375" w:type="dxa"/>
            <w:tcBorders>
              <w:top w:val="nil"/>
              <w:left w:val="nil"/>
              <w:bottom w:val="nil"/>
              <w:right w:val="nil"/>
            </w:tcBorders>
            <w:shd w:val="clear" w:color="auto" w:fill="FFFFFF" w:themeFill="background1"/>
            <w:tcMar>
              <w:top w:w="15" w:type="dxa"/>
              <w:left w:w="15" w:type="dxa"/>
              <w:right w:w="15" w:type="dxa"/>
            </w:tcMar>
            <w:vAlign w:val="bottom"/>
          </w:tcPr>
          <w:p w14:paraId="6D0F5A57" w14:textId="0E7F7244" w:rsidR="07195704" w:rsidRDefault="07195704"/>
        </w:tc>
        <w:tc>
          <w:tcPr>
            <w:tcW w:w="870" w:type="dxa"/>
            <w:tcBorders>
              <w:top w:val="nil"/>
              <w:left w:val="nil"/>
              <w:bottom w:val="nil"/>
              <w:right w:val="nil"/>
            </w:tcBorders>
            <w:shd w:val="clear" w:color="auto" w:fill="FFFFFF" w:themeFill="background1"/>
            <w:tcMar>
              <w:top w:w="15" w:type="dxa"/>
              <w:left w:w="15" w:type="dxa"/>
              <w:right w:w="15" w:type="dxa"/>
            </w:tcMar>
            <w:vAlign w:val="bottom"/>
          </w:tcPr>
          <w:p w14:paraId="392CB396" w14:textId="5E7EC1A1" w:rsidR="07195704" w:rsidRDefault="07195704" w:rsidP="07195704">
            <w:r w:rsidRPr="07195704">
              <w:rPr>
                <w:b/>
                <w:bCs/>
                <w:sz w:val="20"/>
                <w:szCs w:val="20"/>
              </w:rPr>
              <w:t>Forecast Outturn</w:t>
            </w:r>
            <w:r w:rsidRPr="07195704">
              <w:rPr>
                <w:sz w:val="20"/>
                <w:szCs w:val="20"/>
              </w:rPr>
              <w:t xml:space="preserve"> </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A7C257B" w14:textId="52D2A4C4" w:rsidR="07195704" w:rsidRDefault="07195704" w:rsidP="07195704">
            <w:r w:rsidRPr="07195704">
              <w:rPr>
                <w:b/>
                <w:bCs/>
                <w:sz w:val="20"/>
                <w:szCs w:val="20"/>
              </w:rPr>
              <w:t>Budget</w:t>
            </w:r>
            <w:r w:rsidRPr="07195704">
              <w:rPr>
                <w:sz w:val="20"/>
                <w:szCs w:val="20"/>
              </w:rPr>
              <w:t xml:space="preserve"> </w:t>
            </w:r>
          </w:p>
        </w:tc>
        <w:tc>
          <w:tcPr>
            <w:tcW w:w="975" w:type="dxa"/>
            <w:tcBorders>
              <w:top w:val="nil"/>
              <w:left w:val="nil"/>
              <w:bottom w:val="nil"/>
              <w:right w:val="nil"/>
            </w:tcBorders>
            <w:shd w:val="clear" w:color="auto" w:fill="FFFFFF" w:themeFill="background1"/>
            <w:tcMar>
              <w:top w:w="15" w:type="dxa"/>
              <w:left w:w="15" w:type="dxa"/>
              <w:right w:w="15" w:type="dxa"/>
            </w:tcMar>
            <w:vAlign w:val="bottom"/>
          </w:tcPr>
          <w:p w14:paraId="2D016775" w14:textId="36F76A69" w:rsidR="07195704" w:rsidRDefault="07195704" w:rsidP="07195704">
            <w:r w:rsidRPr="07195704">
              <w:rPr>
                <w:b/>
                <w:bCs/>
                <w:sz w:val="20"/>
                <w:szCs w:val="20"/>
              </w:rPr>
              <w:t>Plan</w:t>
            </w:r>
            <w:r w:rsidRPr="07195704">
              <w:rPr>
                <w:sz w:val="20"/>
                <w:szCs w:val="20"/>
              </w:rPr>
              <w:t xml:space="preserve"> </w:t>
            </w:r>
          </w:p>
        </w:tc>
        <w:tc>
          <w:tcPr>
            <w:tcW w:w="912" w:type="dxa"/>
            <w:tcBorders>
              <w:top w:val="nil"/>
              <w:left w:val="nil"/>
              <w:bottom w:val="nil"/>
              <w:right w:val="nil"/>
            </w:tcBorders>
            <w:shd w:val="clear" w:color="auto" w:fill="FFFFFF" w:themeFill="background1"/>
            <w:tcMar>
              <w:top w:w="15" w:type="dxa"/>
              <w:left w:w="15" w:type="dxa"/>
              <w:right w:w="15" w:type="dxa"/>
            </w:tcMar>
            <w:vAlign w:val="bottom"/>
          </w:tcPr>
          <w:p w14:paraId="434030C0" w14:textId="0CBA1A3A" w:rsidR="07195704" w:rsidRDefault="07195704" w:rsidP="07195704">
            <w:r w:rsidRPr="07195704">
              <w:rPr>
                <w:b/>
                <w:bCs/>
                <w:sz w:val="20"/>
                <w:szCs w:val="20"/>
              </w:rPr>
              <w:t>Plan</w:t>
            </w:r>
            <w:r w:rsidRPr="07195704">
              <w:rPr>
                <w:sz w:val="20"/>
                <w:szCs w:val="20"/>
              </w:rPr>
              <w:t xml:space="preserve"> </w:t>
            </w:r>
          </w:p>
        </w:tc>
        <w:tc>
          <w:tcPr>
            <w:tcW w:w="934" w:type="dxa"/>
            <w:tcBorders>
              <w:top w:val="nil"/>
              <w:left w:val="nil"/>
              <w:bottom w:val="nil"/>
              <w:right w:val="nil"/>
            </w:tcBorders>
            <w:shd w:val="clear" w:color="auto" w:fill="FFFFFF" w:themeFill="background1"/>
            <w:tcMar>
              <w:top w:w="15" w:type="dxa"/>
              <w:left w:w="15" w:type="dxa"/>
              <w:right w:w="15" w:type="dxa"/>
            </w:tcMar>
            <w:vAlign w:val="bottom"/>
          </w:tcPr>
          <w:p w14:paraId="6B8E47CD" w14:textId="300A9865" w:rsidR="07195704" w:rsidRDefault="07195704" w:rsidP="07195704">
            <w:r w:rsidRPr="07195704">
              <w:rPr>
                <w:b/>
                <w:bCs/>
                <w:sz w:val="20"/>
                <w:szCs w:val="20"/>
              </w:rPr>
              <w:t>Plan</w:t>
            </w:r>
            <w:r w:rsidRPr="07195704">
              <w:rPr>
                <w:sz w:val="20"/>
                <w:szCs w:val="20"/>
              </w:rPr>
              <w:t xml:space="preserve"> </w:t>
            </w:r>
          </w:p>
        </w:tc>
        <w:tc>
          <w:tcPr>
            <w:tcW w:w="1150" w:type="dxa"/>
            <w:tcBorders>
              <w:top w:val="nil"/>
              <w:left w:val="nil"/>
              <w:bottom w:val="nil"/>
              <w:right w:val="nil"/>
            </w:tcBorders>
            <w:shd w:val="clear" w:color="auto" w:fill="FFFFFF" w:themeFill="background1"/>
            <w:tcMar>
              <w:top w:w="15" w:type="dxa"/>
              <w:left w:w="15" w:type="dxa"/>
              <w:right w:w="15" w:type="dxa"/>
            </w:tcMar>
            <w:vAlign w:val="bottom"/>
          </w:tcPr>
          <w:p w14:paraId="103E0BD2" w14:textId="719E51B6" w:rsidR="07195704" w:rsidRDefault="07195704" w:rsidP="07195704">
            <w:r w:rsidRPr="07195704">
              <w:rPr>
                <w:b/>
                <w:bCs/>
                <w:sz w:val="20"/>
                <w:szCs w:val="20"/>
              </w:rPr>
              <w:t>Plan</w:t>
            </w:r>
            <w:r w:rsidRPr="07195704">
              <w:rPr>
                <w:sz w:val="20"/>
                <w:szCs w:val="20"/>
              </w:rPr>
              <w:t xml:space="preserve"> </w:t>
            </w:r>
          </w:p>
        </w:tc>
        <w:tc>
          <w:tcPr>
            <w:tcW w:w="1032" w:type="dxa"/>
            <w:tcBorders>
              <w:top w:val="nil"/>
              <w:left w:val="nil"/>
              <w:bottom w:val="nil"/>
              <w:right w:val="nil"/>
            </w:tcBorders>
            <w:shd w:val="clear" w:color="auto" w:fill="FFFFFF" w:themeFill="background1"/>
            <w:tcMar>
              <w:top w:w="15" w:type="dxa"/>
              <w:left w:w="15" w:type="dxa"/>
              <w:right w:w="15" w:type="dxa"/>
            </w:tcMar>
            <w:vAlign w:val="bottom"/>
          </w:tcPr>
          <w:p w14:paraId="2184BE84" w14:textId="2D20FD7A" w:rsidR="07195704" w:rsidRDefault="07195704" w:rsidP="07195704">
            <w:r w:rsidRPr="07195704">
              <w:rPr>
                <w:b/>
                <w:bCs/>
                <w:sz w:val="20"/>
                <w:szCs w:val="20"/>
              </w:rPr>
              <w:t>Plan</w:t>
            </w:r>
            <w:r w:rsidRPr="07195704">
              <w:rPr>
                <w:sz w:val="20"/>
                <w:szCs w:val="20"/>
              </w:rPr>
              <w:t xml:space="preserve"> </w:t>
            </w:r>
          </w:p>
        </w:tc>
        <w:tc>
          <w:tcPr>
            <w:tcW w:w="1011" w:type="dxa"/>
            <w:tcBorders>
              <w:top w:val="nil"/>
              <w:left w:val="nil"/>
              <w:bottom w:val="nil"/>
              <w:right w:val="nil"/>
            </w:tcBorders>
            <w:shd w:val="clear" w:color="auto" w:fill="FFFFFF" w:themeFill="background1"/>
            <w:tcMar>
              <w:top w:w="15" w:type="dxa"/>
              <w:left w:w="15" w:type="dxa"/>
              <w:right w:w="15" w:type="dxa"/>
            </w:tcMar>
            <w:vAlign w:val="bottom"/>
          </w:tcPr>
          <w:p w14:paraId="5CCEB4BE" w14:textId="6BE0B2F9" w:rsidR="07195704" w:rsidRDefault="07195704" w:rsidP="07195704">
            <w:r w:rsidRPr="07195704">
              <w:rPr>
                <w:b/>
                <w:bCs/>
                <w:sz w:val="20"/>
                <w:szCs w:val="20"/>
              </w:rPr>
              <w:t>Plan</w:t>
            </w:r>
            <w:r w:rsidRPr="07195704">
              <w:rPr>
                <w:sz w:val="20"/>
                <w:szCs w:val="20"/>
              </w:rPr>
              <w:t xml:space="preserve"> </w:t>
            </w:r>
          </w:p>
        </w:tc>
      </w:tr>
      <w:tr w:rsidR="07195704" w14:paraId="637F3032" w14:textId="77777777" w:rsidTr="1FA2E292">
        <w:trPr>
          <w:trHeight w:val="777"/>
        </w:trPr>
        <w:tc>
          <w:tcPr>
            <w:tcW w:w="1580" w:type="dxa"/>
            <w:tcBorders>
              <w:top w:val="nil"/>
              <w:left w:val="nil"/>
              <w:bottom w:val="nil"/>
              <w:right w:val="nil"/>
            </w:tcBorders>
            <w:shd w:val="clear" w:color="auto" w:fill="FFFFFF" w:themeFill="background1"/>
            <w:tcMar>
              <w:top w:w="15" w:type="dxa"/>
              <w:left w:w="15" w:type="dxa"/>
              <w:right w:w="15" w:type="dxa"/>
            </w:tcMar>
            <w:vAlign w:val="bottom"/>
          </w:tcPr>
          <w:p w14:paraId="3D0F3EEA" w14:textId="4C231F56" w:rsidR="07195704" w:rsidRDefault="07195704" w:rsidP="07195704">
            <w:r w:rsidRPr="07195704">
              <w:rPr>
                <w:b/>
                <w:bCs/>
                <w:sz w:val="20"/>
                <w:szCs w:val="20"/>
              </w:rPr>
              <w:t xml:space="preserve"> </w:t>
            </w:r>
          </w:p>
        </w:tc>
        <w:tc>
          <w:tcPr>
            <w:tcW w:w="375" w:type="dxa"/>
            <w:tcBorders>
              <w:top w:val="nil"/>
              <w:left w:val="nil"/>
              <w:bottom w:val="nil"/>
              <w:right w:val="nil"/>
            </w:tcBorders>
            <w:shd w:val="clear" w:color="auto" w:fill="FFFFFF" w:themeFill="background1"/>
            <w:tcMar>
              <w:top w:w="15" w:type="dxa"/>
              <w:left w:w="15" w:type="dxa"/>
              <w:right w:w="15" w:type="dxa"/>
            </w:tcMar>
            <w:vAlign w:val="bottom"/>
          </w:tcPr>
          <w:p w14:paraId="433A7C5A" w14:textId="4005AF6C" w:rsidR="07195704" w:rsidRDefault="07195704"/>
        </w:tc>
        <w:tc>
          <w:tcPr>
            <w:tcW w:w="870" w:type="dxa"/>
            <w:tcBorders>
              <w:top w:val="nil"/>
              <w:left w:val="nil"/>
              <w:bottom w:val="nil"/>
              <w:right w:val="nil"/>
            </w:tcBorders>
            <w:shd w:val="clear" w:color="auto" w:fill="FFFFFF" w:themeFill="background1"/>
            <w:tcMar>
              <w:top w:w="15" w:type="dxa"/>
              <w:left w:w="15" w:type="dxa"/>
              <w:right w:w="15" w:type="dxa"/>
            </w:tcMar>
            <w:vAlign w:val="bottom"/>
          </w:tcPr>
          <w:p w14:paraId="1C5F39BC" w14:textId="40E0CCA6" w:rsidR="07195704" w:rsidRDefault="07195704" w:rsidP="07195704">
            <w:r w:rsidRPr="07195704">
              <w:rPr>
                <w:b/>
                <w:bCs/>
                <w:sz w:val="20"/>
                <w:szCs w:val="20"/>
              </w:rPr>
              <w:t>2024-25</w:t>
            </w:r>
            <w:r w:rsidRPr="07195704">
              <w:rPr>
                <w:sz w:val="20"/>
                <w:szCs w:val="20"/>
              </w:rPr>
              <w:t xml:space="preserve"> </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5EFF13BF" w14:textId="20B303E9" w:rsidR="07195704" w:rsidRDefault="07195704" w:rsidP="07195704">
            <w:r w:rsidRPr="07195704">
              <w:rPr>
                <w:b/>
                <w:bCs/>
                <w:sz w:val="20"/>
                <w:szCs w:val="20"/>
              </w:rPr>
              <w:t>2025-26</w:t>
            </w:r>
            <w:r w:rsidRPr="07195704">
              <w:rPr>
                <w:sz w:val="20"/>
                <w:szCs w:val="20"/>
              </w:rPr>
              <w:t xml:space="preserve"> </w:t>
            </w:r>
          </w:p>
        </w:tc>
        <w:tc>
          <w:tcPr>
            <w:tcW w:w="975" w:type="dxa"/>
            <w:tcBorders>
              <w:top w:val="nil"/>
              <w:left w:val="nil"/>
              <w:bottom w:val="nil"/>
              <w:right w:val="nil"/>
            </w:tcBorders>
            <w:shd w:val="clear" w:color="auto" w:fill="FFFFFF" w:themeFill="background1"/>
            <w:tcMar>
              <w:top w:w="15" w:type="dxa"/>
              <w:left w:w="15" w:type="dxa"/>
              <w:right w:w="15" w:type="dxa"/>
            </w:tcMar>
            <w:vAlign w:val="bottom"/>
          </w:tcPr>
          <w:p w14:paraId="07803725" w14:textId="59DAC97F" w:rsidR="07195704" w:rsidRDefault="07195704" w:rsidP="07195704">
            <w:r w:rsidRPr="07195704">
              <w:rPr>
                <w:b/>
                <w:bCs/>
                <w:sz w:val="20"/>
                <w:szCs w:val="20"/>
              </w:rPr>
              <w:t>2026-27</w:t>
            </w:r>
            <w:r w:rsidRPr="07195704">
              <w:rPr>
                <w:sz w:val="20"/>
                <w:szCs w:val="20"/>
              </w:rPr>
              <w:t xml:space="preserve"> </w:t>
            </w:r>
          </w:p>
        </w:tc>
        <w:tc>
          <w:tcPr>
            <w:tcW w:w="912" w:type="dxa"/>
            <w:tcBorders>
              <w:top w:val="nil"/>
              <w:left w:val="nil"/>
              <w:bottom w:val="nil"/>
              <w:right w:val="nil"/>
            </w:tcBorders>
            <w:shd w:val="clear" w:color="auto" w:fill="FFFFFF" w:themeFill="background1"/>
            <w:tcMar>
              <w:top w:w="15" w:type="dxa"/>
              <w:left w:w="15" w:type="dxa"/>
              <w:right w:w="15" w:type="dxa"/>
            </w:tcMar>
            <w:vAlign w:val="bottom"/>
          </w:tcPr>
          <w:p w14:paraId="49347F88" w14:textId="5839537F" w:rsidR="07195704" w:rsidRDefault="07195704" w:rsidP="07195704">
            <w:r w:rsidRPr="07195704">
              <w:rPr>
                <w:b/>
                <w:bCs/>
                <w:sz w:val="20"/>
                <w:szCs w:val="20"/>
              </w:rPr>
              <w:t>2027-28</w:t>
            </w:r>
            <w:r w:rsidRPr="07195704">
              <w:rPr>
                <w:sz w:val="20"/>
                <w:szCs w:val="20"/>
              </w:rPr>
              <w:t xml:space="preserve"> </w:t>
            </w:r>
          </w:p>
        </w:tc>
        <w:tc>
          <w:tcPr>
            <w:tcW w:w="934" w:type="dxa"/>
            <w:tcBorders>
              <w:top w:val="nil"/>
              <w:left w:val="nil"/>
              <w:bottom w:val="nil"/>
              <w:right w:val="nil"/>
            </w:tcBorders>
            <w:shd w:val="clear" w:color="auto" w:fill="FFFFFF" w:themeFill="background1"/>
            <w:tcMar>
              <w:top w:w="15" w:type="dxa"/>
              <w:left w:w="15" w:type="dxa"/>
              <w:right w:w="15" w:type="dxa"/>
            </w:tcMar>
            <w:vAlign w:val="bottom"/>
          </w:tcPr>
          <w:p w14:paraId="5D764793" w14:textId="65782B41" w:rsidR="07195704" w:rsidRDefault="7740FD69" w:rsidP="07195704">
            <w:r w:rsidRPr="57EA1165">
              <w:rPr>
                <w:b/>
                <w:bCs/>
                <w:sz w:val="20"/>
                <w:szCs w:val="20"/>
              </w:rPr>
              <w:t>202</w:t>
            </w:r>
            <w:r w:rsidR="11D5A42B" w:rsidRPr="57EA1165">
              <w:rPr>
                <w:b/>
                <w:bCs/>
                <w:sz w:val="20"/>
                <w:szCs w:val="20"/>
              </w:rPr>
              <w:t>8</w:t>
            </w:r>
            <w:r w:rsidRPr="57EA1165">
              <w:rPr>
                <w:b/>
                <w:bCs/>
                <w:sz w:val="20"/>
                <w:szCs w:val="20"/>
              </w:rPr>
              <w:t>-2</w:t>
            </w:r>
            <w:r w:rsidR="4AE2BA78" w:rsidRPr="57EA1165">
              <w:rPr>
                <w:b/>
                <w:bCs/>
                <w:sz w:val="20"/>
                <w:szCs w:val="20"/>
              </w:rPr>
              <w:t>9</w:t>
            </w:r>
            <w:r w:rsidRPr="57EA1165">
              <w:rPr>
                <w:sz w:val="20"/>
                <w:szCs w:val="20"/>
              </w:rPr>
              <w:t xml:space="preserve"> </w:t>
            </w:r>
          </w:p>
        </w:tc>
        <w:tc>
          <w:tcPr>
            <w:tcW w:w="1150" w:type="dxa"/>
            <w:tcBorders>
              <w:top w:val="nil"/>
              <w:left w:val="nil"/>
              <w:bottom w:val="nil"/>
              <w:right w:val="nil"/>
            </w:tcBorders>
            <w:shd w:val="clear" w:color="auto" w:fill="FFFFFF" w:themeFill="background1"/>
            <w:tcMar>
              <w:top w:w="15" w:type="dxa"/>
              <w:left w:w="15" w:type="dxa"/>
              <w:right w:w="15" w:type="dxa"/>
            </w:tcMar>
            <w:vAlign w:val="bottom"/>
          </w:tcPr>
          <w:p w14:paraId="5B6F650A" w14:textId="0C0EB99D" w:rsidR="07195704" w:rsidRDefault="07195704" w:rsidP="07195704">
            <w:r w:rsidRPr="07195704">
              <w:rPr>
                <w:b/>
                <w:bCs/>
                <w:sz w:val="20"/>
                <w:szCs w:val="20"/>
              </w:rPr>
              <w:t>2029-30 to 2033-34</w:t>
            </w:r>
          </w:p>
        </w:tc>
        <w:tc>
          <w:tcPr>
            <w:tcW w:w="1032" w:type="dxa"/>
            <w:tcBorders>
              <w:top w:val="nil"/>
              <w:left w:val="nil"/>
              <w:bottom w:val="nil"/>
              <w:right w:val="nil"/>
            </w:tcBorders>
            <w:shd w:val="clear" w:color="auto" w:fill="FFFFFF" w:themeFill="background1"/>
            <w:tcMar>
              <w:top w:w="15" w:type="dxa"/>
              <w:left w:w="15" w:type="dxa"/>
              <w:right w:w="15" w:type="dxa"/>
            </w:tcMar>
            <w:vAlign w:val="bottom"/>
          </w:tcPr>
          <w:p w14:paraId="3C8C8894" w14:textId="469FE2CF" w:rsidR="07195704" w:rsidRDefault="07195704" w:rsidP="07195704">
            <w:r w:rsidRPr="07195704">
              <w:rPr>
                <w:b/>
                <w:bCs/>
                <w:sz w:val="20"/>
                <w:szCs w:val="20"/>
              </w:rPr>
              <w:t>2034-35 to 2038-39</w:t>
            </w:r>
          </w:p>
        </w:tc>
        <w:tc>
          <w:tcPr>
            <w:tcW w:w="1011" w:type="dxa"/>
            <w:tcBorders>
              <w:top w:val="nil"/>
              <w:left w:val="nil"/>
              <w:bottom w:val="nil"/>
              <w:right w:val="nil"/>
            </w:tcBorders>
            <w:shd w:val="clear" w:color="auto" w:fill="FFFFFF" w:themeFill="background1"/>
            <w:tcMar>
              <w:top w:w="15" w:type="dxa"/>
              <w:left w:w="15" w:type="dxa"/>
              <w:right w:w="15" w:type="dxa"/>
            </w:tcMar>
            <w:vAlign w:val="bottom"/>
          </w:tcPr>
          <w:p w14:paraId="4FB97746" w14:textId="5DFFF406" w:rsidR="07195704" w:rsidRDefault="07195704" w:rsidP="07195704">
            <w:r w:rsidRPr="07195704">
              <w:rPr>
                <w:b/>
                <w:bCs/>
                <w:sz w:val="20"/>
                <w:szCs w:val="20"/>
              </w:rPr>
              <w:t>2039-40 to 2043-44</w:t>
            </w:r>
          </w:p>
        </w:tc>
      </w:tr>
      <w:tr w:rsidR="07195704" w14:paraId="60C9DCA5" w14:textId="77777777" w:rsidTr="1FA2E292">
        <w:trPr>
          <w:trHeight w:val="282"/>
        </w:trPr>
        <w:tc>
          <w:tcPr>
            <w:tcW w:w="1580"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1C4DAA5D" w14:textId="224201B7" w:rsidR="07195704" w:rsidRDefault="07195704" w:rsidP="07195704">
            <w:r w:rsidRPr="07195704">
              <w:rPr>
                <w:b/>
                <w:bCs/>
                <w:sz w:val="20"/>
                <w:szCs w:val="20"/>
              </w:rPr>
              <w:t xml:space="preserve"> </w:t>
            </w:r>
          </w:p>
        </w:tc>
        <w:tc>
          <w:tcPr>
            <w:tcW w:w="375"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4555B6BA" w14:textId="7A0EB439" w:rsidR="07195704" w:rsidRDefault="07195704"/>
        </w:tc>
        <w:tc>
          <w:tcPr>
            <w:tcW w:w="870"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34F6BAE1" w14:textId="68F19CCA" w:rsidR="07195704" w:rsidRDefault="07195704" w:rsidP="07195704">
            <w:r w:rsidRPr="07195704">
              <w:rPr>
                <w:b/>
                <w:bCs/>
                <w:sz w:val="20"/>
                <w:szCs w:val="20"/>
              </w:rPr>
              <w:t>£m</w:t>
            </w:r>
            <w:r w:rsidRPr="07195704">
              <w:rPr>
                <w:sz w:val="20"/>
                <w:szCs w:val="20"/>
              </w:rPr>
              <w:t xml:space="preserve"> </w:t>
            </w:r>
          </w:p>
        </w:tc>
        <w:tc>
          <w:tcPr>
            <w:tcW w:w="860" w:type="dxa"/>
            <w:tcBorders>
              <w:top w:val="nil"/>
              <w:left w:val="nil"/>
              <w:bottom w:val="single" w:sz="4" w:space="0" w:color="A5A6A5"/>
              <w:right w:val="nil"/>
            </w:tcBorders>
            <w:shd w:val="clear" w:color="auto" w:fill="D9D9D9" w:themeFill="background1" w:themeFillShade="D9"/>
            <w:tcMar>
              <w:top w:w="15" w:type="dxa"/>
              <w:left w:w="15" w:type="dxa"/>
              <w:right w:w="15" w:type="dxa"/>
            </w:tcMar>
            <w:vAlign w:val="bottom"/>
          </w:tcPr>
          <w:p w14:paraId="5AD73A24" w14:textId="044BCC9E" w:rsidR="07195704" w:rsidRDefault="07195704" w:rsidP="07195704">
            <w:r w:rsidRPr="07195704">
              <w:rPr>
                <w:b/>
                <w:bCs/>
                <w:sz w:val="20"/>
                <w:szCs w:val="20"/>
              </w:rPr>
              <w:t>£m</w:t>
            </w:r>
            <w:r w:rsidRPr="07195704">
              <w:rPr>
                <w:sz w:val="20"/>
                <w:szCs w:val="20"/>
              </w:rPr>
              <w:t xml:space="preserve"> </w:t>
            </w:r>
          </w:p>
        </w:tc>
        <w:tc>
          <w:tcPr>
            <w:tcW w:w="975"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236BA62B" w14:textId="3A8417DB" w:rsidR="07195704" w:rsidRDefault="07195704" w:rsidP="07195704">
            <w:r w:rsidRPr="07195704">
              <w:rPr>
                <w:b/>
                <w:bCs/>
                <w:sz w:val="20"/>
                <w:szCs w:val="20"/>
              </w:rPr>
              <w:t>£m</w:t>
            </w:r>
            <w:r w:rsidRPr="07195704">
              <w:rPr>
                <w:sz w:val="20"/>
                <w:szCs w:val="20"/>
              </w:rPr>
              <w:t xml:space="preserve"> </w:t>
            </w:r>
          </w:p>
        </w:tc>
        <w:tc>
          <w:tcPr>
            <w:tcW w:w="912"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6A4D4754" w14:textId="236A69F2" w:rsidR="07195704" w:rsidRDefault="07195704" w:rsidP="07195704">
            <w:r w:rsidRPr="07195704">
              <w:rPr>
                <w:b/>
                <w:bCs/>
                <w:sz w:val="20"/>
                <w:szCs w:val="20"/>
              </w:rPr>
              <w:t>£m</w:t>
            </w:r>
            <w:r w:rsidRPr="07195704">
              <w:rPr>
                <w:sz w:val="20"/>
                <w:szCs w:val="20"/>
              </w:rPr>
              <w:t xml:space="preserve"> </w:t>
            </w:r>
          </w:p>
        </w:tc>
        <w:tc>
          <w:tcPr>
            <w:tcW w:w="934"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2985E488" w14:textId="07EBAD89" w:rsidR="07195704" w:rsidRDefault="07195704" w:rsidP="07195704">
            <w:r w:rsidRPr="07195704">
              <w:rPr>
                <w:b/>
                <w:bCs/>
                <w:sz w:val="20"/>
                <w:szCs w:val="20"/>
              </w:rPr>
              <w:t>£m</w:t>
            </w:r>
            <w:r w:rsidRPr="07195704">
              <w:rPr>
                <w:sz w:val="20"/>
                <w:szCs w:val="20"/>
              </w:rPr>
              <w:t xml:space="preserve"> </w:t>
            </w:r>
          </w:p>
        </w:tc>
        <w:tc>
          <w:tcPr>
            <w:tcW w:w="1150"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3FE39237" w14:textId="456E7776" w:rsidR="07195704" w:rsidRDefault="07195704" w:rsidP="07195704">
            <w:r w:rsidRPr="07195704">
              <w:rPr>
                <w:b/>
                <w:bCs/>
                <w:sz w:val="20"/>
                <w:szCs w:val="20"/>
              </w:rPr>
              <w:t>£m</w:t>
            </w:r>
            <w:r w:rsidRPr="07195704">
              <w:rPr>
                <w:sz w:val="20"/>
                <w:szCs w:val="20"/>
              </w:rPr>
              <w:t xml:space="preserve"> </w:t>
            </w:r>
          </w:p>
        </w:tc>
        <w:tc>
          <w:tcPr>
            <w:tcW w:w="1032"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660E858A" w14:textId="0E9AE062" w:rsidR="07195704" w:rsidRDefault="07195704" w:rsidP="07195704">
            <w:r w:rsidRPr="07195704">
              <w:rPr>
                <w:b/>
                <w:bCs/>
                <w:sz w:val="20"/>
                <w:szCs w:val="20"/>
              </w:rPr>
              <w:t>£m</w:t>
            </w:r>
            <w:r w:rsidRPr="07195704">
              <w:rPr>
                <w:sz w:val="20"/>
                <w:szCs w:val="20"/>
              </w:rPr>
              <w:t xml:space="preserve"> </w:t>
            </w:r>
          </w:p>
        </w:tc>
        <w:tc>
          <w:tcPr>
            <w:tcW w:w="1011" w:type="dxa"/>
            <w:tcBorders>
              <w:top w:val="nil"/>
              <w:left w:val="nil"/>
              <w:bottom w:val="single" w:sz="4" w:space="0" w:color="A5A6A5"/>
              <w:right w:val="nil"/>
            </w:tcBorders>
            <w:shd w:val="clear" w:color="auto" w:fill="FFFFFF" w:themeFill="background1"/>
            <w:tcMar>
              <w:top w:w="15" w:type="dxa"/>
              <w:left w:w="15" w:type="dxa"/>
              <w:right w:w="15" w:type="dxa"/>
            </w:tcMar>
            <w:vAlign w:val="bottom"/>
          </w:tcPr>
          <w:p w14:paraId="4626C007" w14:textId="7CF5A799" w:rsidR="07195704" w:rsidRDefault="07195704" w:rsidP="07195704">
            <w:r w:rsidRPr="07195704">
              <w:rPr>
                <w:b/>
                <w:bCs/>
                <w:sz w:val="20"/>
                <w:szCs w:val="20"/>
              </w:rPr>
              <w:t>£m</w:t>
            </w:r>
            <w:r w:rsidRPr="07195704">
              <w:rPr>
                <w:sz w:val="20"/>
                <w:szCs w:val="20"/>
              </w:rPr>
              <w:t xml:space="preserve"> </w:t>
            </w:r>
          </w:p>
        </w:tc>
      </w:tr>
      <w:tr w:rsidR="07195704" w14:paraId="1481252F" w14:textId="77777777" w:rsidTr="1FA2E292">
        <w:trPr>
          <w:trHeight w:val="254"/>
        </w:trPr>
        <w:tc>
          <w:tcPr>
            <w:tcW w:w="1580" w:type="dxa"/>
            <w:tcBorders>
              <w:top w:val="single" w:sz="4" w:space="0" w:color="A5A6A5"/>
              <w:left w:val="nil"/>
              <w:bottom w:val="nil"/>
              <w:right w:val="nil"/>
            </w:tcBorders>
            <w:tcMar>
              <w:top w:w="15" w:type="dxa"/>
              <w:left w:w="15" w:type="dxa"/>
              <w:right w:w="15" w:type="dxa"/>
            </w:tcMar>
            <w:vAlign w:val="bottom"/>
          </w:tcPr>
          <w:p w14:paraId="7D004464" w14:textId="3A452BC1" w:rsidR="07195704" w:rsidRDefault="07195704" w:rsidP="07195704">
            <w:r w:rsidRPr="07195704">
              <w:rPr>
                <w:sz w:val="20"/>
                <w:szCs w:val="20"/>
              </w:rPr>
              <w:t xml:space="preserve">Heat Network </w:t>
            </w:r>
          </w:p>
        </w:tc>
        <w:tc>
          <w:tcPr>
            <w:tcW w:w="375" w:type="dxa"/>
            <w:tcBorders>
              <w:top w:val="single" w:sz="4" w:space="0" w:color="A5A6A5"/>
              <w:left w:val="nil"/>
              <w:bottom w:val="nil"/>
              <w:right w:val="nil"/>
            </w:tcBorders>
            <w:tcMar>
              <w:top w:w="15" w:type="dxa"/>
              <w:left w:w="15" w:type="dxa"/>
              <w:right w:w="15" w:type="dxa"/>
            </w:tcMar>
            <w:vAlign w:val="bottom"/>
          </w:tcPr>
          <w:p w14:paraId="0C8AE951" w14:textId="49E5A5C9" w:rsidR="07195704" w:rsidRDefault="07195704"/>
        </w:tc>
        <w:tc>
          <w:tcPr>
            <w:tcW w:w="870" w:type="dxa"/>
            <w:tcBorders>
              <w:top w:val="single" w:sz="4" w:space="0" w:color="A5A6A5"/>
              <w:left w:val="nil"/>
              <w:bottom w:val="nil"/>
              <w:right w:val="nil"/>
            </w:tcBorders>
            <w:tcMar>
              <w:top w:w="15" w:type="dxa"/>
              <w:left w:w="15" w:type="dxa"/>
              <w:right w:w="15" w:type="dxa"/>
            </w:tcMar>
            <w:vAlign w:val="bottom"/>
          </w:tcPr>
          <w:p w14:paraId="12643C66" w14:textId="5E85CC5E" w:rsidR="07195704" w:rsidRDefault="07195704" w:rsidP="07195704">
            <w:r w:rsidRPr="07195704">
              <w:rPr>
                <w:sz w:val="20"/>
                <w:szCs w:val="20"/>
              </w:rPr>
              <w:t xml:space="preserve">2.4 </w:t>
            </w:r>
          </w:p>
        </w:tc>
        <w:tc>
          <w:tcPr>
            <w:tcW w:w="860" w:type="dxa"/>
            <w:tcBorders>
              <w:top w:val="single" w:sz="4" w:space="0" w:color="A5A6A5"/>
              <w:left w:val="nil"/>
              <w:bottom w:val="nil"/>
              <w:right w:val="nil"/>
            </w:tcBorders>
            <w:shd w:val="clear" w:color="auto" w:fill="D9D9D9" w:themeFill="background1" w:themeFillShade="D9"/>
            <w:tcMar>
              <w:top w:w="15" w:type="dxa"/>
              <w:left w:w="15" w:type="dxa"/>
              <w:right w:w="15" w:type="dxa"/>
            </w:tcMar>
            <w:vAlign w:val="bottom"/>
          </w:tcPr>
          <w:p w14:paraId="6895147D" w14:textId="432F97B8" w:rsidR="07195704" w:rsidRDefault="07195704" w:rsidP="07195704">
            <w:r w:rsidRPr="07195704">
              <w:rPr>
                <w:sz w:val="20"/>
                <w:szCs w:val="20"/>
              </w:rPr>
              <w:t xml:space="preserve"> 32.6 </w:t>
            </w:r>
          </w:p>
        </w:tc>
        <w:tc>
          <w:tcPr>
            <w:tcW w:w="975" w:type="dxa"/>
            <w:tcBorders>
              <w:top w:val="single" w:sz="4" w:space="0" w:color="A5A6A5"/>
              <w:left w:val="nil"/>
              <w:bottom w:val="nil"/>
              <w:right w:val="nil"/>
            </w:tcBorders>
            <w:tcMar>
              <w:top w:w="15" w:type="dxa"/>
              <w:left w:w="15" w:type="dxa"/>
              <w:right w:w="15" w:type="dxa"/>
            </w:tcMar>
            <w:vAlign w:val="bottom"/>
          </w:tcPr>
          <w:p w14:paraId="2DF00B91" w14:textId="135945B3" w:rsidR="07195704" w:rsidRDefault="07195704" w:rsidP="07195704">
            <w:r w:rsidRPr="07195704">
              <w:rPr>
                <w:sz w:val="20"/>
                <w:szCs w:val="20"/>
              </w:rPr>
              <w:t xml:space="preserve"> -   </w:t>
            </w:r>
          </w:p>
        </w:tc>
        <w:tc>
          <w:tcPr>
            <w:tcW w:w="912" w:type="dxa"/>
            <w:tcBorders>
              <w:top w:val="single" w:sz="4" w:space="0" w:color="A5A6A5"/>
              <w:left w:val="nil"/>
              <w:bottom w:val="nil"/>
              <w:right w:val="nil"/>
            </w:tcBorders>
            <w:tcMar>
              <w:top w:w="15" w:type="dxa"/>
              <w:left w:w="15" w:type="dxa"/>
              <w:right w:w="15" w:type="dxa"/>
            </w:tcMar>
            <w:vAlign w:val="bottom"/>
          </w:tcPr>
          <w:p w14:paraId="6E915173" w14:textId="22544C75" w:rsidR="07195704" w:rsidRDefault="07195704" w:rsidP="07195704">
            <w:r w:rsidRPr="07195704">
              <w:rPr>
                <w:sz w:val="20"/>
                <w:szCs w:val="20"/>
              </w:rPr>
              <w:t xml:space="preserve"> -   </w:t>
            </w:r>
          </w:p>
        </w:tc>
        <w:tc>
          <w:tcPr>
            <w:tcW w:w="934" w:type="dxa"/>
            <w:tcBorders>
              <w:top w:val="single" w:sz="4" w:space="0" w:color="A5A6A5"/>
              <w:left w:val="nil"/>
              <w:bottom w:val="nil"/>
              <w:right w:val="nil"/>
            </w:tcBorders>
            <w:tcMar>
              <w:top w:w="15" w:type="dxa"/>
              <w:left w:w="15" w:type="dxa"/>
              <w:right w:w="15" w:type="dxa"/>
            </w:tcMar>
            <w:vAlign w:val="bottom"/>
          </w:tcPr>
          <w:p w14:paraId="74DB71F3" w14:textId="62AE36FD" w:rsidR="07195704" w:rsidRDefault="07195704" w:rsidP="07195704">
            <w:r w:rsidRPr="07195704">
              <w:rPr>
                <w:sz w:val="20"/>
                <w:szCs w:val="20"/>
              </w:rPr>
              <w:t xml:space="preserve"> -   </w:t>
            </w:r>
          </w:p>
        </w:tc>
        <w:tc>
          <w:tcPr>
            <w:tcW w:w="1150" w:type="dxa"/>
            <w:tcBorders>
              <w:top w:val="single" w:sz="4" w:space="0" w:color="A5A6A5"/>
              <w:left w:val="nil"/>
              <w:bottom w:val="nil"/>
              <w:right w:val="nil"/>
            </w:tcBorders>
            <w:tcMar>
              <w:top w:w="15" w:type="dxa"/>
              <w:left w:w="15" w:type="dxa"/>
              <w:right w:w="15" w:type="dxa"/>
            </w:tcMar>
            <w:vAlign w:val="bottom"/>
          </w:tcPr>
          <w:p w14:paraId="326F7B00" w14:textId="3D4C1280" w:rsidR="07195704" w:rsidRDefault="07195704" w:rsidP="07195704">
            <w:r w:rsidRPr="07195704">
              <w:rPr>
                <w:sz w:val="20"/>
                <w:szCs w:val="20"/>
              </w:rPr>
              <w:t xml:space="preserve"> -   </w:t>
            </w:r>
          </w:p>
        </w:tc>
        <w:tc>
          <w:tcPr>
            <w:tcW w:w="1032" w:type="dxa"/>
            <w:tcBorders>
              <w:top w:val="single" w:sz="4" w:space="0" w:color="A5A6A5"/>
              <w:left w:val="nil"/>
              <w:bottom w:val="nil"/>
              <w:right w:val="nil"/>
            </w:tcBorders>
            <w:tcMar>
              <w:top w:w="15" w:type="dxa"/>
              <w:left w:w="15" w:type="dxa"/>
              <w:right w:w="15" w:type="dxa"/>
            </w:tcMar>
            <w:vAlign w:val="bottom"/>
          </w:tcPr>
          <w:p w14:paraId="62B06F40" w14:textId="6A84F3C6" w:rsidR="07195704" w:rsidRDefault="07195704" w:rsidP="07195704">
            <w:r w:rsidRPr="07195704">
              <w:rPr>
                <w:sz w:val="20"/>
                <w:szCs w:val="20"/>
              </w:rPr>
              <w:t xml:space="preserve"> -   </w:t>
            </w:r>
          </w:p>
        </w:tc>
        <w:tc>
          <w:tcPr>
            <w:tcW w:w="1011" w:type="dxa"/>
            <w:tcBorders>
              <w:top w:val="single" w:sz="4" w:space="0" w:color="A5A6A5"/>
              <w:left w:val="nil"/>
              <w:bottom w:val="nil"/>
              <w:right w:val="nil"/>
            </w:tcBorders>
            <w:tcMar>
              <w:top w:w="15" w:type="dxa"/>
              <w:left w:w="15" w:type="dxa"/>
              <w:right w:w="15" w:type="dxa"/>
            </w:tcMar>
            <w:vAlign w:val="bottom"/>
          </w:tcPr>
          <w:p w14:paraId="52FC1292" w14:textId="1EB23B52" w:rsidR="07195704" w:rsidRDefault="07195704" w:rsidP="07195704">
            <w:r w:rsidRPr="07195704">
              <w:rPr>
                <w:sz w:val="20"/>
                <w:szCs w:val="20"/>
              </w:rPr>
              <w:t xml:space="preserve"> -   </w:t>
            </w:r>
          </w:p>
        </w:tc>
      </w:tr>
      <w:tr w:rsidR="07195704" w14:paraId="767BB404" w14:textId="77777777" w:rsidTr="1FA2E292">
        <w:trPr>
          <w:trHeight w:val="254"/>
        </w:trPr>
        <w:tc>
          <w:tcPr>
            <w:tcW w:w="1580" w:type="dxa"/>
            <w:tcBorders>
              <w:top w:val="nil"/>
              <w:left w:val="nil"/>
              <w:bottom w:val="nil"/>
              <w:right w:val="nil"/>
            </w:tcBorders>
            <w:tcMar>
              <w:top w:w="15" w:type="dxa"/>
              <w:left w:w="15" w:type="dxa"/>
              <w:right w:w="15" w:type="dxa"/>
            </w:tcMar>
            <w:vAlign w:val="bottom"/>
          </w:tcPr>
          <w:p w14:paraId="1983D0A1" w14:textId="010886D9" w:rsidR="07195704" w:rsidRDefault="07195704" w:rsidP="07195704">
            <w:r w:rsidRPr="07195704">
              <w:rPr>
                <w:sz w:val="20"/>
                <w:szCs w:val="20"/>
              </w:rPr>
              <w:t xml:space="preserve">Land Assembly  </w:t>
            </w:r>
          </w:p>
        </w:tc>
        <w:tc>
          <w:tcPr>
            <w:tcW w:w="375" w:type="dxa"/>
            <w:tcBorders>
              <w:top w:val="nil"/>
              <w:left w:val="nil"/>
              <w:bottom w:val="nil"/>
              <w:right w:val="nil"/>
            </w:tcBorders>
            <w:tcMar>
              <w:top w:w="15" w:type="dxa"/>
              <w:left w:w="15" w:type="dxa"/>
              <w:right w:w="15" w:type="dxa"/>
            </w:tcMar>
            <w:vAlign w:val="bottom"/>
          </w:tcPr>
          <w:p w14:paraId="4F938839" w14:textId="17B13E6C" w:rsidR="07195704" w:rsidRDefault="07195704"/>
        </w:tc>
        <w:tc>
          <w:tcPr>
            <w:tcW w:w="870" w:type="dxa"/>
            <w:tcBorders>
              <w:top w:val="nil"/>
              <w:left w:val="nil"/>
              <w:bottom w:val="nil"/>
              <w:right w:val="nil"/>
            </w:tcBorders>
            <w:tcMar>
              <w:top w:w="15" w:type="dxa"/>
              <w:left w:w="15" w:type="dxa"/>
              <w:right w:w="15" w:type="dxa"/>
            </w:tcMar>
            <w:vAlign w:val="bottom"/>
          </w:tcPr>
          <w:p w14:paraId="38E77997" w14:textId="2E6147D1" w:rsidR="07195704" w:rsidRDefault="07195704" w:rsidP="07195704">
            <w:r w:rsidRPr="07195704">
              <w:rPr>
                <w:sz w:val="20"/>
                <w:szCs w:val="20"/>
              </w:rPr>
              <w:t xml:space="preserve">76.3 </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7E64B0B" w14:textId="63E82CA5" w:rsidR="07195704" w:rsidRDefault="07195704" w:rsidP="07195704">
            <w:r w:rsidRPr="07195704">
              <w:rPr>
                <w:sz w:val="20"/>
                <w:szCs w:val="20"/>
              </w:rPr>
              <w:t xml:space="preserve"> 95.9 </w:t>
            </w:r>
          </w:p>
        </w:tc>
        <w:tc>
          <w:tcPr>
            <w:tcW w:w="975" w:type="dxa"/>
            <w:tcBorders>
              <w:top w:val="nil"/>
              <w:left w:val="nil"/>
              <w:bottom w:val="nil"/>
              <w:right w:val="nil"/>
            </w:tcBorders>
            <w:tcMar>
              <w:top w:w="15" w:type="dxa"/>
              <w:left w:w="15" w:type="dxa"/>
              <w:right w:w="15" w:type="dxa"/>
            </w:tcMar>
            <w:vAlign w:val="bottom"/>
          </w:tcPr>
          <w:p w14:paraId="56103FD0" w14:textId="5E239C05" w:rsidR="07195704" w:rsidRDefault="07195704" w:rsidP="07195704">
            <w:r w:rsidRPr="07195704">
              <w:rPr>
                <w:sz w:val="20"/>
                <w:szCs w:val="20"/>
              </w:rPr>
              <w:t xml:space="preserve"> 22.4 </w:t>
            </w:r>
          </w:p>
        </w:tc>
        <w:tc>
          <w:tcPr>
            <w:tcW w:w="912" w:type="dxa"/>
            <w:tcBorders>
              <w:top w:val="nil"/>
              <w:left w:val="nil"/>
              <w:bottom w:val="nil"/>
              <w:right w:val="nil"/>
            </w:tcBorders>
            <w:tcMar>
              <w:top w:w="15" w:type="dxa"/>
              <w:left w:w="15" w:type="dxa"/>
              <w:right w:w="15" w:type="dxa"/>
            </w:tcMar>
            <w:vAlign w:val="bottom"/>
          </w:tcPr>
          <w:p w14:paraId="128695AA" w14:textId="1A749592" w:rsidR="07195704" w:rsidRDefault="07195704" w:rsidP="07195704">
            <w:r w:rsidRPr="07195704">
              <w:rPr>
                <w:sz w:val="20"/>
                <w:szCs w:val="20"/>
              </w:rPr>
              <w:t xml:space="preserve"> 10.0 </w:t>
            </w:r>
          </w:p>
        </w:tc>
        <w:tc>
          <w:tcPr>
            <w:tcW w:w="934" w:type="dxa"/>
            <w:tcBorders>
              <w:top w:val="nil"/>
              <w:left w:val="nil"/>
              <w:bottom w:val="nil"/>
              <w:right w:val="nil"/>
            </w:tcBorders>
            <w:tcMar>
              <w:top w:w="15" w:type="dxa"/>
              <w:left w:w="15" w:type="dxa"/>
              <w:right w:w="15" w:type="dxa"/>
            </w:tcMar>
            <w:vAlign w:val="bottom"/>
          </w:tcPr>
          <w:p w14:paraId="4E582D00" w14:textId="5362392E" w:rsidR="07195704" w:rsidRDefault="07195704" w:rsidP="07195704">
            <w:r w:rsidRPr="07195704">
              <w:rPr>
                <w:sz w:val="20"/>
                <w:szCs w:val="20"/>
              </w:rPr>
              <w:t xml:space="preserve"> -   </w:t>
            </w:r>
          </w:p>
        </w:tc>
        <w:tc>
          <w:tcPr>
            <w:tcW w:w="1150" w:type="dxa"/>
            <w:tcBorders>
              <w:top w:val="nil"/>
              <w:left w:val="nil"/>
              <w:bottom w:val="nil"/>
              <w:right w:val="nil"/>
            </w:tcBorders>
            <w:tcMar>
              <w:top w:w="15" w:type="dxa"/>
              <w:left w:w="15" w:type="dxa"/>
              <w:right w:w="15" w:type="dxa"/>
            </w:tcMar>
            <w:vAlign w:val="bottom"/>
          </w:tcPr>
          <w:p w14:paraId="63642DE8" w14:textId="0C5EE195" w:rsidR="07195704" w:rsidRDefault="07195704" w:rsidP="07195704">
            <w:r w:rsidRPr="07195704">
              <w:rPr>
                <w:sz w:val="20"/>
                <w:szCs w:val="20"/>
              </w:rPr>
              <w:t xml:space="preserve"> -   </w:t>
            </w:r>
          </w:p>
        </w:tc>
        <w:tc>
          <w:tcPr>
            <w:tcW w:w="1032" w:type="dxa"/>
            <w:tcBorders>
              <w:top w:val="nil"/>
              <w:left w:val="nil"/>
              <w:bottom w:val="nil"/>
              <w:right w:val="nil"/>
            </w:tcBorders>
            <w:tcMar>
              <w:top w:w="15" w:type="dxa"/>
              <w:left w:w="15" w:type="dxa"/>
              <w:right w:w="15" w:type="dxa"/>
            </w:tcMar>
            <w:vAlign w:val="bottom"/>
          </w:tcPr>
          <w:p w14:paraId="4EA94558" w14:textId="0D17DE9A" w:rsidR="07195704" w:rsidRDefault="07195704" w:rsidP="07195704">
            <w:r w:rsidRPr="07195704">
              <w:rPr>
                <w:sz w:val="20"/>
                <w:szCs w:val="20"/>
              </w:rPr>
              <w:t xml:space="preserve"> -   </w:t>
            </w:r>
          </w:p>
        </w:tc>
        <w:tc>
          <w:tcPr>
            <w:tcW w:w="1011" w:type="dxa"/>
            <w:tcBorders>
              <w:top w:val="nil"/>
              <w:left w:val="nil"/>
              <w:bottom w:val="nil"/>
              <w:right w:val="nil"/>
            </w:tcBorders>
            <w:tcMar>
              <w:top w:w="15" w:type="dxa"/>
              <w:left w:w="15" w:type="dxa"/>
              <w:right w:w="15" w:type="dxa"/>
            </w:tcMar>
            <w:vAlign w:val="bottom"/>
          </w:tcPr>
          <w:p w14:paraId="01E66187" w14:textId="2DA48B18" w:rsidR="07195704" w:rsidRDefault="07195704" w:rsidP="07195704">
            <w:r w:rsidRPr="07195704">
              <w:rPr>
                <w:sz w:val="20"/>
                <w:szCs w:val="20"/>
              </w:rPr>
              <w:t xml:space="preserve"> -   </w:t>
            </w:r>
          </w:p>
        </w:tc>
      </w:tr>
      <w:tr w:rsidR="07195704" w14:paraId="35107BB0" w14:textId="77777777" w:rsidTr="1FA2E292">
        <w:trPr>
          <w:trHeight w:val="254"/>
        </w:trPr>
        <w:tc>
          <w:tcPr>
            <w:tcW w:w="1580" w:type="dxa"/>
            <w:tcBorders>
              <w:top w:val="nil"/>
              <w:left w:val="nil"/>
              <w:bottom w:val="nil"/>
              <w:right w:val="nil"/>
            </w:tcBorders>
            <w:tcMar>
              <w:top w:w="15" w:type="dxa"/>
              <w:left w:w="15" w:type="dxa"/>
              <w:right w:w="15" w:type="dxa"/>
            </w:tcMar>
            <w:vAlign w:val="bottom"/>
          </w:tcPr>
          <w:p w14:paraId="22669463" w14:textId="4EBBAD32" w:rsidR="07195704" w:rsidRDefault="07195704" w:rsidP="07195704">
            <w:r w:rsidRPr="07195704">
              <w:rPr>
                <w:sz w:val="20"/>
                <w:szCs w:val="20"/>
              </w:rPr>
              <w:t>Infrastructure</w:t>
            </w:r>
          </w:p>
        </w:tc>
        <w:tc>
          <w:tcPr>
            <w:tcW w:w="375" w:type="dxa"/>
            <w:tcBorders>
              <w:top w:val="nil"/>
              <w:left w:val="nil"/>
              <w:bottom w:val="nil"/>
              <w:right w:val="nil"/>
            </w:tcBorders>
            <w:tcMar>
              <w:top w:w="15" w:type="dxa"/>
              <w:left w:w="15" w:type="dxa"/>
              <w:right w:w="15" w:type="dxa"/>
            </w:tcMar>
            <w:vAlign w:val="bottom"/>
          </w:tcPr>
          <w:p w14:paraId="5128CF5F" w14:textId="04F20243" w:rsidR="07195704" w:rsidRDefault="07195704"/>
        </w:tc>
        <w:tc>
          <w:tcPr>
            <w:tcW w:w="870" w:type="dxa"/>
            <w:tcBorders>
              <w:top w:val="nil"/>
              <w:left w:val="nil"/>
              <w:bottom w:val="nil"/>
              <w:right w:val="nil"/>
            </w:tcBorders>
            <w:tcMar>
              <w:top w:w="15" w:type="dxa"/>
              <w:left w:w="15" w:type="dxa"/>
              <w:right w:w="15" w:type="dxa"/>
            </w:tcMar>
            <w:vAlign w:val="bottom"/>
          </w:tcPr>
          <w:p w14:paraId="15BD3E8E" w14:textId="2BDAFFBA" w:rsidR="07195704" w:rsidRDefault="07195704" w:rsidP="07195704">
            <w:r w:rsidRPr="07195704">
              <w:rPr>
                <w:sz w:val="20"/>
                <w:szCs w:val="20"/>
              </w:rPr>
              <w:t xml:space="preserve">-   </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0966DABC" w14:textId="3D50448C" w:rsidR="07195704" w:rsidRDefault="07195704" w:rsidP="07195704">
            <w:r w:rsidRPr="07195704">
              <w:rPr>
                <w:sz w:val="20"/>
                <w:szCs w:val="20"/>
              </w:rPr>
              <w:t xml:space="preserve"> -   </w:t>
            </w:r>
          </w:p>
        </w:tc>
        <w:tc>
          <w:tcPr>
            <w:tcW w:w="975" w:type="dxa"/>
            <w:tcBorders>
              <w:top w:val="nil"/>
              <w:left w:val="nil"/>
              <w:bottom w:val="nil"/>
              <w:right w:val="nil"/>
            </w:tcBorders>
            <w:tcMar>
              <w:top w:w="15" w:type="dxa"/>
              <w:left w:w="15" w:type="dxa"/>
              <w:right w:w="15" w:type="dxa"/>
            </w:tcMar>
            <w:vAlign w:val="bottom"/>
          </w:tcPr>
          <w:p w14:paraId="338D2144" w14:textId="5838C5D3" w:rsidR="07195704" w:rsidRDefault="07195704" w:rsidP="07195704">
            <w:r w:rsidRPr="07195704">
              <w:rPr>
                <w:sz w:val="20"/>
                <w:szCs w:val="20"/>
              </w:rPr>
              <w:t xml:space="preserve"> -   </w:t>
            </w:r>
          </w:p>
        </w:tc>
        <w:tc>
          <w:tcPr>
            <w:tcW w:w="912" w:type="dxa"/>
            <w:tcBorders>
              <w:top w:val="nil"/>
              <w:left w:val="nil"/>
              <w:bottom w:val="nil"/>
              <w:right w:val="nil"/>
            </w:tcBorders>
            <w:tcMar>
              <w:top w:w="15" w:type="dxa"/>
              <w:left w:w="15" w:type="dxa"/>
              <w:right w:w="15" w:type="dxa"/>
            </w:tcMar>
            <w:vAlign w:val="bottom"/>
          </w:tcPr>
          <w:p w14:paraId="39CE20B9" w14:textId="0AAFFE9D" w:rsidR="07195704" w:rsidRDefault="07195704" w:rsidP="07195704">
            <w:r w:rsidRPr="07195704">
              <w:rPr>
                <w:sz w:val="20"/>
                <w:szCs w:val="20"/>
              </w:rPr>
              <w:t xml:space="preserve"> -   </w:t>
            </w:r>
          </w:p>
        </w:tc>
        <w:tc>
          <w:tcPr>
            <w:tcW w:w="934" w:type="dxa"/>
            <w:tcBorders>
              <w:top w:val="nil"/>
              <w:left w:val="nil"/>
              <w:bottom w:val="nil"/>
              <w:right w:val="nil"/>
            </w:tcBorders>
            <w:tcMar>
              <w:top w:w="15" w:type="dxa"/>
              <w:left w:w="15" w:type="dxa"/>
              <w:right w:w="15" w:type="dxa"/>
            </w:tcMar>
            <w:vAlign w:val="bottom"/>
          </w:tcPr>
          <w:p w14:paraId="0DF7744D" w14:textId="1A53548F" w:rsidR="07195704" w:rsidRDefault="07195704" w:rsidP="07195704">
            <w:r w:rsidRPr="07195704">
              <w:rPr>
                <w:sz w:val="20"/>
                <w:szCs w:val="20"/>
              </w:rPr>
              <w:t xml:space="preserve"> 0.4 </w:t>
            </w:r>
          </w:p>
        </w:tc>
        <w:tc>
          <w:tcPr>
            <w:tcW w:w="1150" w:type="dxa"/>
            <w:tcBorders>
              <w:top w:val="nil"/>
              <w:left w:val="nil"/>
              <w:bottom w:val="nil"/>
              <w:right w:val="nil"/>
            </w:tcBorders>
            <w:tcMar>
              <w:top w:w="15" w:type="dxa"/>
              <w:left w:w="15" w:type="dxa"/>
              <w:right w:w="15" w:type="dxa"/>
            </w:tcMar>
            <w:vAlign w:val="bottom"/>
          </w:tcPr>
          <w:p w14:paraId="2ECD4123" w14:textId="16A36B28" w:rsidR="07195704" w:rsidRDefault="07195704" w:rsidP="07195704">
            <w:r w:rsidRPr="07195704">
              <w:rPr>
                <w:sz w:val="20"/>
                <w:szCs w:val="20"/>
              </w:rPr>
              <w:t xml:space="preserve"> 166.5 </w:t>
            </w:r>
          </w:p>
        </w:tc>
        <w:tc>
          <w:tcPr>
            <w:tcW w:w="1032" w:type="dxa"/>
            <w:tcBorders>
              <w:top w:val="nil"/>
              <w:left w:val="nil"/>
              <w:bottom w:val="nil"/>
              <w:right w:val="nil"/>
            </w:tcBorders>
            <w:tcMar>
              <w:top w:w="15" w:type="dxa"/>
              <w:left w:w="15" w:type="dxa"/>
              <w:right w:w="15" w:type="dxa"/>
            </w:tcMar>
            <w:vAlign w:val="bottom"/>
          </w:tcPr>
          <w:p w14:paraId="2588679A" w14:textId="45575BEC" w:rsidR="07195704" w:rsidRDefault="07195704" w:rsidP="07195704">
            <w:r w:rsidRPr="07195704">
              <w:rPr>
                <w:sz w:val="20"/>
                <w:szCs w:val="20"/>
              </w:rPr>
              <w:t xml:space="preserve"> 185.7 </w:t>
            </w:r>
          </w:p>
        </w:tc>
        <w:tc>
          <w:tcPr>
            <w:tcW w:w="1011" w:type="dxa"/>
            <w:tcBorders>
              <w:top w:val="nil"/>
              <w:left w:val="nil"/>
              <w:bottom w:val="nil"/>
              <w:right w:val="nil"/>
            </w:tcBorders>
            <w:tcMar>
              <w:top w:w="15" w:type="dxa"/>
              <w:left w:w="15" w:type="dxa"/>
              <w:right w:w="15" w:type="dxa"/>
            </w:tcMar>
            <w:vAlign w:val="bottom"/>
          </w:tcPr>
          <w:p w14:paraId="2F6C9F65" w14:textId="632313E4" w:rsidR="07195704" w:rsidRDefault="07195704" w:rsidP="07195704">
            <w:r w:rsidRPr="07195704">
              <w:rPr>
                <w:sz w:val="20"/>
                <w:szCs w:val="20"/>
              </w:rPr>
              <w:t xml:space="preserve"> -   </w:t>
            </w:r>
          </w:p>
        </w:tc>
      </w:tr>
      <w:tr w:rsidR="07195704" w14:paraId="35AFC9EE" w14:textId="77777777" w:rsidTr="1FA2E292">
        <w:trPr>
          <w:trHeight w:val="254"/>
        </w:trPr>
        <w:tc>
          <w:tcPr>
            <w:tcW w:w="158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66AC0F89" w14:textId="1EF07B12" w:rsidR="07195704" w:rsidRDefault="07195704" w:rsidP="07195704">
            <w:r w:rsidRPr="07195704">
              <w:rPr>
                <w:b/>
                <w:bCs/>
                <w:sz w:val="20"/>
                <w:szCs w:val="20"/>
              </w:rPr>
              <w:lastRenderedPageBreak/>
              <w:t>Total expenditure</w:t>
            </w:r>
            <w:r w:rsidRPr="07195704">
              <w:rPr>
                <w:sz w:val="20"/>
                <w:szCs w:val="20"/>
              </w:rPr>
              <w:t xml:space="preserve"> </w:t>
            </w:r>
          </w:p>
        </w:tc>
        <w:tc>
          <w:tcPr>
            <w:tcW w:w="3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1B63CE48" w14:textId="6BD121FE" w:rsidR="07195704" w:rsidRDefault="07195704"/>
        </w:tc>
        <w:tc>
          <w:tcPr>
            <w:tcW w:w="87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7EBBE0CD" w14:textId="47ECC540" w:rsidR="07195704" w:rsidRDefault="07195704" w:rsidP="07195704">
            <w:r w:rsidRPr="07195704">
              <w:rPr>
                <w:b/>
                <w:bCs/>
                <w:sz w:val="20"/>
                <w:szCs w:val="20"/>
              </w:rPr>
              <w:t xml:space="preserve">78.7 </w:t>
            </w:r>
          </w:p>
        </w:tc>
        <w:tc>
          <w:tcPr>
            <w:tcW w:w="860" w:type="dxa"/>
            <w:tcBorders>
              <w:top w:val="single" w:sz="4" w:space="0" w:color="A5A6A5"/>
              <w:left w:val="nil"/>
              <w:bottom w:val="single" w:sz="4" w:space="0" w:color="A5A6A5"/>
              <w:right w:val="nil"/>
            </w:tcBorders>
            <w:shd w:val="clear" w:color="auto" w:fill="D9D9D9" w:themeFill="background1" w:themeFillShade="D9"/>
            <w:tcMar>
              <w:top w:w="15" w:type="dxa"/>
              <w:left w:w="15" w:type="dxa"/>
              <w:right w:w="15" w:type="dxa"/>
            </w:tcMar>
            <w:vAlign w:val="bottom"/>
          </w:tcPr>
          <w:p w14:paraId="2F12E207" w14:textId="4E86E54A" w:rsidR="07195704" w:rsidRDefault="07195704" w:rsidP="07195704">
            <w:r w:rsidRPr="07195704">
              <w:rPr>
                <w:b/>
                <w:bCs/>
                <w:sz w:val="20"/>
                <w:szCs w:val="20"/>
              </w:rPr>
              <w:t xml:space="preserve"> 128.5 </w:t>
            </w:r>
          </w:p>
        </w:tc>
        <w:tc>
          <w:tcPr>
            <w:tcW w:w="9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FE19DF8" w14:textId="09264063" w:rsidR="07195704" w:rsidRDefault="07195704" w:rsidP="07195704">
            <w:r w:rsidRPr="07195704">
              <w:rPr>
                <w:b/>
                <w:bCs/>
                <w:sz w:val="20"/>
                <w:szCs w:val="20"/>
              </w:rPr>
              <w:t xml:space="preserve"> 22.4 </w:t>
            </w:r>
          </w:p>
        </w:tc>
        <w:tc>
          <w:tcPr>
            <w:tcW w:w="91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4511D648" w14:textId="63ACAEA5" w:rsidR="07195704" w:rsidRDefault="07195704" w:rsidP="07195704">
            <w:r w:rsidRPr="07195704">
              <w:rPr>
                <w:b/>
                <w:bCs/>
                <w:sz w:val="20"/>
                <w:szCs w:val="20"/>
              </w:rPr>
              <w:t xml:space="preserve"> 10.0 </w:t>
            </w:r>
          </w:p>
        </w:tc>
        <w:tc>
          <w:tcPr>
            <w:tcW w:w="934"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1E173B19" w14:textId="2DA9F2FF" w:rsidR="07195704" w:rsidRDefault="07195704" w:rsidP="07195704">
            <w:r w:rsidRPr="07195704">
              <w:rPr>
                <w:b/>
                <w:bCs/>
                <w:sz w:val="20"/>
                <w:szCs w:val="20"/>
              </w:rPr>
              <w:t xml:space="preserve"> 0.4 </w:t>
            </w:r>
          </w:p>
        </w:tc>
        <w:tc>
          <w:tcPr>
            <w:tcW w:w="115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0026CEAF" w14:textId="76AC3727" w:rsidR="07195704" w:rsidRDefault="07195704" w:rsidP="07195704">
            <w:r w:rsidRPr="07195704">
              <w:rPr>
                <w:b/>
                <w:bCs/>
                <w:sz w:val="20"/>
                <w:szCs w:val="20"/>
              </w:rPr>
              <w:t xml:space="preserve"> 166.5 </w:t>
            </w:r>
          </w:p>
        </w:tc>
        <w:tc>
          <w:tcPr>
            <w:tcW w:w="103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6EBC8892" w14:textId="61B930CC" w:rsidR="07195704" w:rsidRDefault="07195704" w:rsidP="07195704">
            <w:r w:rsidRPr="07195704">
              <w:rPr>
                <w:b/>
                <w:bCs/>
                <w:sz w:val="20"/>
                <w:szCs w:val="20"/>
              </w:rPr>
              <w:t xml:space="preserve"> 185.7 </w:t>
            </w:r>
          </w:p>
        </w:tc>
        <w:tc>
          <w:tcPr>
            <w:tcW w:w="1011"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36FB9462" w14:textId="3C956763" w:rsidR="07195704" w:rsidRDefault="07195704" w:rsidP="07195704">
            <w:r w:rsidRPr="07195704">
              <w:rPr>
                <w:b/>
                <w:bCs/>
                <w:sz w:val="20"/>
                <w:szCs w:val="20"/>
              </w:rPr>
              <w:t xml:space="preserve"> -   </w:t>
            </w:r>
          </w:p>
        </w:tc>
      </w:tr>
      <w:tr w:rsidR="07195704" w14:paraId="063DF30D" w14:textId="77777777" w:rsidTr="1FA2E292">
        <w:trPr>
          <w:trHeight w:val="522"/>
        </w:trPr>
        <w:tc>
          <w:tcPr>
            <w:tcW w:w="1580" w:type="dxa"/>
            <w:tcBorders>
              <w:top w:val="single" w:sz="4" w:space="0" w:color="A5A6A5"/>
              <w:left w:val="nil"/>
              <w:bottom w:val="nil"/>
              <w:right w:val="nil"/>
            </w:tcBorders>
            <w:tcMar>
              <w:top w:w="15" w:type="dxa"/>
              <w:left w:w="15" w:type="dxa"/>
              <w:right w:w="15" w:type="dxa"/>
            </w:tcMar>
            <w:vAlign w:val="bottom"/>
          </w:tcPr>
          <w:p w14:paraId="5ED57E20" w14:textId="167ADA2E" w:rsidR="07195704" w:rsidRDefault="133112C7" w:rsidP="678D5708">
            <w:pPr>
              <w:rPr>
                <w:sz w:val="20"/>
                <w:szCs w:val="20"/>
              </w:rPr>
            </w:pPr>
            <w:r w:rsidRPr="678D5708">
              <w:rPr>
                <w:sz w:val="20"/>
                <w:szCs w:val="20"/>
              </w:rPr>
              <w:t xml:space="preserve">Capital Grants </w:t>
            </w:r>
          </w:p>
        </w:tc>
        <w:tc>
          <w:tcPr>
            <w:tcW w:w="375" w:type="dxa"/>
            <w:tcBorders>
              <w:top w:val="single" w:sz="4" w:space="0" w:color="A5A6A5"/>
              <w:left w:val="nil"/>
              <w:bottom w:val="nil"/>
              <w:right w:val="nil"/>
            </w:tcBorders>
            <w:tcMar>
              <w:top w:w="15" w:type="dxa"/>
              <w:left w:w="15" w:type="dxa"/>
              <w:right w:w="15" w:type="dxa"/>
            </w:tcMar>
            <w:vAlign w:val="bottom"/>
          </w:tcPr>
          <w:p w14:paraId="33DC0CE5" w14:textId="1EFDFD8D" w:rsidR="07195704" w:rsidRDefault="07195704"/>
        </w:tc>
        <w:tc>
          <w:tcPr>
            <w:tcW w:w="870" w:type="dxa"/>
            <w:tcBorders>
              <w:top w:val="single" w:sz="4" w:space="0" w:color="A5A6A5"/>
              <w:left w:val="nil"/>
              <w:bottom w:val="nil"/>
              <w:right w:val="nil"/>
            </w:tcBorders>
            <w:tcMar>
              <w:top w:w="15" w:type="dxa"/>
              <w:left w:w="15" w:type="dxa"/>
              <w:right w:w="15" w:type="dxa"/>
            </w:tcMar>
            <w:vAlign w:val="bottom"/>
          </w:tcPr>
          <w:p w14:paraId="1C452319" w14:textId="3A6EF8BB" w:rsidR="07195704" w:rsidRDefault="07195704" w:rsidP="07195704">
            <w:r w:rsidRPr="07195704">
              <w:rPr>
                <w:sz w:val="20"/>
                <w:szCs w:val="20"/>
              </w:rPr>
              <w:t>32.6</w:t>
            </w:r>
          </w:p>
        </w:tc>
        <w:tc>
          <w:tcPr>
            <w:tcW w:w="860" w:type="dxa"/>
            <w:tcBorders>
              <w:top w:val="single" w:sz="4" w:space="0" w:color="A5A6A5"/>
              <w:left w:val="nil"/>
              <w:bottom w:val="nil"/>
              <w:right w:val="nil"/>
            </w:tcBorders>
            <w:shd w:val="clear" w:color="auto" w:fill="D9D9D9" w:themeFill="background1" w:themeFillShade="D9"/>
            <w:tcMar>
              <w:top w:w="15" w:type="dxa"/>
              <w:left w:w="15" w:type="dxa"/>
              <w:right w:w="15" w:type="dxa"/>
            </w:tcMar>
            <w:vAlign w:val="bottom"/>
          </w:tcPr>
          <w:p w14:paraId="54E8EDA6" w14:textId="495AEC42" w:rsidR="07195704" w:rsidRDefault="07195704" w:rsidP="07195704">
            <w:r w:rsidRPr="07195704">
              <w:rPr>
                <w:sz w:val="20"/>
                <w:szCs w:val="20"/>
              </w:rPr>
              <w:t>32.6</w:t>
            </w:r>
          </w:p>
        </w:tc>
        <w:tc>
          <w:tcPr>
            <w:tcW w:w="975" w:type="dxa"/>
            <w:tcBorders>
              <w:top w:val="single" w:sz="4" w:space="0" w:color="A5A6A5"/>
              <w:left w:val="nil"/>
              <w:bottom w:val="nil"/>
              <w:right w:val="nil"/>
            </w:tcBorders>
            <w:tcMar>
              <w:top w:w="15" w:type="dxa"/>
              <w:left w:w="15" w:type="dxa"/>
              <w:right w:w="15" w:type="dxa"/>
            </w:tcMar>
            <w:vAlign w:val="bottom"/>
          </w:tcPr>
          <w:p w14:paraId="5604DB0B" w14:textId="135945B3" w:rsidR="678D5708" w:rsidRDefault="678D5708">
            <w:r w:rsidRPr="678D5708">
              <w:rPr>
                <w:sz w:val="20"/>
                <w:szCs w:val="20"/>
              </w:rPr>
              <w:t xml:space="preserve"> -   </w:t>
            </w:r>
          </w:p>
        </w:tc>
        <w:tc>
          <w:tcPr>
            <w:tcW w:w="912" w:type="dxa"/>
            <w:tcBorders>
              <w:top w:val="single" w:sz="4" w:space="0" w:color="A5A6A5"/>
              <w:left w:val="nil"/>
              <w:bottom w:val="nil"/>
              <w:right w:val="nil"/>
            </w:tcBorders>
            <w:tcMar>
              <w:top w:w="15" w:type="dxa"/>
              <w:left w:w="15" w:type="dxa"/>
              <w:right w:w="15" w:type="dxa"/>
            </w:tcMar>
            <w:vAlign w:val="bottom"/>
          </w:tcPr>
          <w:p w14:paraId="1A3BDD2D" w14:textId="22544C75" w:rsidR="678D5708" w:rsidRDefault="678D5708">
            <w:r w:rsidRPr="678D5708">
              <w:rPr>
                <w:sz w:val="20"/>
                <w:szCs w:val="20"/>
              </w:rPr>
              <w:t xml:space="preserve"> -   </w:t>
            </w:r>
          </w:p>
        </w:tc>
        <w:tc>
          <w:tcPr>
            <w:tcW w:w="934" w:type="dxa"/>
            <w:tcBorders>
              <w:top w:val="single" w:sz="4" w:space="0" w:color="A5A6A5"/>
              <w:left w:val="nil"/>
              <w:bottom w:val="nil"/>
              <w:right w:val="nil"/>
            </w:tcBorders>
            <w:tcMar>
              <w:top w:w="15" w:type="dxa"/>
              <w:left w:w="15" w:type="dxa"/>
              <w:right w:w="15" w:type="dxa"/>
            </w:tcMar>
            <w:vAlign w:val="bottom"/>
          </w:tcPr>
          <w:p w14:paraId="6932F44E" w14:textId="62AE36FD" w:rsidR="678D5708" w:rsidRDefault="678D5708">
            <w:r w:rsidRPr="678D5708">
              <w:rPr>
                <w:sz w:val="20"/>
                <w:szCs w:val="20"/>
              </w:rPr>
              <w:t xml:space="preserve"> -   </w:t>
            </w:r>
          </w:p>
        </w:tc>
        <w:tc>
          <w:tcPr>
            <w:tcW w:w="1150" w:type="dxa"/>
            <w:tcBorders>
              <w:top w:val="single" w:sz="4" w:space="0" w:color="A5A6A5"/>
              <w:left w:val="nil"/>
              <w:bottom w:val="nil"/>
              <w:right w:val="nil"/>
            </w:tcBorders>
            <w:tcMar>
              <w:top w:w="15" w:type="dxa"/>
              <w:left w:w="15" w:type="dxa"/>
              <w:right w:w="15" w:type="dxa"/>
            </w:tcMar>
            <w:vAlign w:val="bottom"/>
          </w:tcPr>
          <w:p w14:paraId="35EF8A35" w14:textId="3D4C1280" w:rsidR="678D5708" w:rsidRDefault="678D5708">
            <w:r w:rsidRPr="678D5708">
              <w:rPr>
                <w:sz w:val="20"/>
                <w:szCs w:val="20"/>
              </w:rPr>
              <w:t xml:space="preserve"> -   </w:t>
            </w:r>
          </w:p>
        </w:tc>
        <w:tc>
          <w:tcPr>
            <w:tcW w:w="1032" w:type="dxa"/>
            <w:tcBorders>
              <w:top w:val="single" w:sz="4" w:space="0" w:color="A5A6A5"/>
              <w:left w:val="nil"/>
              <w:bottom w:val="nil"/>
              <w:right w:val="nil"/>
            </w:tcBorders>
            <w:tcMar>
              <w:top w:w="15" w:type="dxa"/>
              <w:left w:w="15" w:type="dxa"/>
              <w:right w:w="15" w:type="dxa"/>
            </w:tcMar>
            <w:vAlign w:val="bottom"/>
          </w:tcPr>
          <w:p w14:paraId="145747A4" w14:textId="6A84F3C6" w:rsidR="678D5708" w:rsidRDefault="678D5708">
            <w:r w:rsidRPr="678D5708">
              <w:rPr>
                <w:sz w:val="20"/>
                <w:szCs w:val="20"/>
              </w:rPr>
              <w:t xml:space="preserve"> -   </w:t>
            </w:r>
          </w:p>
        </w:tc>
        <w:tc>
          <w:tcPr>
            <w:tcW w:w="1011" w:type="dxa"/>
            <w:tcBorders>
              <w:top w:val="single" w:sz="4" w:space="0" w:color="A5A6A5"/>
              <w:left w:val="nil"/>
              <w:bottom w:val="nil"/>
              <w:right w:val="nil"/>
            </w:tcBorders>
            <w:tcMar>
              <w:top w:w="15" w:type="dxa"/>
              <w:left w:w="15" w:type="dxa"/>
              <w:right w:w="15" w:type="dxa"/>
            </w:tcMar>
            <w:vAlign w:val="bottom"/>
          </w:tcPr>
          <w:p w14:paraId="0EFD14CD" w14:textId="1EB23B52" w:rsidR="678D5708" w:rsidRDefault="678D5708">
            <w:r w:rsidRPr="678D5708">
              <w:rPr>
                <w:sz w:val="20"/>
                <w:szCs w:val="20"/>
              </w:rPr>
              <w:t xml:space="preserve"> -   </w:t>
            </w:r>
          </w:p>
        </w:tc>
      </w:tr>
      <w:tr w:rsidR="07195704" w14:paraId="07198EB2" w14:textId="77777777" w:rsidTr="1FA2E292">
        <w:trPr>
          <w:trHeight w:val="254"/>
        </w:trPr>
        <w:tc>
          <w:tcPr>
            <w:tcW w:w="1580" w:type="dxa"/>
            <w:tcBorders>
              <w:top w:val="nil"/>
              <w:left w:val="nil"/>
              <w:bottom w:val="nil"/>
              <w:right w:val="nil"/>
            </w:tcBorders>
            <w:tcMar>
              <w:top w:w="15" w:type="dxa"/>
              <w:left w:w="15" w:type="dxa"/>
              <w:right w:w="15" w:type="dxa"/>
            </w:tcMar>
            <w:vAlign w:val="bottom"/>
          </w:tcPr>
          <w:p w14:paraId="7C911C6B" w14:textId="4DDF1ACB" w:rsidR="07195704" w:rsidRDefault="01A31A2A" w:rsidP="07195704">
            <w:r w:rsidRPr="57EA1165">
              <w:rPr>
                <w:sz w:val="20"/>
                <w:szCs w:val="20"/>
              </w:rPr>
              <w:t xml:space="preserve">Approved </w:t>
            </w:r>
            <w:r w:rsidR="7740FD69" w:rsidRPr="57EA1165">
              <w:rPr>
                <w:sz w:val="20"/>
                <w:szCs w:val="20"/>
              </w:rPr>
              <w:t xml:space="preserve">Borrowing </w:t>
            </w:r>
          </w:p>
        </w:tc>
        <w:tc>
          <w:tcPr>
            <w:tcW w:w="375" w:type="dxa"/>
            <w:tcBorders>
              <w:top w:val="nil"/>
              <w:left w:val="nil"/>
              <w:bottom w:val="nil"/>
              <w:right w:val="nil"/>
            </w:tcBorders>
            <w:tcMar>
              <w:top w:w="15" w:type="dxa"/>
              <w:left w:w="15" w:type="dxa"/>
              <w:right w:w="15" w:type="dxa"/>
            </w:tcMar>
            <w:vAlign w:val="bottom"/>
          </w:tcPr>
          <w:p w14:paraId="023D4B6B" w14:textId="1339A926" w:rsidR="07195704" w:rsidRDefault="07195704"/>
        </w:tc>
        <w:tc>
          <w:tcPr>
            <w:tcW w:w="870" w:type="dxa"/>
            <w:tcBorders>
              <w:top w:val="nil"/>
              <w:left w:val="nil"/>
              <w:bottom w:val="nil"/>
              <w:right w:val="nil"/>
            </w:tcBorders>
            <w:tcMar>
              <w:top w:w="15" w:type="dxa"/>
              <w:left w:w="15" w:type="dxa"/>
              <w:right w:w="15" w:type="dxa"/>
            </w:tcMar>
            <w:vAlign w:val="bottom"/>
          </w:tcPr>
          <w:p w14:paraId="61A1811B" w14:textId="3F00CE96" w:rsidR="07195704" w:rsidRDefault="07195704" w:rsidP="07195704">
            <w:r w:rsidRPr="07195704">
              <w:rPr>
                <w:sz w:val="20"/>
                <w:szCs w:val="20"/>
              </w:rPr>
              <w:t xml:space="preserve">45.3 </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28AA8BA8" w14:textId="7C9AE8A9" w:rsidR="07195704" w:rsidRDefault="07195704" w:rsidP="07195704">
            <w:r w:rsidRPr="07195704">
              <w:rPr>
                <w:sz w:val="20"/>
                <w:szCs w:val="20"/>
              </w:rPr>
              <w:t>54.7</w:t>
            </w:r>
          </w:p>
        </w:tc>
        <w:tc>
          <w:tcPr>
            <w:tcW w:w="975" w:type="dxa"/>
            <w:tcBorders>
              <w:top w:val="nil"/>
              <w:left w:val="nil"/>
              <w:bottom w:val="nil"/>
              <w:right w:val="nil"/>
            </w:tcBorders>
            <w:tcMar>
              <w:top w:w="15" w:type="dxa"/>
              <w:left w:w="15" w:type="dxa"/>
              <w:right w:w="15" w:type="dxa"/>
            </w:tcMar>
            <w:vAlign w:val="bottom"/>
          </w:tcPr>
          <w:p w14:paraId="76145B07" w14:textId="135945B3" w:rsidR="678D5708" w:rsidRDefault="678D5708">
            <w:r w:rsidRPr="678D5708">
              <w:rPr>
                <w:sz w:val="20"/>
                <w:szCs w:val="20"/>
              </w:rPr>
              <w:t xml:space="preserve"> -   </w:t>
            </w:r>
          </w:p>
        </w:tc>
        <w:tc>
          <w:tcPr>
            <w:tcW w:w="912" w:type="dxa"/>
            <w:tcBorders>
              <w:top w:val="nil"/>
              <w:left w:val="nil"/>
              <w:bottom w:val="nil"/>
              <w:right w:val="nil"/>
            </w:tcBorders>
            <w:tcMar>
              <w:top w:w="15" w:type="dxa"/>
              <w:left w:w="15" w:type="dxa"/>
              <w:right w:w="15" w:type="dxa"/>
            </w:tcMar>
            <w:vAlign w:val="bottom"/>
          </w:tcPr>
          <w:p w14:paraId="396A3A27" w14:textId="22544C75" w:rsidR="678D5708" w:rsidRDefault="678D5708">
            <w:r w:rsidRPr="678D5708">
              <w:rPr>
                <w:sz w:val="20"/>
                <w:szCs w:val="20"/>
              </w:rPr>
              <w:t xml:space="preserve"> -   </w:t>
            </w:r>
          </w:p>
        </w:tc>
        <w:tc>
          <w:tcPr>
            <w:tcW w:w="934" w:type="dxa"/>
            <w:tcBorders>
              <w:top w:val="nil"/>
              <w:left w:val="nil"/>
              <w:bottom w:val="nil"/>
              <w:right w:val="nil"/>
            </w:tcBorders>
            <w:tcMar>
              <w:top w:w="15" w:type="dxa"/>
              <w:left w:w="15" w:type="dxa"/>
              <w:right w:w="15" w:type="dxa"/>
            </w:tcMar>
            <w:vAlign w:val="bottom"/>
          </w:tcPr>
          <w:p w14:paraId="3B9A9820" w14:textId="62AE36FD" w:rsidR="678D5708" w:rsidRDefault="678D5708">
            <w:r w:rsidRPr="678D5708">
              <w:rPr>
                <w:sz w:val="20"/>
                <w:szCs w:val="20"/>
              </w:rPr>
              <w:t xml:space="preserve"> -   </w:t>
            </w:r>
          </w:p>
        </w:tc>
        <w:tc>
          <w:tcPr>
            <w:tcW w:w="1150" w:type="dxa"/>
            <w:tcBorders>
              <w:top w:val="nil"/>
              <w:left w:val="nil"/>
              <w:bottom w:val="nil"/>
              <w:right w:val="nil"/>
            </w:tcBorders>
            <w:tcMar>
              <w:top w:w="15" w:type="dxa"/>
              <w:left w:w="15" w:type="dxa"/>
              <w:right w:w="15" w:type="dxa"/>
            </w:tcMar>
            <w:vAlign w:val="bottom"/>
          </w:tcPr>
          <w:p w14:paraId="68DAF1AB" w14:textId="3D4C1280" w:rsidR="678D5708" w:rsidRDefault="678D5708">
            <w:r w:rsidRPr="678D5708">
              <w:rPr>
                <w:sz w:val="20"/>
                <w:szCs w:val="20"/>
              </w:rPr>
              <w:t xml:space="preserve"> -   </w:t>
            </w:r>
          </w:p>
        </w:tc>
        <w:tc>
          <w:tcPr>
            <w:tcW w:w="1032" w:type="dxa"/>
            <w:tcBorders>
              <w:top w:val="nil"/>
              <w:left w:val="nil"/>
              <w:bottom w:val="nil"/>
              <w:right w:val="nil"/>
            </w:tcBorders>
            <w:tcMar>
              <w:top w:w="15" w:type="dxa"/>
              <w:left w:w="15" w:type="dxa"/>
              <w:right w:w="15" w:type="dxa"/>
            </w:tcMar>
            <w:vAlign w:val="bottom"/>
          </w:tcPr>
          <w:p w14:paraId="455AEFE9" w14:textId="6A84F3C6" w:rsidR="678D5708" w:rsidRDefault="678D5708">
            <w:r w:rsidRPr="678D5708">
              <w:rPr>
                <w:sz w:val="20"/>
                <w:szCs w:val="20"/>
              </w:rPr>
              <w:t xml:space="preserve"> -   </w:t>
            </w:r>
          </w:p>
        </w:tc>
        <w:tc>
          <w:tcPr>
            <w:tcW w:w="1011" w:type="dxa"/>
            <w:tcBorders>
              <w:top w:val="nil"/>
              <w:left w:val="nil"/>
              <w:bottom w:val="nil"/>
              <w:right w:val="nil"/>
            </w:tcBorders>
            <w:tcMar>
              <w:top w:w="15" w:type="dxa"/>
              <w:left w:w="15" w:type="dxa"/>
              <w:right w:w="15" w:type="dxa"/>
            </w:tcMar>
            <w:vAlign w:val="bottom"/>
          </w:tcPr>
          <w:p w14:paraId="6FF620DC" w14:textId="1EB23B52" w:rsidR="678D5708" w:rsidRDefault="678D5708">
            <w:r w:rsidRPr="678D5708">
              <w:rPr>
                <w:sz w:val="20"/>
                <w:szCs w:val="20"/>
              </w:rPr>
              <w:t xml:space="preserve"> -   </w:t>
            </w:r>
          </w:p>
        </w:tc>
      </w:tr>
      <w:tr w:rsidR="57EA1165" w14:paraId="32A0F4A9" w14:textId="77777777" w:rsidTr="1FA2E292">
        <w:trPr>
          <w:trHeight w:val="254"/>
        </w:trPr>
        <w:tc>
          <w:tcPr>
            <w:tcW w:w="1580" w:type="dxa"/>
            <w:tcBorders>
              <w:top w:val="nil"/>
              <w:left w:val="nil"/>
              <w:bottom w:val="nil"/>
              <w:right w:val="nil"/>
            </w:tcBorders>
            <w:tcMar>
              <w:top w:w="15" w:type="dxa"/>
              <w:left w:w="15" w:type="dxa"/>
              <w:right w:w="15" w:type="dxa"/>
            </w:tcMar>
            <w:vAlign w:val="bottom"/>
          </w:tcPr>
          <w:p w14:paraId="2F279BF4" w14:textId="107B9A08" w:rsidR="4CCB1381" w:rsidRDefault="69C0DCB1" w:rsidP="57EA1165">
            <w:pPr>
              <w:rPr>
                <w:sz w:val="20"/>
                <w:szCs w:val="20"/>
              </w:rPr>
            </w:pPr>
            <w:r w:rsidRPr="1FA2E292">
              <w:rPr>
                <w:sz w:val="20"/>
                <w:szCs w:val="20"/>
              </w:rPr>
              <w:t>Additional Approved Borrowing</w:t>
            </w:r>
            <w:r w:rsidR="00291471" w:rsidRPr="1FA2E292">
              <w:rPr>
                <w:sz w:val="20"/>
                <w:szCs w:val="20"/>
              </w:rPr>
              <w:t xml:space="preserve"> </w:t>
            </w:r>
            <w:proofErr w:type="spellStart"/>
            <w:r w:rsidR="00291471" w:rsidRPr="1FA2E292">
              <w:rPr>
                <w:sz w:val="20"/>
                <w:szCs w:val="20"/>
              </w:rPr>
              <w:t>Borrowing</w:t>
            </w:r>
            <w:proofErr w:type="spellEnd"/>
          </w:p>
        </w:tc>
        <w:tc>
          <w:tcPr>
            <w:tcW w:w="375" w:type="dxa"/>
            <w:tcBorders>
              <w:top w:val="nil"/>
              <w:left w:val="nil"/>
              <w:bottom w:val="nil"/>
              <w:right w:val="nil"/>
            </w:tcBorders>
            <w:tcMar>
              <w:top w:w="15" w:type="dxa"/>
              <w:left w:w="15" w:type="dxa"/>
              <w:right w:w="15" w:type="dxa"/>
            </w:tcMar>
            <w:vAlign w:val="bottom"/>
          </w:tcPr>
          <w:p w14:paraId="6FE03C9A" w14:textId="5FD761C6" w:rsidR="57EA1165" w:rsidRDefault="57EA1165" w:rsidP="57EA1165"/>
        </w:tc>
        <w:tc>
          <w:tcPr>
            <w:tcW w:w="870" w:type="dxa"/>
            <w:tcBorders>
              <w:top w:val="nil"/>
              <w:left w:val="nil"/>
              <w:bottom w:val="nil"/>
              <w:right w:val="nil"/>
            </w:tcBorders>
            <w:tcMar>
              <w:top w:w="15" w:type="dxa"/>
              <w:left w:w="15" w:type="dxa"/>
              <w:right w:w="15" w:type="dxa"/>
            </w:tcMar>
            <w:vAlign w:val="bottom"/>
          </w:tcPr>
          <w:p w14:paraId="18BBFC9A" w14:textId="74C4DACF" w:rsidR="57EA1165" w:rsidRDefault="57EA1165" w:rsidP="57EA1165">
            <w:pPr>
              <w:rPr>
                <w:sz w:val="20"/>
                <w:szCs w:val="20"/>
              </w:rPr>
            </w:pP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18F790B1" w14:textId="5CCA893E" w:rsidR="46E70741" w:rsidRDefault="46E70741" w:rsidP="57EA1165">
            <w:pPr>
              <w:rPr>
                <w:sz w:val="20"/>
                <w:szCs w:val="20"/>
              </w:rPr>
            </w:pPr>
            <w:r w:rsidRPr="57EA1165">
              <w:rPr>
                <w:sz w:val="20"/>
                <w:szCs w:val="20"/>
              </w:rPr>
              <w:t>41.2</w:t>
            </w:r>
          </w:p>
        </w:tc>
        <w:tc>
          <w:tcPr>
            <w:tcW w:w="975" w:type="dxa"/>
            <w:tcBorders>
              <w:top w:val="nil"/>
              <w:left w:val="nil"/>
              <w:bottom w:val="nil"/>
              <w:right w:val="nil"/>
            </w:tcBorders>
            <w:tcMar>
              <w:top w:w="15" w:type="dxa"/>
              <w:left w:w="15" w:type="dxa"/>
              <w:right w:w="15" w:type="dxa"/>
            </w:tcMar>
            <w:vAlign w:val="bottom"/>
          </w:tcPr>
          <w:p w14:paraId="73D01555" w14:textId="70843D5B" w:rsidR="130B0922" w:rsidRDefault="130B0922" w:rsidP="57EA1165">
            <w:pPr>
              <w:rPr>
                <w:sz w:val="20"/>
                <w:szCs w:val="20"/>
              </w:rPr>
            </w:pPr>
            <w:r w:rsidRPr="57EA1165">
              <w:rPr>
                <w:sz w:val="20"/>
                <w:szCs w:val="20"/>
              </w:rPr>
              <w:t>22.4</w:t>
            </w:r>
          </w:p>
        </w:tc>
        <w:tc>
          <w:tcPr>
            <w:tcW w:w="912" w:type="dxa"/>
            <w:tcBorders>
              <w:top w:val="nil"/>
              <w:left w:val="nil"/>
              <w:bottom w:val="nil"/>
              <w:right w:val="nil"/>
            </w:tcBorders>
            <w:tcMar>
              <w:top w:w="15" w:type="dxa"/>
              <w:left w:w="15" w:type="dxa"/>
              <w:right w:w="15" w:type="dxa"/>
            </w:tcMar>
            <w:vAlign w:val="bottom"/>
          </w:tcPr>
          <w:p w14:paraId="1BE49F81" w14:textId="404FC527" w:rsidR="130B0922" w:rsidRDefault="130B0922" w:rsidP="57EA1165">
            <w:pPr>
              <w:rPr>
                <w:sz w:val="20"/>
                <w:szCs w:val="20"/>
              </w:rPr>
            </w:pPr>
            <w:r w:rsidRPr="57EA1165">
              <w:rPr>
                <w:sz w:val="20"/>
                <w:szCs w:val="20"/>
              </w:rPr>
              <w:t>10.0</w:t>
            </w:r>
          </w:p>
        </w:tc>
        <w:tc>
          <w:tcPr>
            <w:tcW w:w="934" w:type="dxa"/>
            <w:tcBorders>
              <w:top w:val="nil"/>
              <w:left w:val="nil"/>
              <w:bottom w:val="nil"/>
              <w:right w:val="nil"/>
            </w:tcBorders>
            <w:tcMar>
              <w:top w:w="15" w:type="dxa"/>
              <w:left w:w="15" w:type="dxa"/>
              <w:right w:w="15" w:type="dxa"/>
            </w:tcMar>
            <w:vAlign w:val="bottom"/>
          </w:tcPr>
          <w:p w14:paraId="6F8CBF78" w14:textId="5E6ECE5F" w:rsidR="130B0922" w:rsidRDefault="130B0922" w:rsidP="57EA1165">
            <w:pPr>
              <w:rPr>
                <w:sz w:val="20"/>
                <w:szCs w:val="20"/>
              </w:rPr>
            </w:pPr>
            <w:r w:rsidRPr="57EA1165">
              <w:rPr>
                <w:sz w:val="20"/>
                <w:szCs w:val="20"/>
              </w:rPr>
              <w:t>0.4</w:t>
            </w:r>
          </w:p>
        </w:tc>
        <w:tc>
          <w:tcPr>
            <w:tcW w:w="1150" w:type="dxa"/>
            <w:tcBorders>
              <w:top w:val="nil"/>
              <w:left w:val="nil"/>
              <w:bottom w:val="nil"/>
              <w:right w:val="nil"/>
            </w:tcBorders>
            <w:tcMar>
              <w:top w:w="15" w:type="dxa"/>
              <w:left w:w="15" w:type="dxa"/>
              <w:right w:w="15" w:type="dxa"/>
            </w:tcMar>
            <w:vAlign w:val="bottom"/>
          </w:tcPr>
          <w:p w14:paraId="20FBB21A" w14:textId="3D4C1280" w:rsidR="57EA1165" w:rsidRPr="57EA1165" w:rsidRDefault="57EA1165">
            <w:pPr>
              <w:rPr>
                <w:sz w:val="20"/>
                <w:szCs w:val="20"/>
              </w:rPr>
            </w:pPr>
            <w:r w:rsidRPr="57EA1165">
              <w:rPr>
                <w:sz w:val="20"/>
                <w:szCs w:val="20"/>
              </w:rPr>
              <w:t xml:space="preserve"> -   </w:t>
            </w:r>
          </w:p>
        </w:tc>
        <w:tc>
          <w:tcPr>
            <w:tcW w:w="1032" w:type="dxa"/>
            <w:tcBorders>
              <w:top w:val="nil"/>
              <w:left w:val="nil"/>
              <w:bottom w:val="nil"/>
              <w:right w:val="nil"/>
            </w:tcBorders>
            <w:tcMar>
              <w:top w:w="15" w:type="dxa"/>
              <w:left w:w="15" w:type="dxa"/>
              <w:right w:w="15" w:type="dxa"/>
            </w:tcMar>
            <w:vAlign w:val="bottom"/>
          </w:tcPr>
          <w:p w14:paraId="2B25F59F" w14:textId="6A84F3C6" w:rsidR="57EA1165" w:rsidRPr="57EA1165" w:rsidRDefault="57EA1165">
            <w:pPr>
              <w:rPr>
                <w:sz w:val="20"/>
                <w:szCs w:val="20"/>
              </w:rPr>
            </w:pPr>
            <w:r w:rsidRPr="57EA1165">
              <w:rPr>
                <w:sz w:val="20"/>
                <w:szCs w:val="20"/>
              </w:rPr>
              <w:t xml:space="preserve"> -   </w:t>
            </w:r>
          </w:p>
        </w:tc>
        <w:tc>
          <w:tcPr>
            <w:tcW w:w="1011" w:type="dxa"/>
            <w:tcBorders>
              <w:top w:val="nil"/>
              <w:left w:val="nil"/>
              <w:bottom w:val="nil"/>
              <w:right w:val="nil"/>
            </w:tcBorders>
            <w:tcMar>
              <w:top w:w="15" w:type="dxa"/>
              <w:left w:w="15" w:type="dxa"/>
              <w:right w:w="15" w:type="dxa"/>
            </w:tcMar>
            <w:vAlign w:val="bottom"/>
          </w:tcPr>
          <w:p w14:paraId="24147F33" w14:textId="1EB23B52" w:rsidR="57EA1165" w:rsidRPr="57EA1165" w:rsidRDefault="57EA1165">
            <w:pPr>
              <w:rPr>
                <w:sz w:val="20"/>
                <w:szCs w:val="20"/>
              </w:rPr>
            </w:pPr>
            <w:r w:rsidRPr="57EA1165">
              <w:rPr>
                <w:sz w:val="20"/>
                <w:szCs w:val="20"/>
              </w:rPr>
              <w:t xml:space="preserve"> -   </w:t>
            </w:r>
          </w:p>
        </w:tc>
      </w:tr>
      <w:tr w:rsidR="678D5708" w14:paraId="23220848" w14:textId="77777777" w:rsidTr="1FA2E292">
        <w:trPr>
          <w:trHeight w:val="254"/>
        </w:trPr>
        <w:tc>
          <w:tcPr>
            <w:tcW w:w="1580" w:type="dxa"/>
            <w:tcBorders>
              <w:top w:val="nil"/>
              <w:left w:val="nil"/>
              <w:bottom w:val="nil"/>
              <w:right w:val="nil"/>
            </w:tcBorders>
            <w:tcMar>
              <w:top w:w="15" w:type="dxa"/>
              <w:left w:w="15" w:type="dxa"/>
              <w:right w:w="15" w:type="dxa"/>
            </w:tcMar>
            <w:vAlign w:val="bottom"/>
          </w:tcPr>
          <w:p w14:paraId="44EAE60E" w14:textId="0BA76564" w:rsidR="678D5708" w:rsidRDefault="5B274671" w:rsidP="678D5708">
            <w:pPr>
              <w:rPr>
                <w:sz w:val="20"/>
                <w:szCs w:val="20"/>
              </w:rPr>
            </w:pPr>
            <w:r w:rsidRPr="57EA1165">
              <w:rPr>
                <w:sz w:val="20"/>
                <w:szCs w:val="20"/>
              </w:rPr>
              <w:t>Revenue Contribution</w:t>
            </w:r>
            <w:r w:rsidR="76B07A8F" w:rsidRPr="57EA1165">
              <w:rPr>
                <w:sz w:val="20"/>
                <w:szCs w:val="20"/>
              </w:rPr>
              <w:t xml:space="preserve"> </w:t>
            </w:r>
          </w:p>
        </w:tc>
        <w:tc>
          <w:tcPr>
            <w:tcW w:w="375" w:type="dxa"/>
            <w:tcBorders>
              <w:top w:val="nil"/>
              <w:left w:val="nil"/>
              <w:bottom w:val="nil"/>
              <w:right w:val="nil"/>
            </w:tcBorders>
            <w:tcMar>
              <w:top w:w="15" w:type="dxa"/>
              <w:left w:w="15" w:type="dxa"/>
              <w:right w:w="15" w:type="dxa"/>
            </w:tcMar>
            <w:vAlign w:val="bottom"/>
          </w:tcPr>
          <w:p w14:paraId="4DF9576F" w14:textId="75D48EF4" w:rsidR="678D5708" w:rsidRDefault="678D5708"/>
        </w:tc>
        <w:tc>
          <w:tcPr>
            <w:tcW w:w="870" w:type="dxa"/>
            <w:tcBorders>
              <w:top w:val="nil"/>
              <w:left w:val="nil"/>
              <w:bottom w:val="nil"/>
              <w:right w:val="nil"/>
            </w:tcBorders>
            <w:tcMar>
              <w:top w:w="15" w:type="dxa"/>
              <w:left w:w="15" w:type="dxa"/>
              <w:right w:w="15" w:type="dxa"/>
            </w:tcMar>
            <w:vAlign w:val="bottom"/>
          </w:tcPr>
          <w:p w14:paraId="723D3F37" w14:textId="50633302" w:rsidR="678D5708" w:rsidRDefault="678D5708">
            <w:r w:rsidRPr="678D5708">
              <w:rPr>
                <w:sz w:val="20"/>
                <w:szCs w:val="20"/>
              </w:rPr>
              <w:t>0.8</w:t>
            </w:r>
          </w:p>
        </w:tc>
        <w:tc>
          <w:tcPr>
            <w:tcW w:w="860" w:type="dxa"/>
            <w:tcBorders>
              <w:top w:val="nil"/>
              <w:left w:val="nil"/>
              <w:bottom w:val="nil"/>
              <w:right w:val="nil"/>
            </w:tcBorders>
            <w:shd w:val="clear" w:color="auto" w:fill="D9D9D9" w:themeFill="background1" w:themeFillShade="D9"/>
            <w:tcMar>
              <w:top w:w="15" w:type="dxa"/>
              <w:left w:w="15" w:type="dxa"/>
              <w:right w:w="15" w:type="dxa"/>
            </w:tcMar>
            <w:vAlign w:val="bottom"/>
          </w:tcPr>
          <w:p w14:paraId="492F984D" w14:textId="4707A3E3" w:rsidR="678D5708" w:rsidRDefault="04B3A5AD" w:rsidP="36A56128">
            <w:pPr>
              <w:spacing w:line="259" w:lineRule="auto"/>
              <w:rPr>
                <w:sz w:val="20"/>
                <w:szCs w:val="20"/>
              </w:rPr>
            </w:pPr>
            <w:r w:rsidRPr="57EA1165">
              <w:rPr>
                <w:sz w:val="20"/>
                <w:szCs w:val="20"/>
              </w:rPr>
              <w:t>-</w:t>
            </w:r>
          </w:p>
        </w:tc>
        <w:tc>
          <w:tcPr>
            <w:tcW w:w="975" w:type="dxa"/>
            <w:tcBorders>
              <w:top w:val="nil"/>
              <w:left w:val="nil"/>
              <w:bottom w:val="nil"/>
              <w:right w:val="nil"/>
            </w:tcBorders>
            <w:tcMar>
              <w:top w:w="15" w:type="dxa"/>
              <w:left w:w="15" w:type="dxa"/>
              <w:right w:w="15" w:type="dxa"/>
            </w:tcMar>
            <w:vAlign w:val="bottom"/>
          </w:tcPr>
          <w:p w14:paraId="3B6184CC" w14:textId="135945B3" w:rsidR="678D5708" w:rsidRDefault="678D5708">
            <w:r w:rsidRPr="678D5708">
              <w:rPr>
                <w:sz w:val="20"/>
                <w:szCs w:val="20"/>
              </w:rPr>
              <w:t xml:space="preserve"> -   </w:t>
            </w:r>
          </w:p>
        </w:tc>
        <w:tc>
          <w:tcPr>
            <w:tcW w:w="912" w:type="dxa"/>
            <w:tcBorders>
              <w:top w:val="nil"/>
              <w:left w:val="nil"/>
              <w:bottom w:val="nil"/>
              <w:right w:val="nil"/>
            </w:tcBorders>
            <w:tcMar>
              <w:top w:w="15" w:type="dxa"/>
              <w:left w:w="15" w:type="dxa"/>
              <w:right w:w="15" w:type="dxa"/>
            </w:tcMar>
            <w:vAlign w:val="bottom"/>
          </w:tcPr>
          <w:p w14:paraId="3E19787C" w14:textId="22544C75" w:rsidR="678D5708" w:rsidRDefault="678D5708">
            <w:r w:rsidRPr="678D5708">
              <w:rPr>
                <w:sz w:val="20"/>
                <w:szCs w:val="20"/>
              </w:rPr>
              <w:t xml:space="preserve"> -   </w:t>
            </w:r>
          </w:p>
        </w:tc>
        <w:tc>
          <w:tcPr>
            <w:tcW w:w="934" w:type="dxa"/>
            <w:tcBorders>
              <w:top w:val="nil"/>
              <w:left w:val="nil"/>
              <w:bottom w:val="nil"/>
              <w:right w:val="nil"/>
            </w:tcBorders>
            <w:tcMar>
              <w:top w:w="15" w:type="dxa"/>
              <w:left w:w="15" w:type="dxa"/>
              <w:right w:w="15" w:type="dxa"/>
            </w:tcMar>
            <w:vAlign w:val="bottom"/>
          </w:tcPr>
          <w:p w14:paraId="2FABA42E" w14:textId="62AE36FD" w:rsidR="678D5708" w:rsidRDefault="678D5708">
            <w:r w:rsidRPr="678D5708">
              <w:rPr>
                <w:sz w:val="20"/>
                <w:szCs w:val="20"/>
              </w:rPr>
              <w:t xml:space="preserve"> -   </w:t>
            </w:r>
          </w:p>
        </w:tc>
        <w:tc>
          <w:tcPr>
            <w:tcW w:w="1150" w:type="dxa"/>
            <w:tcBorders>
              <w:top w:val="nil"/>
              <w:left w:val="nil"/>
              <w:bottom w:val="nil"/>
              <w:right w:val="nil"/>
            </w:tcBorders>
            <w:tcMar>
              <w:top w:w="15" w:type="dxa"/>
              <w:left w:w="15" w:type="dxa"/>
              <w:right w:w="15" w:type="dxa"/>
            </w:tcMar>
            <w:vAlign w:val="bottom"/>
          </w:tcPr>
          <w:p w14:paraId="1596FE2C" w14:textId="3D4C1280" w:rsidR="678D5708" w:rsidRDefault="678D5708">
            <w:r w:rsidRPr="678D5708">
              <w:rPr>
                <w:sz w:val="20"/>
                <w:szCs w:val="20"/>
              </w:rPr>
              <w:t xml:space="preserve"> -   </w:t>
            </w:r>
          </w:p>
        </w:tc>
        <w:tc>
          <w:tcPr>
            <w:tcW w:w="1032" w:type="dxa"/>
            <w:tcBorders>
              <w:top w:val="nil"/>
              <w:left w:val="nil"/>
              <w:bottom w:val="nil"/>
              <w:right w:val="nil"/>
            </w:tcBorders>
            <w:tcMar>
              <w:top w:w="15" w:type="dxa"/>
              <w:left w:w="15" w:type="dxa"/>
              <w:right w:w="15" w:type="dxa"/>
            </w:tcMar>
            <w:vAlign w:val="bottom"/>
          </w:tcPr>
          <w:p w14:paraId="7B44EE59" w14:textId="6A84F3C6" w:rsidR="678D5708" w:rsidRDefault="678D5708">
            <w:r w:rsidRPr="678D5708">
              <w:rPr>
                <w:sz w:val="20"/>
                <w:szCs w:val="20"/>
              </w:rPr>
              <w:t xml:space="preserve"> -   </w:t>
            </w:r>
          </w:p>
        </w:tc>
        <w:tc>
          <w:tcPr>
            <w:tcW w:w="1011" w:type="dxa"/>
            <w:tcBorders>
              <w:top w:val="nil"/>
              <w:left w:val="nil"/>
              <w:bottom w:val="nil"/>
              <w:right w:val="nil"/>
            </w:tcBorders>
            <w:tcMar>
              <w:top w:w="15" w:type="dxa"/>
              <w:left w:w="15" w:type="dxa"/>
              <w:right w:w="15" w:type="dxa"/>
            </w:tcMar>
            <w:vAlign w:val="bottom"/>
          </w:tcPr>
          <w:p w14:paraId="77B20AA1" w14:textId="1EB23B52" w:rsidR="678D5708" w:rsidRDefault="678D5708">
            <w:r w:rsidRPr="678D5708">
              <w:rPr>
                <w:sz w:val="20"/>
                <w:szCs w:val="20"/>
              </w:rPr>
              <w:t xml:space="preserve"> -   </w:t>
            </w:r>
          </w:p>
        </w:tc>
      </w:tr>
      <w:tr w:rsidR="07195704" w14:paraId="1D661777" w14:textId="77777777" w:rsidTr="1FA2E292">
        <w:trPr>
          <w:trHeight w:val="254"/>
        </w:trPr>
        <w:tc>
          <w:tcPr>
            <w:tcW w:w="158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73465F29" w14:textId="45048D63" w:rsidR="07195704" w:rsidRDefault="07195704" w:rsidP="07195704">
            <w:r w:rsidRPr="07195704">
              <w:rPr>
                <w:b/>
                <w:bCs/>
                <w:sz w:val="20"/>
                <w:szCs w:val="20"/>
              </w:rPr>
              <w:t>Total funding</w:t>
            </w:r>
            <w:r w:rsidRPr="07195704">
              <w:rPr>
                <w:sz w:val="20"/>
                <w:szCs w:val="20"/>
              </w:rPr>
              <w:t xml:space="preserve"> </w:t>
            </w:r>
          </w:p>
        </w:tc>
        <w:tc>
          <w:tcPr>
            <w:tcW w:w="3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767991DC" w14:textId="4A201EC3" w:rsidR="07195704" w:rsidRDefault="07195704"/>
        </w:tc>
        <w:tc>
          <w:tcPr>
            <w:tcW w:w="87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DD9F3C5" w14:textId="523D89D3" w:rsidR="07195704" w:rsidRDefault="07195704" w:rsidP="07195704">
            <w:r w:rsidRPr="07195704">
              <w:rPr>
                <w:b/>
                <w:bCs/>
                <w:sz w:val="20"/>
                <w:szCs w:val="20"/>
              </w:rPr>
              <w:t xml:space="preserve">78.7 </w:t>
            </w:r>
          </w:p>
        </w:tc>
        <w:tc>
          <w:tcPr>
            <w:tcW w:w="860" w:type="dxa"/>
            <w:tcBorders>
              <w:top w:val="single" w:sz="4" w:space="0" w:color="A5A6A5"/>
              <w:left w:val="nil"/>
              <w:bottom w:val="single" w:sz="4" w:space="0" w:color="A5A6A5"/>
              <w:right w:val="nil"/>
            </w:tcBorders>
            <w:shd w:val="clear" w:color="auto" w:fill="D9D9D9" w:themeFill="background1" w:themeFillShade="D9"/>
            <w:tcMar>
              <w:top w:w="15" w:type="dxa"/>
              <w:left w:w="15" w:type="dxa"/>
              <w:right w:w="15" w:type="dxa"/>
            </w:tcMar>
            <w:vAlign w:val="bottom"/>
          </w:tcPr>
          <w:p w14:paraId="63BBC3BB" w14:textId="29D689A0" w:rsidR="07195704" w:rsidRDefault="7740FD69" w:rsidP="07195704">
            <w:r w:rsidRPr="57EA1165">
              <w:rPr>
                <w:b/>
                <w:bCs/>
                <w:sz w:val="20"/>
                <w:szCs w:val="20"/>
              </w:rPr>
              <w:t xml:space="preserve"> </w:t>
            </w:r>
            <w:r w:rsidR="09399CA0" w:rsidRPr="57EA1165">
              <w:rPr>
                <w:b/>
                <w:bCs/>
                <w:sz w:val="20"/>
                <w:szCs w:val="20"/>
              </w:rPr>
              <w:t>128.5</w:t>
            </w:r>
            <w:r w:rsidRPr="57EA1165">
              <w:rPr>
                <w:b/>
                <w:bCs/>
                <w:sz w:val="20"/>
                <w:szCs w:val="20"/>
              </w:rPr>
              <w:t xml:space="preserve"> </w:t>
            </w:r>
          </w:p>
        </w:tc>
        <w:tc>
          <w:tcPr>
            <w:tcW w:w="9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1B537A1" w14:textId="57E0B969" w:rsidR="07195704" w:rsidRDefault="7740FD69" w:rsidP="07195704">
            <w:r w:rsidRPr="57EA1165">
              <w:rPr>
                <w:b/>
                <w:bCs/>
                <w:sz w:val="20"/>
                <w:szCs w:val="20"/>
              </w:rPr>
              <w:t xml:space="preserve"> </w:t>
            </w:r>
            <w:r w:rsidR="4CE73739" w:rsidRPr="57EA1165">
              <w:rPr>
                <w:b/>
                <w:bCs/>
                <w:sz w:val="20"/>
                <w:szCs w:val="20"/>
              </w:rPr>
              <w:t>22.4</w:t>
            </w:r>
            <w:r w:rsidRPr="57EA1165">
              <w:rPr>
                <w:b/>
                <w:bCs/>
                <w:sz w:val="20"/>
                <w:szCs w:val="20"/>
              </w:rPr>
              <w:t xml:space="preserve"> </w:t>
            </w:r>
          </w:p>
        </w:tc>
        <w:tc>
          <w:tcPr>
            <w:tcW w:w="91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4BD477B2" w14:textId="6F848DEE" w:rsidR="07195704" w:rsidRDefault="1EDD82B3" w:rsidP="07195704">
            <w:r w:rsidRPr="57EA1165">
              <w:rPr>
                <w:b/>
                <w:bCs/>
                <w:sz w:val="20"/>
                <w:szCs w:val="20"/>
              </w:rPr>
              <w:t>10.0</w:t>
            </w:r>
            <w:r w:rsidR="7740FD69" w:rsidRPr="57EA1165">
              <w:rPr>
                <w:b/>
                <w:bCs/>
                <w:sz w:val="20"/>
                <w:szCs w:val="20"/>
              </w:rPr>
              <w:t xml:space="preserve">   </w:t>
            </w:r>
          </w:p>
        </w:tc>
        <w:tc>
          <w:tcPr>
            <w:tcW w:w="934"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304DB705" w14:textId="17605519" w:rsidR="07195704" w:rsidRDefault="7740FD69" w:rsidP="07195704">
            <w:r w:rsidRPr="57EA1165">
              <w:rPr>
                <w:b/>
                <w:bCs/>
                <w:sz w:val="20"/>
                <w:szCs w:val="20"/>
              </w:rPr>
              <w:t xml:space="preserve"> </w:t>
            </w:r>
            <w:r w:rsidR="227A563D" w:rsidRPr="57EA1165">
              <w:rPr>
                <w:b/>
                <w:bCs/>
                <w:sz w:val="20"/>
                <w:szCs w:val="20"/>
              </w:rPr>
              <w:t>0.4</w:t>
            </w:r>
            <w:r w:rsidRPr="57EA1165">
              <w:rPr>
                <w:b/>
                <w:bCs/>
                <w:sz w:val="20"/>
                <w:szCs w:val="20"/>
              </w:rPr>
              <w:t xml:space="preserve">   </w:t>
            </w:r>
          </w:p>
        </w:tc>
        <w:tc>
          <w:tcPr>
            <w:tcW w:w="115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16920493" w14:textId="2741B11E" w:rsidR="07195704" w:rsidRDefault="07195704" w:rsidP="07195704">
            <w:r w:rsidRPr="07195704">
              <w:rPr>
                <w:b/>
                <w:bCs/>
                <w:sz w:val="20"/>
                <w:szCs w:val="20"/>
              </w:rPr>
              <w:t xml:space="preserve"> -   </w:t>
            </w:r>
          </w:p>
        </w:tc>
        <w:tc>
          <w:tcPr>
            <w:tcW w:w="103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D1E9A0A" w14:textId="5CF44593" w:rsidR="07195704" w:rsidRDefault="07195704" w:rsidP="07195704">
            <w:r w:rsidRPr="07195704">
              <w:rPr>
                <w:b/>
                <w:bCs/>
                <w:sz w:val="20"/>
                <w:szCs w:val="20"/>
              </w:rPr>
              <w:t xml:space="preserve"> -   </w:t>
            </w:r>
          </w:p>
        </w:tc>
        <w:tc>
          <w:tcPr>
            <w:tcW w:w="1011"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E7C9F67" w14:textId="635334F8" w:rsidR="07195704" w:rsidRDefault="07195704" w:rsidP="07195704">
            <w:r w:rsidRPr="07195704">
              <w:rPr>
                <w:b/>
                <w:bCs/>
                <w:sz w:val="20"/>
                <w:szCs w:val="20"/>
              </w:rPr>
              <w:t xml:space="preserve"> -   </w:t>
            </w:r>
          </w:p>
        </w:tc>
      </w:tr>
      <w:tr w:rsidR="07195704" w14:paraId="26DC6936" w14:textId="77777777" w:rsidTr="1FA2E292">
        <w:trPr>
          <w:trHeight w:val="300"/>
        </w:trPr>
        <w:tc>
          <w:tcPr>
            <w:tcW w:w="1580"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1C099CBF" w14:textId="2A8F2027" w:rsidR="07195704" w:rsidRDefault="07195704"/>
        </w:tc>
        <w:tc>
          <w:tcPr>
            <w:tcW w:w="375"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36B38F3C" w14:textId="6B7DCFB8" w:rsidR="07195704" w:rsidRDefault="07195704"/>
        </w:tc>
        <w:tc>
          <w:tcPr>
            <w:tcW w:w="870"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4E30FD76" w14:textId="4E67753C" w:rsidR="07195704" w:rsidRDefault="07195704"/>
        </w:tc>
        <w:tc>
          <w:tcPr>
            <w:tcW w:w="860"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3D3A0E9F" w14:textId="0E46951F" w:rsidR="07195704" w:rsidRDefault="07195704"/>
        </w:tc>
        <w:tc>
          <w:tcPr>
            <w:tcW w:w="975"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41D8068F" w14:textId="6B8DEA45" w:rsidR="07195704" w:rsidRDefault="07195704"/>
        </w:tc>
        <w:tc>
          <w:tcPr>
            <w:tcW w:w="912"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78B3CFA4" w14:textId="23138636" w:rsidR="07195704" w:rsidRDefault="07195704"/>
        </w:tc>
        <w:tc>
          <w:tcPr>
            <w:tcW w:w="934"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21AE97AE" w14:textId="3FF2FD98" w:rsidR="07195704" w:rsidRDefault="07195704"/>
        </w:tc>
        <w:tc>
          <w:tcPr>
            <w:tcW w:w="1150"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2852255C" w14:textId="2520B36E" w:rsidR="07195704" w:rsidRDefault="07195704"/>
        </w:tc>
        <w:tc>
          <w:tcPr>
            <w:tcW w:w="1032"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4D137A67" w14:textId="4010C4AD" w:rsidR="07195704" w:rsidRDefault="07195704"/>
        </w:tc>
        <w:tc>
          <w:tcPr>
            <w:tcW w:w="1011" w:type="dxa"/>
            <w:tcBorders>
              <w:top w:val="single" w:sz="4" w:space="0" w:color="A5A6A5"/>
              <w:left w:val="nil"/>
              <w:bottom w:val="nil"/>
              <w:right w:val="nil"/>
            </w:tcBorders>
            <w:shd w:val="clear" w:color="auto" w:fill="FFFFFF" w:themeFill="background1"/>
            <w:tcMar>
              <w:top w:w="15" w:type="dxa"/>
              <w:left w:w="15" w:type="dxa"/>
              <w:right w:w="15" w:type="dxa"/>
            </w:tcMar>
            <w:vAlign w:val="bottom"/>
          </w:tcPr>
          <w:p w14:paraId="5596FDD0" w14:textId="50FD6BEE" w:rsidR="07195704" w:rsidRDefault="07195704"/>
        </w:tc>
      </w:tr>
      <w:tr w:rsidR="07195704" w14:paraId="588561C6" w14:textId="77777777" w:rsidTr="1FA2E292">
        <w:trPr>
          <w:trHeight w:val="254"/>
        </w:trPr>
        <w:tc>
          <w:tcPr>
            <w:tcW w:w="158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0C4CEA16" w14:textId="7118EE8F" w:rsidR="07195704" w:rsidRDefault="07195704" w:rsidP="07195704">
            <w:r w:rsidRPr="07195704">
              <w:rPr>
                <w:b/>
                <w:bCs/>
                <w:sz w:val="20"/>
                <w:szCs w:val="20"/>
              </w:rPr>
              <w:t>Funding to be sourced</w:t>
            </w:r>
          </w:p>
        </w:tc>
        <w:tc>
          <w:tcPr>
            <w:tcW w:w="3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491E25C6" w14:textId="5F7D9E8F" w:rsidR="07195704" w:rsidRDefault="07195704"/>
        </w:tc>
        <w:tc>
          <w:tcPr>
            <w:tcW w:w="87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B6CBEB5" w14:textId="1F8B881A" w:rsidR="07195704" w:rsidRDefault="0895E63C" w:rsidP="07195704">
            <w:r w:rsidRPr="57EA1165">
              <w:rPr>
                <w:b/>
                <w:bCs/>
                <w:sz w:val="20"/>
                <w:szCs w:val="20"/>
              </w:rPr>
              <w:t>-</w:t>
            </w:r>
            <w:r w:rsidR="7740FD69" w:rsidRPr="57EA1165">
              <w:rPr>
                <w:b/>
                <w:bCs/>
                <w:sz w:val="20"/>
                <w:szCs w:val="20"/>
              </w:rPr>
              <w:t xml:space="preserve"> </w:t>
            </w:r>
          </w:p>
        </w:tc>
        <w:tc>
          <w:tcPr>
            <w:tcW w:w="860" w:type="dxa"/>
            <w:tcBorders>
              <w:top w:val="single" w:sz="4" w:space="0" w:color="A5A6A5"/>
              <w:left w:val="nil"/>
              <w:bottom w:val="single" w:sz="4" w:space="0" w:color="A5A6A5"/>
              <w:right w:val="nil"/>
            </w:tcBorders>
            <w:shd w:val="clear" w:color="auto" w:fill="D9D9D9" w:themeFill="background1" w:themeFillShade="D9"/>
            <w:tcMar>
              <w:top w:w="15" w:type="dxa"/>
              <w:left w:w="15" w:type="dxa"/>
              <w:right w:w="15" w:type="dxa"/>
            </w:tcMar>
            <w:vAlign w:val="bottom"/>
          </w:tcPr>
          <w:p w14:paraId="13AE657A" w14:textId="2ED4B988" w:rsidR="07195704" w:rsidRDefault="44D82ECF" w:rsidP="07195704">
            <w:r w:rsidRPr="57EA1165">
              <w:rPr>
                <w:b/>
                <w:bCs/>
                <w:sz w:val="20"/>
                <w:szCs w:val="20"/>
              </w:rPr>
              <w:t xml:space="preserve">    </w:t>
            </w:r>
            <w:r w:rsidR="7740FD69" w:rsidRPr="57EA1165">
              <w:rPr>
                <w:b/>
                <w:bCs/>
                <w:sz w:val="20"/>
                <w:szCs w:val="20"/>
              </w:rPr>
              <w:t xml:space="preserve">- </w:t>
            </w:r>
          </w:p>
        </w:tc>
        <w:tc>
          <w:tcPr>
            <w:tcW w:w="975"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3F4D79A5" w14:textId="7DAA8939" w:rsidR="07195704" w:rsidRDefault="77EACEBE" w:rsidP="57EA1165">
            <w:pPr>
              <w:rPr>
                <w:b/>
                <w:sz w:val="20"/>
                <w:szCs w:val="20"/>
              </w:rPr>
            </w:pPr>
            <w:r w:rsidRPr="57EA1165">
              <w:rPr>
                <w:b/>
                <w:bCs/>
                <w:sz w:val="20"/>
                <w:szCs w:val="20"/>
              </w:rPr>
              <w:t xml:space="preserve">    </w:t>
            </w:r>
            <w:r w:rsidR="7740FD69" w:rsidRPr="57EA1165">
              <w:rPr>
                <w:b/>
                <w:bCs/>
                <w:sz w:val="20"/>
                <w:szCs w:val="20"/>
              </w:rPr>
              <w:t>-</w:t>
            </w:r>
          </w:p>
        </w:tc>
        <w:tc>
          <w:tcPr>
            <w:tcW w:w="91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ED8B58F" w14:textId="13F6DCE1" w:rsidR="07195704" w:rsidRDefault="7740FD69" w:rsidP="07195704">
            <w:r w:rsidRPr="57EA1165">
              <w:rPr>
                <w:b/>
                <w:bCs/>
                <w:sz w:val="20"/>
                <w:szCs w:val="20"/>
              </w:rPr>
              <w:t xml:space="preserve">- </w:t>
            </w:r>
          </w:p>
        </w:tc>
        <w:tc>
          <w:tcPr>
            <w:tcW w:w="934"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5E02E2C6" w14:textId="6E0B03A0" w:rsidR="07195704" w:rsidRDefault="7EECA4E5" w:rsidP="57EA1165">
            <w:pPr>
              <w:rPr>
                <w:b/>
                <w:sz w:val="20"/>
                <w:szCs w:val="20"/>
              </w:rPr>
            </w:pPr>
            <w:r w:rsidRPr="57EA1165">
              <w:rPr>
                <w:b/>
                <w:bCs/>
                <w:sz w:val="20"/>
                <w:szCs w:val="20"/>
              </w:rPr>
              <w:t>-</w:t>
            </w:r>
          </w:p>
        </w:tc>
        <w:tc>
          <w:tcPr>
            <w:tcW w:w="1150"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3D52B5B" w14:textId="5F1DAA9D" w:rsidR="07195704" w:rsidRDefault="7740FD69" w:rsidP="07195704">
            <w:r w:rsidRPr="57EA1165">
              <w:rPr>
                <w:b/>
                <w:bCs/>
                <w:sz w:val="20"/>
                <w:szCs w:val="20"/>
              </w:rPr>
              <w:t xml:space="preserve">166.5 </w:t>
            </w:r>
          </w:p>
        </w:tc>
        <w:tc>
          <w:tcPr>
            <w:tcW w:w="1032"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29A48E21" w14:textId="7AEB4EAF" w:rsidR="07195704" w:rsidRDefault="7740FD69" w:rsidP="07195704">
            <w:r w:rsidRPr="57EA1165">
              <w:rPr>
                <w:b/>
                <w:bCs/>
                <w:sz w:val="20"/>
                <w:szCs w:val="20"/>
              </w:rPr>
              <w:t xml:space="preserve">185.7 </w:t>
            </w:r>
          </w:p>
        </w:tc>
        <w:tc>
          <w:tcPr>
            <w:tcW w:w="1011" w:type="dxa"/>
            <w:tcBorders>
              <w:top w:val="single" w:sz="4" w:space="0" w:color="A5A6A5"/>
              <w:left w:val="nil"/>
              <w:bottom w:val="single" w:sz="4" w:space="0" w:color="A5A6A5"/>
              <w:right w:val="nil"/>
            </w:tcBorders>
            <w:shd w:val="clear" w:color="auto" w:fill="FFFFFF" w:themeFill="background1"/>
            <w:tcMar>
              <w:top w:w="15" w:type="dxa"/>
              <w:left w:w="15" w:type="dxa"/>
              <w:right w:w="15" w:type="dxa"/>
            </w:tcMar>
            <w:vAlign w:val="bottom"/>
          </w:tcPr>
          <w:p w14:paraId="74180037" w14:textId="74140AC8" w:rsidR="07195704" w:rsidRDefault="07195704" w:rsidP="07195704">
            <w:r w:rsidRPr="07195704">
              <w:rPr>
                <w:b/>
                <w:bCs/>
                <w:sz w:val="20"/>
                <w:szCs w:val="20"/>
              </w:rPr>
              <w:t xml:space="preserve"> -   </w:t>
            </w:r>
          </w:p>
        </w:tc>
      </w:tr>
    </w:tbl>
    <w:p w14:paraId="7A337DEB" w14:textId="4C3CE1FC" w:rsidR="69C8A05B" w:rsidRDefault="69C8A05B" w:rsidP="69C8A05B">
      <w:pPr>
        <w:pStyle w:val="ListParagraph"/>
        <w:spacing w:before="240"/>
        <w:ind w:left="680"/>
        <w:jc w:val="both"/>
        <w:rPr>
          <w:rFonts w:eastAsiaTheme="minorEastAsia"/>
          <w:color w:val="auto"/>
          <w:lang w:val="en-US"/>
        </w:rPr>
      </w:pPr>
    </w:p>
    <w:p w14:paraId="2800BE32" w14:textId="70D0EF28" w:rsidR="65935131" w:rsidRDefault="11DE25F3" w:rsidP="1FA2E292">
      <w:pPr>
        <w:pStyle w:val="ListParagraph"/>
        <w:numPr>
          <w:ilvl w:val="0"/>
          <w:numId w:val="39"/>
        </w:numPr>
        <w:spacing w:before="240"/>
        <w:jc w:val="both"/>
        <w:rPr>
          <w:rFonts w:eastAsiaTheme="minorEastAsia"/>
          <w:color w:val="auto"/>
          <w:lang w:val="en-US"/>
        </w:rPr>
      </w:pPr>
      <w:r w:rsidRPr="1FA2E292">
        <w:rPr>
          <w:color w:val="auto"/>
        </w:rPr>
        <w:t>Between</w:t>
      </w:r>
      <w:r w:rsidR="15900191" w:rsidRPr="1FA2E292">
        <w:rPr>
          <w:color w:val="auto"/>
        </w:rPr>
        <w:t xml:space="preserve"> 2022-23 </w:t>
      </w:r>
      <w:r w:rsidR="0F3F78AD" w:rsidRPr="1FA2E292">
        <w:rPr>
          <w:color w:val="auto"/>
        </w:rPr>
        <w:t xml:space="preserve">and 2023-24 </w:t>
      </w:r>
      <w:r w:rsidR="15900191" w:rsidRPr="1FA2E292">
        <w:rPr>
          <w:color w:val="auto"/>
        </w:rPr>
        <w:t>OPDC has been successful in securing</w:t>
      </w:r>
      <w:r w:rsidR="15900191" w:rsidRPr="1FA2E292">
        <w:rPr>
          <w:rFonts w:eastAsiaTheme="minorEastAsia"/>
          <w:color w:val="auto"/>
        </w:rPr>
        <w:t xml:space="preserve"> funding for capital projects including £204 million for early Land Assembly activity, including D</w:t>
      </w:r>
      <w:r w:rsidR="15900191" w:rsidRPr="1FA2E292">
        <w:rPr>
          <w:color w:val="auto"/>
        </w:rPr>
        <w:t>LUHC BIL Funding (£</w:t>
      </w:r>
      <w:r w:rsidR="4E2D309F" w:rsidRPr="1FA2E292">
        <w:rPr>
          <w:color w:val="auto"/>
        </w:rPr>
        <w:t>5</w:t>
      </w:r>
      <w:r w:rsidR="6A7A4080" w:rsidRPr="1FA2E292">
        <w:rPr>
          <w:color w:val="auto"/>
        </w:rPr>
        <w:t>3</w:t>
      </w:r>
      <w:r w:rsidR="15900191" w:rsidRPr="1FA2E292">
        <w:rPr>
          <w:color w:val="auto"/>
        </w:rPr>
        <w:t xml:space="preserve"> million), GLA Land Fund (£50 million) and </w:t>
      </w:r>
      <w:r w:rsidR="15900191" w:rsidRPr="1FA2E292">
        <w:rPr>
          <w:rFonts w:eastAsiaTheme="minorEastAsia"/>
          <w:color w:val="auto"/>
          <w:lang w:val="en-US"/>
        </w:rPr>
        <w:t xml:space="preserve">existing GLA loan facility that was approved in the 2024-25 budget (£100 million). </w:t>
      </w:r>
    </w:p>
    <w:p w14:paraId="4D29FE76" w14:textId="77777777" w:rsidR="16A89082" w:rsidRDefault="16A89082" w:rsidP="16A89082">
      <w:pPr>
        <w:pStyle w:val="ListParagraph"/>
        <w:jc w:val="both"/>
        <w:rPr>
          <w:rFonts w:eastAsiaTheme="minorEastAsia"/>
          <w:color w:val="auto"/>
          <w:lang w:val="en-US"/>
        </w:rPr>
      </w:pPr>
    </w:p>
    <w:p w14:paraId="6A009114" w14:textId="28271549" w:rsidR="194A99EC" w:rsidRDefault="65935131" w:rsidP="13D5FBE1">
      <w:pPr>
        <w:pStyle w:val="ListParagraph"/>
        <w:numPr>
          <w:ilvl w:val="0"/>
          <w:numId w:val="39"/>
        </w:numPr>
        <w:spacing w:before="240"/>
        <w:jc w:val="both"/>
        <w:rPr>
          <w:rFonts w:eastAsiaTheme="minorEastAsia"/>
          <w:color w:val="auto"/>
          <w:lang w:val="en-US"/>
        </w:rPr>
      </w:pPr>
      <w:r w:rsidRPr="678D5708">
        <w:rPr>
          <w:rFonts w:eastAsiaTheme="minorEastAsia"/>
          <w:color w:val="auto"/>
        </w:rPr>
        <w:t>In addition, a further £</w:t>
      </w:r>
      <w:r w:rsidRPr="00F5836C">
        <w:rPr>
          <w:rFonts w:eastAsiaTheme="minorEastAsia"/>
          <w:color w:val="auto"/>
        </w:rPr>
        <w:t>3</w:t>
      </w:r>
      <w:r w:rsidR="5AE7470B" w:rsidRPr="00F5836C">
        <w:rPr>
          <w:rFonts w:eastAsiaTheme="minorEastAsia"/>
          <w:color w:val="auto"/>
        </w:rPr>
        <w:t>5</w:t>
      </w:r>
      <w:r w:rsidRPr="678D5708">
        <w:rPr>
          <w:rFonts w:eastAsiaTheme="minorEastAsia"/>
          <w:color w:val="auto"/>
        </w:rPr>
        <w:t xml:space="preserve"> million </w:t>
      </w:r>
      <w:r w:rsidR="1697D277" w:rsidRPr="6CF825F8">
        <w:rPr>
          <w:rFonts w:eastAsiaTheme="minorEastAsia"/>
          <w:color w:val="auto"/>
        </w:rPr>
        <w:t>capital</w:t>
      </w:r>
      <w:r w:rsidR="1697D277" w:rsidRPr="13D5FBE1">
        <w:rPr>
          <w:rFonts w:eastAsiaTheme="minorEastAsia"/>
          <w:color w:val="auto"/>
        </w:rPr>
        <w:t xml:space="preserve"> grant </w:t>
      </w:r>
      <w:r w:rsidR="21435D22" w:rsidRPr="6CF825F8">
        <w:rPr>
          <w:rFonts w:eastAsiaTheme="minorEastAsia"/>
          <w:color w:val="auto"/>
        </w:rPr>
        <w:t>has</w:t>
      </w:r>
      <w:r w:rsidR="21435D22" w:rsidRPr="52E3D11A">
        <w:rPr>
          <w:rFonts w:eastAsiaTheme="minorEastAsia"/>
          <w:color w:val="auto"/>
        </w:rPr>
        <w:t xml:space="preserve"> </w:t>
      </w:r>
      <w:r w:rsidR="21435D22" w:rsidRPr="06A0AA73">
        <w:rPr>
          <w:rFonts w:eastAsiaTheme="minorEastAsia"/>
          <w:color w:val="auto"/>
        </w:rPr>
        <w:t>been</w:t>
      </w:r>
      <w:r w:rsidRPr="678D5708">
        <w:rPr>
          <w:rFonts w:eastAsiaTheme="minorEastAsia"/>
          <w:color w:val="auto"/>
        </w:rPr>
        <w:t xml:space="preserve"> secured for the development of a Heat Network Energy Centre</w:t>
      </w:r>
      <w:r w:rsidR="222084F3" w:rsidRPr="52E3D11A">
        <w:rPr>
          <w:rFonts w:eastAsiaTheme="minorEastAsia"/>
          <w:color w:val="auto"/>
        </w:rPr>
        <w:t xml:space="preserve">. </w:t>
      </w:r>
    </w:p>
    <w:p w14:paraId="4BE93F77" w14:textId="39EF9466" w:rsidR="6C4FEC0B" w:rsidRDefault="6C4FEC0B" w:rsidP="6C4FEC0B">
      <w:pPr>
        <w:pStyle w:val="ListParagraph"/>
        <w:spacing w:before="240"/>
        <w:ind w:left="680"/>
        <w:jc w:val="both"/>
        <w:rPr>
          <w:rFonts w:eastAsiaTheme="minorEastAsia"/>
          <w:color w:val="auto"/>
        </w:rPr>
      </w:pPr>
    </w:p>
    <w:p w14:paraId="1E35F165" w14:textId="261138D0" w:rsidR="65935131" w:rsidRDefault="7AF586EB" w:rsidP="003B6A3E">
      <w:pPr>
        <w:pStyle w:val="ListParagraph"/>
        <w:numPr>
          <w:ilvl w:val="0"/>
          <w:numId w:val="39"/>
        </w:numPr>
        <w:spacing w:before="240"/>
        <w:jc w:val="both"/>
        <w:rPr>
          <w:color w:val="000000" w:themeColor="text1"/>
        </w:rPr>
      </w:pPr>
      <w:r w:rsidRPr="1FA2E292">
        <w:rPr>
          <w:color w:val="000000" w:themeColor="text1"/>
        </w:rPr>
        <w:t>At the time of the 2024-25 budget</w:t>
      </w:r>
      <w:r w:rsidR="00A12182">
        <w:rPr>
          <w:color w:val="000000" w:themeColor="text1"/>
        </w:rPr>
        <w:t xml:space="preserve"> t</w:t>
      </w:r>
      <w:r w:rsidR="15900191" w:rsidRPr="1FA2E292">
        <w:rPr>
          <w:color w:val="000000" w:themeColor="text1"/>
        </w:rPr>
        <w:t xml:space="preserve">he </w:t>
      </w:r>
      <w:r w:rsidR="728E653F" w:rsidRPr="1FA2E292">
        <w:rPr>
          <w:color w:val="000000" w:themeColor="text1"/>
        </w:rPr>
        <w:t xml:space="preserve">GLA approved </w:t>
      </w:r>
      <w:r w:rsidR="15900191" w:rsidRPr="1FA2E292">
        <w:rPr>
          <w:color w:val="000000" w:themeColor="text1"/>
        </w:rPr>
        <w:t xml:space="preserve">borrowing limits </w:t>
      </w:r>
      <w:r w:rsidR="22367A2C" w:rsidRPr="1FA2E292">
        <w:rPr>
          <w:color w:val="000000" w:themeColor="text1"/>
        </w:rPr>
        <w:t>we</w:t>
      </w:r>
      <w:r w:rsidR="15900191" w:rsidRPr="1FA2E292">
        <w:rPr>
          <w:color w:val="000000" w:themeColor="text1"/>
        </w:rPr>
        <w:t xml:space="preserve"> as below:</w:t>
      </w:r>
    </w:p>
    <w:p w14:paraId="6EBA25CE" w14:textId="49E5E489" w:rsidR="16A89082" w:rsidRDefault="16A89082" w:rsidP="16A89082">
      <w:pPr>
        <w:pStyle w:val="ListParagraph"/>
        <w:spacing w:before="240"/>
        <w:ind w:left="680"/>
        <w:jc w:val="both"/>
        <w:rPr>
          <w:color w:val="000000" w:themeColor="text1"/>
        </w:rPr>
      </w:pP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560"/>
        <w:gridCol w:w="1710"/>
      </w:tblGrid>
      <w:tr w:rsidR="16A89082" w14:paraId="030D1C4E" w14:textId="77777777" w:rsidTr="1FA2E292">
        <w:trPr>
          <w:cnfStyle w:val="100000000000" w:firstRow="1" w:lastRow="0" w:firstColumn="0" w:lastColumn="0" w:oddVBand="0" w:evenVBand="0" w:oddHBand="0" w:evenHBand="0" w:firstRowFirstColumn="0" w:firstRowLastColumn="0" w:lastRowFirstColumn="0" w:lastRowLastColumn="0"/>
          <w:trHeight w:val="300"/>
        </w:trPr>
        <w:tc>
          <w:tcPr>
            <w:tcW w:w="1695" w:type="dxa"/>
            <w:shd w:val="clear" w:color="auto" w:fill="FFFFFF" w:themeFill="background1"/>
            <w:tcMar>
              <w:left w:w="105" w:type="dxa"/>
              <w:right w:w="105" w:type="dxa"/>
            </w:tcMar>
          </w:tcPr>
          <w:p w14:paraId="381A84B9" w14:textId="499C2726" w:rsidR="16A89082" w:rsidRDefault="16A89082" w:rsidP="16A89082">
            <w:r w:rsidRPr="16A89082">
              <w:rPr>
                <w:b/>
                <w:bCs/>
              </w:rPr>
              <w:t>2023-24</w:t>
            </w:r>
          </w:p>
        </w:tc>
        <w:tc>
          <w:tcPr>
            <w:tcW w:w="1560" w:type="dxa"/>
            <w:shd w:val="clear" w:color="auto" w:fill="FFFFFF" w:themeFill="background1"/>
            <w:tcMar>
              <w:left w:w="105" w:type="dxa"/>
              <w:right w:w="105" w:type="dxa"/>
            </w:tcMar>
          </w:tcPr>
          <w:p w14:paraId="4F08DE1F" w14:textId="2C978967" w:rsidR="16A89082" w:rsidRDefault="16A89082" w:rsidP="16A89082">
            <w:r w:rsidRPr="16A89082">
              <w:rPr>
                <w:b/>
                <w:bCs/>
              </w:rPr>
              <w:t>2024-25</w:t>
            </w:r>
          </w:p>
        </w:tc>
        <w:tc>
          <w:tcPr>
            <w:tcW w:w="1710" w:type="dxa"/>
            <w:shd w:val="clear" w:color="auto" w:fill="FFFFFF" w:themeFill="background1"/>
            <w:tcMar>
              <w:left w:w="105" w:type="dxa"/>
              <w:right w:w="105" w:type="dxa"/>
            </w:tcMar>
          </w:tcPr>
          <w:p w14:paraId="78FE36B3" w14:textId="4C266C57" w:rsidR="16A89082" w:rsidRDefault="16A89082" w:rsidP="16A89082">
            <w:r w:rsidRPr="16A89082">
              <w:rPr>
                <w:b/>
                <w:bCs/>
              </w:rPr>
              <w:t>2025-26</w:t>
            </w:r>
          </w:p>
        </w:tc>
      </w:tr>
      <w:tr w:rsidR="16A89082" w14:paraId="7E0111AD" w14:textId="77777777" w:rsidTr="1FA2E292">
        <w:trPr>
          <w:trHeight w:val="300"/>
        </w:trPr>
        <w:tc>
          <w:tcPr>
            <w:tcW w:w="1695" w:type="dxa"/>
            <w:tcMar>
              <w:left w:w="105" w:type="dxa"/>
              <w:right w:w="105" w:type="dxa"/>
            </w:tcMar>
          </w:tcPr>
          <w:p w14:paraId="0F02519B" w14:textId="5DDF0C9B" w:rsidR="16A89082" w:rsidRDefault="16A89082" w:rsidP="16A89082">
            <w:r w:rsidRPr="16A89082">
              <w:t>£50</w:t>
            </w:r>
            <w:r w:rsidR="00A24EA2">
              <w:t xml:space="preserve"> </w:t>
            </w:r>
            <w:r w:rsidRPr="16A89082">
              <w:t>m</w:t>
            </w:r>
            <w:r w:rsidR="00A24EA2">
              <w:t>illion</w:t>
            </w:r>
          </w:p>
        </w:tc>
        <w:tc>
          <w:tcPr>
            <w:tcW w:w="1560" w:type="dxa"/>
            <w:tcMar>
              <w:left w:w="105" w:type="dxa"/>
              <w:right w:w="105" w:type="dxa"/>
            </w:tcMar>
          </w:tcPr>
          <w:p w14:paraId="1F532E82" w14:textId="3A926D90" w:rsidR="16A89082" w:rsidRDefault="16A89082" w:rsidP="16A89082">
            <w:r w:rsidRPr="16A89082">
              <w:t>£100</w:t>
            </w:r>
            <w:r w:rsidR="00A24EA2">
              <w:t xml:space="preserve"> </w:t>
            </w:r>
            <w:r w:rsidRPr="16A89082">
              <w:t>m</w:t>
            </w:r>
            <w:r w:rsidR="00A24EA2">
              <w:t>illion</w:t>
            </w:r>
          </w:p>
        </w:tc>
        <w:tc>
          <w:tcPr>
            <w:tcW w:w="1710" w:type="dxa"/>
            <w:tcMar>
              <w:left w:w="105" w:type="dxa"/>
              <w:right w:w="105" w:type="dxa"/>
            </w:tcMar>
          </w:tcPr>
          <w:p w14:paraId="4F6BD5A7" w14:textId="7D45B83D" w:rsidR="16A89082" w:rsidRDefault="16A89082" w:rsidP="16A89082">
            <w:r w:rsidRPr="16A89082">
              <w:t>£150</w:t>
            </w:r>
            <w:r w:rsidR="00A24EA2">
              <w:t xml:space="preserve"> </w:t>
            </w:r>
            <w:r w:rsidRPr="16A89082">
              <w:t>m</w:t>
            </w:r>
            <w:r w:rsidR="00A24EA2">
              <w:t>illion</w:t>
            </w:r>
          </w:p>
        </w:tc>
      </w:tr>
    </w:tbl>
    <w:p w14:paraId="408D08F1" w14:textId="18D7A783" w:rsidR="16A89082" w:rsidRPr="00F010B1" w:rsidRDefault="7D9F6953" w:rsidP="1FA2E292">
      <w:pPr>
        <w:pStyle w:val="ListParagraph"/>
        <w:numPr>
          <w:ilvl w:val="0"/>
          <w:numId w:val="39"/>
        </w:numPr>
        <w:spacing w:before="240"/>
        <w:jc w:val="both"/>
        <w:rPr>
          <w:rFonts w:eastAsiaTheme="minorEastAsia"/>
          <w:color w:val="auto"/>
          <w:lang w:val="en-US"/>
        </w:rPr>
      </w:pPr>
      <w:r w:rsidRPr="1FA2E292">
        <w:rPr>
          <w:color w:val="000000" w:themeColor="text1"/>
        </w:rPr>
        <w:t>Analysis</w:t>
      </w:r>
      <w:r w:rsidR="486C61F7" w:rsidRPr="1FA2E292">
        <w:rPr>
          <w:color w:val="000000" w:themeColor="text1"/>
        </w:rPr>
        <w:t xml:space="preserve"> carried out during the 2025-26 budget</w:t>
      </w:r>
      <w:r w:rsidRPr="1FA2E292">
        <w:rPr>
          <w:color w:val="000000" w:themeColor="text1"/>
        </w:rPr>
        <w:t xml:space="preserve"> indicate</w:t>
      </w:r>
      <w:r w:rsidR="43619F2B" w:rsidRPr="1FA2E292">
        <w:rPr>
          <w:color w:val="000000" w:themeColor="text1"/>
        </w:rPr>
        <w:t>d</w:t>
      </w:r>
      <w:r w:rsidRPr="1FA2E292">
        <w:rPr>
          <w:color w:val="000000" w:themeColor="text1"/>
        </w:rPr>
        <w:t xml:space="preserve"> that based on Delivery Plans, OPDC w</w:t>
      </w:r>
      <w:r w:rsidR="267D94BB" w:rsidRPr="1FA2E292">
        <w:rPr>
          <w:color w:val="000000" w:themeColor="text1"/>
        </w:rPr>
        <w:t>ould</w:t>
      </w:r>
      <w:r w:rsidRPr="1FA2E292">
        <w:rPr>
          <w:color w:val="000000" w:themeColor="text1"/>
        </w:rPr>
        <w:t xml:space="preserve"> require a further increase in the borrowing limits</w:t>
      </w:r>
      <w:r w:rsidR="1A5AEAAE" w:rsidRPr="1FA2E292">
        <w:rPr>
          <w:color w:val="000000" w:themeColor="text1"/>
        </w:rPr>
        <w:t xml:space="preserve"> </w:t>
      </w:r>
      <w:r w:rsidR="728E653F" w:rsidRPr="1FA2E292">
        <w:rPr>
          <w:color w:val="000000" w:themeColor="text1"/>
        </w:rPr>
        <w:t xml:space="preserve">to </w:t>
      </w:r>
      <w:r w:rsidR="34C04656" w:rsidRPr="1FA2E292">
        <w:rPr>
          <w:color w:val="000000" w:themeColor="text1"/>
        </w:rPr>
        <w:t>continue</w:t>
      </w:r>
      <w:r w:rsidR="3D6A3DC3" w:rsidRPr="1FA2E292">
        <w:rPr>
          <w:color w:val="000000" w:themeColor="text1"/>
        </w:rPr>
        <w:t xml:space="preserve"> with</w:t>
      </w:r>
      <w:r w:rsidR="6802E06F" w:rsidRPr="1FA2E292">
        <w:rPr>
          <w:color w:val="000000" w:themeColor="text1"/>
        </w:rPr>
        <w:t xml:space="preserve"> </w:t>
      </w:r>
      <w:r w:rsidR="6802E06F" w:rsidRPr="1FA2E292">
        <w:rPr>
          <w:rFonts w:eastAsiaTheme="minorEastAsia"/>
          <w:color w:val="000000" w:themeColor="text1"/>
        </w:rPr>
        <w:t>the</w:t>
      </w:r>
      <w:r w:rsidR="728E653F" w:rsidRPr="1FA2E292">
        <w:rPr>
          <w:rFonts w:eastAsiaTheme="minorEastAsia"/>
          <w:color w:val="000000" w:themeColor="text1"/>
        </w:rPr>
        <w:t xml:space="preserve"> </w:t>
      </w:r>
      <w:r w:rsidRPr="1FA2E292">
        <w:rPr>
          <w:color w:val="000000" w:themeColor="text1"/>
        </w:rPr>
        <w:t xml:space="preserve">Land </w:t>
      </w:r>
      <w:r w:rsidR="17B19DBB" w:rsidRPr="1FA2E292">
        <w:rPr>
          <w:color w:val="000000" w:themeColor="text1"/>
        </w:rPr>
        <w:t xml:space="preserve">Assembly </w:t>
      </w:r>
      <w:r w:rsidR="150E63CD" w:rsidRPr="1FA2E292">
        <w:rPr>
          <w:color w:val="000000" w:themeColor="text1"/>
        </w:rPr>
        <w:t>programme</w:t>
      </w:r>
      <w:r w:rsidR="7A23692F" w:rsidRPr="1FA2E292">
        <w:rPr>
          <w:rFonts w:eastAsiaTheme="minorEastAsia"/>
          <w:color w:val="000000" w:themeColor="text1"/>
        </w:rPr>
        <w:t>.</w:t>
      </w:r>
      <w:r w:rsidR="0115F9E1" w:rsidRPr="1FA2E292">
        <w:rPr>
          <w:rFonts w:eastAsiaTheme="minorEastAsia"/>
          <w:color w:val="000000" w:themeColor="text1"/>
        </w:rPr>
        <w:t xml:space="preserve"> </w:t>
      </w:r>
    </w:p>
    <w:p w14:paraId="055DD858" w14:textId="77777777" w:rsidR="00DD7BDD" w:rsidRPr="00162AA3" w:rsidRDefault="00DD7BDD" w:rsidP="00DD7BDD">
      <w:pPr>
        <w:pStyle w:val="ListParagraph"/>
        <w:spacing w:before="240"/>
        <w:ind w:left="680"/>
        <w:jc w:val="both"/>
        <w:rPr>
          <w:rFonts w:eastAsiaTheme="minorEastAsia"/>
          <w:color w:val="000000" w:themeColor="text1"/>
          <w:lang w:val="en-US"/>
        </w:rPr>
      </w:pPr>
    </w:p>
    <w:p w14:paraId="54ECFAB7" w14:textId="6A1DA632" w:rsidR="00162AA3" w:rsidRPr="00162AA3" w:rsidRDefault="6050D709" w:rsidP="003B6A3E">
      <w:pPr>
        <w:pStyle w:val="ListParagraph"/>
        <w:numPr>
          <w:ilvl w:val="0"/>
          <w:numId w:val="39"/>
        </w:numPr>
        <w:spacing w:before="240"/>
        <w:jc w:val="both"/>
        <w:rPr>
          <w:rFonts w:eastAsiaTheme="minorEastAsia"/>
          <w:color w:val="000000" w:themeColor="text1"/>
          <w:lang w:val="en-US"/>
        </w:rPr>
      </w:pPr>
      <w:r w:rsidRPr="02A5FFC4">
        <w:rPr>
          <w:rFonts w:eastAsiaTheme="minorEastAsia"/>
          <w:color w:val="auto"/>
          <w:lang w:val="en-US"/>
        </w:rPr>
        <w:t xml:space="preserve">OPDC continues to engage with </w:t>
      </w:r>
      <w:r w:rsidR="00A34875" w:rsidDel="0072655B">
        <w:rPr>
          <w:rFonts w:eastAsiaTheme="minorEastAsia"/>
          <w:color w:val="auto"/>
          <w:lang w:val="en-US"/>
        </w:rPr>
        <w:t>g</w:t>
      </w:r>
      <w:r w:rsidRPr="02A5FFC4" w:rsidDel="0072655B">
        <w:rPr>
          <w:rFonts w:eastAsiaTheme="minorEastAsia"/>
          <w:color w:val="auto"/>
          <w:lang w:val="en-US"/>
        </w:rPr>
        <w:t xml:space="preserve">overnment </w:t>
      </w:r>
      <w:r w:rsidRPr="02A5FFC4">
        <w:rPr>
          <w:rFonts w:eastAsiaTheme="minorEastAsia"/>
          <w:color w:val="auto"/>
          <w:lang w:val="en-US"/>
        </w:rPr>
        <w:t>departments, exploring options for further capital investment to secure delivery, given the long-term nature of the scheme.</w:t>
      </w:r>
    </w:p>
    <w:p w14:paraId="309811BB" w14:textId="77777777" w:rsidR="00162AA3" w:rsidRPr="00162AA3" w:rsidRDefault="00162AA3" w:rsidP="00162AA3">
      <w:pPr>
        <w:pStyle w:val="ListParagraph"/>
        <w:spacing w:before="240"/>
        <w:ind w:left="680"/>
        <w:jc w:val="both"/>
        <w:rPr>
          <w:rFonts w:eastAsiaTheme="minorEastAsia"/>
          <w:color w:val="000000" w:themeColor="text1"/>
          <w:lang w:val="en-US"/>
        </w:rPr>
      </w:pPr>
    </w:p>
    <w:p w14:paraId="1C237B79" w14:textId="48BE5AB4" w:rsidR="50253CC9" w:rsidRPr="00162AA3" w:rsidRDefault="50253CC9" w:rsidP="003B6A3E">
      <w:pPr>
        <w:pStyle w:val="ListParagraph"/>
        <w:numPr>
          <w:ilvl w:val="0"/>
          <w:numId w:val="39"/>
        </w:numPr>
        <w:spacing w:before="240"/>
        <w:jc w:val="both"/>
        <w:rPr>
          <w:color w:val="000000" w:themeColor="text1"/>
        </w:rPr>
      </w:pPr>
      <w:r w:rsidRPr="00162AA3">
        <w:rPr>
          <w:color w:val="000000" w:themeColor="text1"/>
        </w:rPr>
        <w:t xml:space="preserve">The Authorised Limit and Operational Boundary for external debt for OPDC arising from its plans are set out in the below </w:t>
      </w:r>
      <w:r w:rsidRPr="69C8A05B">
        <w:rPr>
          <w:color w:val="000000" w:themeColor="text1"/>
        </w:rPr>
        <w:t>table</w:t>
      </w:r>
      <w:r w:rsidR="11E4F89E" w:rsidRPr="69C8A05B">
        <w:rPr>
          <w:color w:val="000000" w:themeColor="text1"/>
        </w:rPr>
        <w:t>s</w:t>
      </w:r>
      <w:r w:rsidRPr="69C8A05B">
        <w:rPr>
          <w:color w:val="000000" w:themeColor="text1"/>
        </w:rPr>
        <w:t>.</w:t>
      </w:r>
      <w:r w:rsidR="54C49EE9" w:rsidRPr="69C8A05B">
        <w:rPr>
          <w:color w:val="000000" w:themeColor="text1"/>
        </w:rPr>
        <w:t xml:space="preserve"> </w:t>
      </w:r>
    </w:p>
    <w:p w14:paraId="67375D1D" w14:textId="405D8E2F" w:rsidR="69C8A05B" w:rsidRDefault="69C8A05B" w:rsidP="69C8A05B">
      <w:pPr>
        <w:pStyle w:val="ListParagraph"/>
        <w:spacing w:before="240"/>
        <w:ind w:left="680"/>
        <w:jc w:val="both"/>
        <w:rPr>
          <w:color w:val="000000" w:themeColor="text1"/>
        </w:rPr>
      </w:pPr>
    </w:p>
    <w:p w14:paraId="15723330" w14:textId="64C41962" w:rsidR="69C8A05B" w:rsidRDefault="0AA7B685" w:rsidP="003B6A3E">
      <w:pPr>
        <w:pStyle w:val="ListParagraph"/>
        <w:numPr>
          <w:ilvl w:val="0"/>
          <w:numId w:val="39"/>
        </w:numPr>
        <w:spacing w:before="240"/>
        <w:jc w:val="both"/>
      </w:pPr>
      <w:r w:rsidRPr="1FA2E292">
        <w:rPr>
          <w:color w:val="000000" w:themeColor="text1"/>
        </w:rPr>
        <w:t xml:space="preserve">The borrowing limit includes an increase of £75 million. </w:t>
      </w:r>
      <w:r w:rsidR="1EEFFFC9">
        <w:t>bringing the</w:t>
      </w:r>
      <w:r w:rsidR="504D5970">
        <w:t xml:space="preserve"> authorised borrowing limit </w:t>
      </w:r>
      <w:r w:rsidR="56D43040">
        <w:t>to £225 million</w:t>
      </w:r>
      <w:r w:rsidR="504D5970">
        <w:t>.</w:t>
      </w:r>
    </w:p>
    <w:p w14:paraId="3F771926" w14:textId="4F1FBE2B" w:rsidR="007067C4" w:rsidRDefault="007067C4" w:rsidP="00F53361">
      <w:pPr>
        <w:pStyle w:val="Heading2"/>
        <w:ind w:left="680"/>
        <w:rPr>
          <w:rFonts w:ascii="Foundry Form Sans" w:hAnsi="Foundry Form Sans" w:cs="Times New Roman"/>
          <w:i w:val="0"/>
          <w:iCs w:val="0"/>
          <w:color w:val="auto"/>
          <w:sz w:val="24"/>
          <w:szCs w:val="24"/>
        </w:rPr>
      </w:pPr>
      <w:r w:rsidRPr="678D5708">
        <w:rPr>
          <w:rFonts w:ascii="Foundry Form Sans" w:hAnsi="Foundry Form Sans" w:cs="Times New Roman"/>
          <w:i w:val="0"/>
          <w:iCs w:val="0"/>
          <w:color w:val="auto"/>
          <w:sz w:val="24"/>
          <w:szCs w:val="24"/>
        </w:rPr>
        <w:t xml:space="preserve">Table </w:t>
      </w:r>
      <w:r w:rsidR="6E22F5F7" w:rsidRPr="678D5708">
        <w:rPr>
          <w:rFonts w:ascii="Foundry Form Sans" w:hAnsi="Foundry Form Sans" w:cs="Times New Roman"/>
          <w:i w:val="0"/>
          <w:iCs w:val="0"/>
          <w:color w:val="auto"/>
          <w:sz w:val="24"/>
          <w:szCs w:val="24"/>
        </w:rPr>
        <w:t>7</w:t>
      </w:r>
      <w:r w:rsidRPr="678D5708">
        <w:rPr>
          <w:rFonts w:ascii="Foundry Form Sans" w:hAnsi="Foundry Form Sans" w:cs="Times New Roman"/>
          <w:i w:val="0"/>
          <w:iCs w:val="0"/>
          <w:color w:val="auto"/>
          <w:sz w:val="24"/>
          <w:szCs w:val="24"/>
        </w:rPr>
        <w:t xml:space="preserve">: </w:t>
      </w:r>
      <w:r w:rsidR="001A7332" w:rsidRPr="678D5708">
        <w:rPr>
          <w:rFonts w:ascii="Foundry Form Sans" w:hAnsi="Foundry Form Sans" w:cs="Times New Roman"/>
          <w:i w:val="0"/>
          <w:iCs w:val="0"/>
          <w:color w:val="auto"/>
          <w:sz w:val="24"/>
          <w:szCs w:val="24"/>
        </w:rPr>
        <w:t xml:space="preserve">OPDC </w:t>
      </w:r>
      <w:r w:rsidRPr="678D5708">
        <w:rPr>
          <w:rFonts w:ascii="Foundry Form Sans" w:hAnsi="Foundry Form Sans" w:cs="Times New Roman"/>
          <w:i w:val="0"/>
          <w:iCs w:val="0"/>
          <w:color w:val="auto"/>
          <w:sz w:val="24"/>
          <w:szCs w:val="24"/>
        </w:rPr>
        <w:t>- Borrowing limits</w:t>
      </w:r>
    </w:p>
    <w:p w14:paraId="3402FF04" w14:textId="520EBB5D" w:rsidR="6B614EB0" w:rsidRPr="00C53798" w:rsidRDefault="43288383" w:rsidP="1FA2E292">
      <w:pPr>
        <w:ind w:left="680"/>
        <w:rPr>
          <w:i/>
          <w:iCs/>
        </w:rPr>
      </w:pPr>
      <w:r w:rsidRPr="1FA2E292">
        <w:rPr>
          <w:b/>
          <w:bCs/>
        </w:rPr>
        <w:t>Approve</w:t>
      </w:r>
      <w:r w:rsidR="6B342EC4" w:rsidRPr="1FA2E292">
        <w:rPr>
          <w:b/>
          <w:bCs/>
        </w:rPr>
        <w:t>d</w:t>
      </w:r>
    </w:p>
    <w:tbl>
      <w:tblPr>
        <w:tblStyle w:val="TableGridLight"/>
        <w:tblW w:w="984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0"/>
        <w:gridCol w:w="1155"/>
        <w:gridCol w:w="1080"/>
        <w:gridCol w:w="1245"/>
        <w:gridCol w:w="1290"/>
        <w:gridCol w:w="1245"/>
        <w:gridCol w:w="1192"/>
      </w:tblGrid>
      <w:tr w:rsidR="3980742F" w14:paraId="11447918" w14:textId="77777777" w:rsidTr="1FA2E292">
        <w:trPr>
          <w:trHeight w:val="251"/>
        </w:trPr>
        <w:tc>
          <w:tcPr>
            <w:tcW w:w="2640" w:type="dxa"/>
            <w:tcBorders>
              <w:top w:val="single" w:sz="8" w:space="0" w:color="A6A6A6" w:themeColor="background1" w:themeShade="A6"/>
            </w:tcBorders>
          </w:tcPr>
          <w:p w14:paraId="1173B1F2" w14:textId="506B9AF4" w:rsidR="3980742F" w:rsidRDefault="465E948D" w:rsidP="49996C8F">
            <w:pPr>
              <w:spacing w:line="259" w:lineRule="auto"/>
              <w:rPr>
                <w:b/>
                <w:bCs/>
                <w:color w:val="auto"/>
                <w:sz w:val="20"/>
                <w:szCs w:val="20"/>
              </w:rPr>
            </w:pPr>
            <w:r w:rsidRPr="49996C8F">
              <w:rPr>
                <w:b/>
                <w:bCs/>
                <w:color w:val="auto"/>
                <w:sz w:val="20"/>
                <w:szCs w:val="20"/>
              </w:rPr>
              <w:t>OPDC - Borrowing limits</w:t>
            </w:r>
          </w:p>
        </w:tc>
        <w:tc>
          <w:tcPr>
            <w:tcW w:w="1155" w:type="dxa"/>
            <w:tcBorders>
              <w:top w:val="single" w:sz="8" w:space="0" w:color="A6A6A6" w:themeColor="background1" w:themeShade="A6"/>
            </w:tcBorders>
            <w:shd w:val="clear" w:color="auto" w:fill="FFFFFF" w:themeFill="background1"/>
          </w:tcPr>
          <w:p w14:paraId="59E5B940" w14:textId="77777777" w:rsidR="3980742F" w:rsidRDefault="465E948D" w:rsidP="49996C8F">
            <w:pPr>
              <w:spacing w:line="259" w:lineRule="auto"/>
              <w:rPr>
                <w:b/>
                <w:bCs/>
                <w:color w:val="auto"/>
                <w:sz w:val="20"/>
                <w:szCs w:val="20"/>
              </w:rPr>
            </w:pPr>
            <w:r w:rsidRPr="49996C8F">
              <w:rPr>
                <w:b/>
                <w:bCs/>
                <w:color w:val="auto"/>
                <w:sz w:val="20"/>
                <w:szCs w:val="20"/>
              </w:rPr>
              <w:t>Current Approval</w:t>
            </w:r>
          </w:p>
        </w:tc>
        <w:tc>
          <w:tcPr>
            <w:tcW w:w="1080" w:type="dxa"/>
            <w:tcBorders>
              <w:top w:val="single" w:sz="8" w:space="0" w:color="A6A6A6" w:themeColor="background1" w:themeShade="A6"/>
            </w:tcBorders>
            <w:shd w:val="clear" w:color="auto" w:fill="FFFFFF" w:themeFill="background1"/>
          </w:tcPr>
          <w:p w14:paraId="4DC1841D" w14:textId="77777777" w:rsidR="3980742F" w:rsidRDefault="465E948D" w:rsidP="49996C8F">
            <w:pPr>
              <w:spacing w:line="259" w:lineRule="auto"/>
              <w:rPr>
                <w:b/>
                <w:bCs/>
                <w:color w:val="auto"/>
                <w:sz w:val="20"/>
                <w:szCs w:val="20"/>
              </w:rPr>
            </w:pPr>
            <w:r w:rsidRPr="49996C8F">
              <w:rPr>
                <w:b/>
                <w:bCs/>
                <w:color w:val="auto"/>
                <w:sz w:val="20"/>
                <w:szCs w:val="20"/>
              </w:rPr>
              <w:t>Revised Approval</w:t>
            </w:r>
          </w:p>
        </w:tc>
        <w:tc>
          <w:tcPr>
            <w:tcW w:w="1245" w:type="dxa"/>
            <w:tcBorders>
              <w:top w:val="single" w:sz="8" w:space="0" w:color="A6A6A6" w:themeColor="background1" w:themeShade="A6"/>
            </w:tcBorders>
            <w:shd w:val="clear" w:color="auto" w:fill="D9D9D9" w:themeFill="background1" w:themeFillShade="D9"/>
          </w:tcPr>
          <w:p w14:paraId="2AA68F33" w14:textId="1A36B4CE" w:rsidR="3980742F" w:rsidRDefault="66FE1175" w:rsidP="1FA2E292">
            <w:pPr>
              <w:spacing w:line="259" w:lineRule="auto"/>
              <w:rPr>
                <w:b/>
                <w:bCs/>
                <w:color w:val="auto"/>
                <w:sz w:val="20"/>
                <w:szCs w:val="20"/>
              </w:rPr>
            </w:pPr>
            <w:r w:rsidRPr="1FA2E292">
              <w:rPr>
                <w:b/>
                <w:bCs/>
                <w:color w:val="auto"/>
                <w:sz w:val="20"/>
                <w:szCs w:val="20"/>
              </w:rPr>
              <w:t>Agreed</w:t>
            </w:r>
          </w:p>
        </w:tc>
        <w:tc>
          <w:tcPr>
            <w:tcW w:w="1290" w:type="dxa"/>
            <w:tcBorders>
              <w:top w:val="single" w:sz="8" w:space="0" w:color="A6A6A6" w:themeColor="background1" w:themeShade="A6"/>
            </w:tcBorders>
            <w:shd w:val="clear" w:color="auto" w:fill="FFFFFF" w:themeFill="background1"/>
          </w:tcPr>
          <w:p w14:paraId="5A22FFE4" w14:textId="38728A13" w:rsidR="3980742F" w:rsidRDefault="04D8BA01" w:rsidP="49996C8F">
            <w:pPr>
              <w:spacing w:line="259" w:lineRule="auto"/>
              <w:rPr>
                <w:b/>
                <w:bCs/>
                <w:color w:val="auto"/>
                <w:sz w:val="20"/>
                <w:szCs w:val="20"/>
              </w:rPr>
            </w:pPr>
            <w:r w:rsidRPr="1FA2E292">
              <w:rPr>
                <w:b/>
                <w:bCs/>
                <w:color w:val="auto"/>
                <w:sz w:val="20"/>
                <w:szCs w:val="20"/>
              </w:rPr>
              <w:t>Agreed</w:t>
            </w:r>
          </w:p>
        </w:tc>
        <w:tc>
          <w:tcPr>
            <w:tcW w:w="1245" w:type="dxa"/>
            <w:tcBorders>
              <w:top w:val="single" w:sz="8" w:space="0" w:color="A6A6A6" w:themeColor="background1" w:themeShade="A6"/>
            </w:tcBorders>
            <w:shd w:val="clear" w:color="auto" w:fill="FFFFFF" w:themeFill="background1"/>
          </w:tcPr>
          <w:p w14:paraId="48BA1BD3" w14:textId="1D27DC63" w:rsidR="3980742F" w:rsidRDefault="04D8BA01" w:rsidP="678D5708">
            <w:pPr>
              <w:spacing w:line="259" w:lineRule="auto"/>
              <w:rPr>
                <w:b/>
                <w:bCs/>
                <w:color w:val="auto"/>
                <w:sz w:val="20"/>
                <w:szCs w:val="20"/>
              </w:rPr>
            </w:pPr>
            <w:r w:rsidRPr="1FA2E292">
              <w:rPr>
                <w:b/>
                <w:bCs/>
                <w:color w:val="auto"/>
                <w:sz w:val="20"/>
                <w:szCs w:val="20"/>
              </w:rPr>
              <w:t>Agreed</w:t>
            </w:r>
          </w:p>
        </w:tc>
        <w:tc>
          <w:tcPr>
            <w:tcW w:w="1192" w:type="dxa"/>
            <w:tcBorders>
              <w:top w:val="single" w:sz="8" w:space="0" w:color="A6A6A6" w:themeColor="background1" w:themeShade="A6"/>
            </w:tcBorders>
            <w:shd w:val="clear" w:color="auto" w:fill="FFFFFF" w:themeFill="background1"/>
          </w:tcPr>
          <w:p w14:paraId="419CF15C" w14:textId="1D3E8182" w:rsidR="3980742F" w:rsidRDefault="574E63F6" w:rsidP="00587E59">
            <w:pPr>
              <w:spacing w:line="259" w:lineRule="auto"/>
              <w:rPr>
                <w:b/>
                <w:bCs/>
                <w:color w:val="auto"/>
                <w:sz w:val="20"/>
                <w:szCs w:val="20"/>
              </w:rPr>
            </w:pPr>
            <w:r w:rsidRPr="1FA2E292">
              <w:rPr>
                <w:b/>
                <w:bCs/>
                <w:color w:val="auto"/>
                <w:sz w:val="20"/>
                <w:szCs w:val="20"/>
              </w:rPr>
              <w:t>Agreed</w:t>
            </w:r>
          </w:p>
        </w:tc>
      </w:tr>
      <w:tr w:rsidR="3980742F" w14:paraId="1044D2F9" w14:textId="77777777" w:rsidTr="1FA2E292">
        <w:trPr>
          <w:trHeight w:val="251"/>
        </w:trPr>
        <w:tc>
          <w:tcPr>
            <w:tcW w:w="2640" w:type="dxa"/>
          </w:tcPr>
          <w:p w14:paraId="1DAAA759" w14:textId="77777777" w:rsidR="3980742F" w:rsidRDefault="3980742F" w:rsidP="49996C8F">
            <w:pPr>
              <w:spacing w:line="259" w:lineRule="auto"/>
              <w:rPr>
                <w:b/>
                <w:bCs/>
                <w:color w:val="auto"/>
                <w:sz w:val="20"/>
                <w:szCs w:val="20"/>
              </w:rPr>
            </w:pPr>
          </w:p>
        </w:tc>
        <w:tc>
          <w:tcPr>
            <w:tcW w:w="1155" w:type="dxa"/>
            <w:shd w:val="clear" w:color="auto" w:fill="FFFFFF" w:themeFill="background1"/>
            <w:vAlign w:val="center"/>
          </w:tcPr>
          <w:p w14:paraId="7BAD5724" w14:textId="77777777" w:rsidR="3980742F" w:rsidRDefault="465E948D" w:rsidP="49996C8F">
            <w:pPr>
              <w:spacing w:line="259" w:lineRule="auto"/>
              <w:rPr>
                <w:b/>
                <w:bCs/>
                <w:color w:val="auto"/>
                <w:sz w:val="20"/>
                <w:szCs w:val="20"/>
              </w:rPr>
            </w:pPr>
            <w:r w:rsidRPr="49996C8F">
              <w:rPr>
                <w:b/>
                <w:bCs/>
                <w:color w:val="auto"/>
                <w:sz w:val="20"/>
                <w:szCs w:val="20"/>
              </w:rPr>
              <w:t>2024-25</w:t>
            </w:r>
          </w:p>
        </w:tc>
        <w:tc>
          <w:tcPr>
            <w:tcW w:w="1080" w:type="dxa"/>
            <w:shd w:val="clear" w:color="auto" w:fill="FFFFFF" w:themeFill="background1"/>
            <w:vAlign w:val="center"/>
          </w:tcPr>
          <w:p w14:paraId="5B791ADA" w14:textId="77777777" w:rsidR="3980742F" w:rsidRDefault="465E948D" w:rsidP="49996C8F">
            <w:pPr>
              <w:spacing w:line="259" w:lineRule="auto"/>
              <w:rPr>
                <w:b/>
                <w:bCs/>
                <w:color w:val="auto"/>
                <w:sz w:val="20"/>
                <w:szCs w:val="20"/>
              </w:rPr>
            </w:pPr>
            <w:r w:rsidRPr="49996C8F">
              <w:rPr>
                <w:b/>
                <w:bCs/>
                <w:color w:val="auto"/>
                <w:sz w:val="20"/>
                <w:szCs w:val="20"/>
              </w:rPr>
              <w:t>2024-25</w:t>
            </w:r>
          </w:p>
        </w:tc>
        <w:tc>
          <w:tcPr>
            <w:tcW w:w="1245" w:type="dxa"/>
            <w:shd w:val="clear" w:color="auto" w:fill="D9D9D9" w:themeFill="background1" w:themeFillShade="D9"/>
            <w:vAlign w:val="center"/>
          </w:tcPr>
          <w:p w14:paraId="595CA4D0" w14:textId="77777777" w:rsidR="3980742F" w:rsidRDefault="465E948D" w:rsidP="49996C8F">
            <w:pPr>
              <w:spacing w:line="259" w:lineRule="auto"/>
              <w:rPr>
                <w:b/>
                <w:bCs/>
                <w:color w:val="auto"/>
                <w:sz w:val="20"/>
                <w:szCs w:val="20"/>
              </w:rPr>
            </w:pPr>
            <w:r w:rsidRPr="49996C8F">
              <w:rPr>
                <w:b/>
                <w:bCs/>
                <w:color w:val="auto"/>
                <w:sz w:val="20"/>
                <w:szCs w:val="20"/>
              </w:rPr>
              <w:t>2025-26</w:t>
            </w:r>
          </w:p>
        </w:tc>
        <w:tc>
          <w:tcPr>
            <w:tcW w:w="1290" w:type="dxa"/>
            <w:shd w:val="clear" w:color="auto" w:fill="FFFFFF" w:themeFill="background1"/>
            <w:vAlign w:val="center"/>
          </w:tcPr>
          <w:p w14:paraId="6AB2A29C" w14:textId="77777777" w:rsidR="3980742F" w:rsidRDefault="465E948D" w:rsidP="49996C8F">
            <w:pPr>
              <w:spacing w:line="259" w:lineRule="auto"/>
              <w:rPr>
                <w:b/>
                <w:bCs/>
                <w:color w:val="auto"/>
                <w:sz w:val="20"/>
                <w:szCs w:val="20"/>
              </w:rPr>
            </w:pPr>
            <w:r w:rsidRPr="49996C8F">
              <w:rPr>
                <w:b/>
                <w:bCs/>
                <w:color w:val="auto"/>
                <w:sz w:val="20"/>
                <w:szCs w:val="20"/>
              </w:rPr>
              <w:t>2026-27</w:t>
            </w:r>
          </w:p>
        </w:tc>
        <w:tc>
          <w:tcPr>
            <w:tcW w:w="1245" w:type="dxa"/>
            <w:shd w:val="clear" w:color="auto" w:fill="FFFFFF" w:themeFill="background1"/>
            <w:vAlign w:val="center"/>
          </w:tcPr>
          <w:p w14:paraId="721A4B93" w14:textId="77777777" w:rsidR="3980742F" w:rsidRDefault="465E948D" w:rsidP="49996C8F">
            <w:pPr>
              <w:spacing w:line="259" w:lineRule="auto"/>
              <w:rPr>
                <w:b/>
                <w:bCs/>
                <w:color w:val="auto"/>
                <w:sz w:val="20"/>
                <w:szCs w:val="20"/>
              </w:rPr>
            </w:pPr>
            <w:r w:rsidRPr="49996C8F">
              <w:rPr>
                <w:b/>
                <w:bCs/>
                <w:color w:val="auto"/>
                <w:sz w:val="20"/>
                <w:szCs w:val="20"/>
              </w:rPr>
              <w:t>2027-28</w:t>
            </w:r>
          </w:p>
        </w:tc>
        <w:tc>
          <w:tcPr>
            <w:tcW w:w="1192" w:type="dxa"/>
            <w:shd w:val="clear" w:color="auto" w:fill="FFFFFF" w:themeFill="background1"/>
          </w:tcPr>
          <w:p w14:paraId="798E00C4" w14:textId="77777777" w:rsidR="3980742F" w:rsidRDefault="465E948D" w:rsidP="49996C8F">
            <w:pPr>
              <w:rPr>
                <w:b/>
                <w:bCs/>
                <w:color w:val="auto"/>
                <w:sz w:val="20"/>
                <w:szCs w:val="20"/>
              </w:rPr>
            </w:pPr>
            <w:r w:rsidRPr="49996C8F">
              <w:rPr>
                <w:b/>
                <w:bCs/>
                <w:color w:val="auto"/>
                <w:sz w:val="20"/>
                <w:szCs w:val="20"/>
              </w:rPr>
              <w:t>2028-29</w:t>
            </w:r>
          </w:p>
        </w:tc>
      </w:tr>
      <w:tr w:rsidR="3980742F" w14:paraId="7EE70427" w14:textId="77777777" w:rsidTr="1FA2E292">
        <w:trPr>
          <w:trHeight w:val="251"/>
        </w:trPr>
        <w:tc>
          <w:tcPr>
            <w:tcW w:w="2640" w:type="dxa"/>
            <w:tcBorders>
              <w:bottom w:val="single" w:sz="8" w:space="0" w:color="A6A6A6" w:themeColor="background1" w:themeShade="A6"/>
            </w:tcBorders>
          </w:tcPr>
          <w:p w14:paraId="2D8B1488" w14:textId="77777777" w:rsidR="3980742F" w:rsidRDefault="3980742F" w:rsidP="49996C8F">
            <w:pPr>
              <w:spacing w:line="259" w:lineRule="auto"/>
              <w:rPr>
                <w:b/>
                <w:bCs/>
                <w:color w:val="auto"/>
                <w:sz w:val="20"/>
                <w:szCs w:val="20"/>
              </w:rPr>
            </w:pPr>
          </w:p>
        </w:tc>
        <w:tc>
          <w:tcPr>
            <w:tcW w:w="1155" w:type="dxa"/>
            <w:tcBorders>
              <w:bottom w:val="single" w:sz="8" w:space="0" w:color="A6A6A6" w:themeColor="background1" w:themeShade="A6"/>
            </w:tcBorders>
            <w:shd w:val="clear" w:color="auto" w:fill="FFFFFF" w:themeFill="background1"/>
            <w:vAlign w:val="center"/>
          </w:tcPr>
          <w:p w14:paraId="349E695C" w14:textId="77777777" w:rsidR="3980742F" w:rsidRDefault="465E948D" w:rsidP="49996C8F">
            <w:pPr>
              <w:spacing w:line="259" w:lineRule="auto"/>
              <w:rPr>
                <w:b/>
                <w:bCs/>
                <w:color w:val="auto"/>
                <w:sz w:val="20"/>
                <w:szCs w:val="20"/>
              </w:rPr>
            </w:pPr>
            <w:r w:rsidRPr="49996C8F">
              <w:rPr>
                <w:b/>
                <w:bCs/>
                <w:color w:val="auto"/>
                <w:sz w:val="20"/>
                <w:szCs w:val="20"/>
              </w:rPr>
              <w:t>£m</w:t>
            </w:r>
          </w:p>
        </w:tc>
        <w:tc>
          <w:tcPr>
            <w:tcW w:w="1080" w:type="dxa"/>
            <w:tcBorders>
              <w:bottom w:val="single" w:sz="8" w:space="0" w:color="A6A6A6" w:themeColor="background1" w:themeShade="A6"/>
            </w:tcBorders>
            <w:shd w:val="clear" w:color="auto" w:fill="FFFFFF" w:themeFill="background1"/>
            <w:vAlign w:val="center"/>
          </w:tcPr>
          <w:p w14:paraId="29AF4825" w14:textId="77777777" w:rsidR="3980742F" w:rsidRDefault="465E948D" w:rsidP="49996C8F">
            <w:pPr>
              <w:spacing w:line="259" w:lineRule="auto"/>
              <w:rPr>
                <w:b/>
                <w:bCs/>
                <w:color w:val="auto"/>
                <w:sz w:val="20"/>
                <w:szCs w:val="20"/>
              </w:rPr>
            </w:pPr>
            <w:r w:rsidRPr="49996C8F">
              <w:rPr>
                <w:b/>
                <w:bCs/>
                <w:color w:val="auto"/>
                <w:sz w:val="20"/>
                <w:szCs w:val="20"/>
              </w:rPr>
              <w:t>£m</w:t>
            </w:r>
          </w:p>
        </w:tc>
        <w:tc>
          <w:tcPr>
            <w:tcW w:w="1245" w:type="dxa"/>
            <w:tcBorders>
              <w:bottom w:val="single" w:sz="8" w:space="0" w:color="A6A6A6" w:themeColor="background1" w:themeShade="A6"/>
            </w:tcBorders>
            <w:shd w:val="clear" w:color="auto" w:fill="D9D9D9" w:themeFill="background1" w:themeFillShade="D9"/>
            <w:vAlign w:val="center"/>
          </w:tcPr>
          <w:p w14:paraId="7F3F432F" w14:textId="77777777" w:rsidR="3980742F" w:rsidRDefault="465E948D" w:rsidP="49996C8F">
            <w:pPr>
              <w:spacing w:line="259" w:lineRule="auto"/>
              <w:rPr>
                <w:b/>
                <w:bCs/>
                <w:color w:val="auto"/>
                <w:sz w:val="20"/>
                <w:szCs w:val="20"/>
              </w:rPr>
            </w:pPr>
            <w:r w:rsidRPr="49996C8F">
              <w:rPr>
                <w:b/>
                <w:bCs/>
                <w:color w:val="auto"/>
                <w:sz w:val="20"/>
                <w:szCs w:val="20"/>
              </w:rPr>
              <w:t>£m</w:t>
            </w:r>
          </w:p>
        </w:tc>
        <w:tc>
          <w:tcPr>
            <w:tcW w:w="1290" w:type="dxa"/>
            <w:tcBorders>
              <w:bottom w:val="single" w:sz="8" w:space="0" w:color="A6A6A6" w:themeColor="background1" w:themeShade="A6"/>
            </w:tcBorders>
            <w:shd w:val="clear" w:color="auto" w:fill="FFFFFF" w:themeFill="background1"/>
            <w:vAlign w:val="center"/>
          </w:tcPr>
          <w:p w14:paraId="1125643F" w14:textId="77777777" w:rsidR="3980742F" w:rsidRDefault="465E948D" w:rsidP="49996C8F">
            <w:pPr>
              <w:spacing w:line="259" w:lineRule="auto"/>
              <w:rPr>
                <w:b/>
                <w:bCs/>
                <w:color w:val="auto"/>
                <w:sz w:val="20"/>
                <w:szCs w:val="20"/>
              </w:rPr>
            </w:pPr>
            <w:r w:rsidRPr="49996C8F">
              <w:rPr>
                <w:b/>
                <w:bCs/>
                <w:color w:val="auto"/>
                <w:sz w:val="20"/>
                <w:szCs w:val="20"/>
              </w:rPr>
              <w:t>£m</w:t>
            </w:r>
          </w:p>
        </w:tc>
        <w:tc>
          <w:tcPr>
            <w:tcW w:w="1245" w:type="dxa"/>
            <w:tcBorders>
              <w:bottom w:val="single" w:sz="8" w:space="0" w:color="A6A6A6" w:themeColor="background1" w:themeShade="A6"/>
            </w:tcBorders>
            <w:shd w:val="clear" w:color="auto" w:fill="FFFFFF" w:themeFill="background1"/>
            <w:vAlign w:val="center"/>
          </w:tcPr>
          <w:p w14:paraId="6F8D4E13" w14:textId="77777777" w:rsidR="3980742F" w:rsidRDefault="465E948D" w:rsidP="49996C8F">
            <w:pPr>
              <w:spacing w:line="259" w:lineRule="auto"/>
              <w:rPr>
                <w:b/>
                <w:bCs/>
                <w:color w:val="auto"/>
                <w:sz w:val="20"/>
                <w:szCs w:val="20"/>
              </w:rPr>
            </w:pPr>
            <w:r w:rsidRPr="49996C8F">
              <w:rPr>
                <w:b/>
                <w:bCs/>
                <w:color w:val="auto"/>
                <w:sz w:val="20"/>
                <w:szCs w:val="20"/>
              </w:rPr>
              <w:t>£m</w:t>
            </w:r>
          </w:p>
        </w:tc>
        <w:tc>
          <w:tcPr>
            <w:tcW w:w="1192" w:type="dxa"/>
            <w:tcBorders>
              <w:bottom w:val="single" w:sz="8" w:space="0" w:color="A6A6A6" w:themeColor="background1" w:themeShade="A6"/>
            </w:tcBorders>
            <w:shd w:val="clear" w:color="auto" w:fill="FFFFFF" w:themeFill="background1"/>
          </w:tcPr>
          <w:p w14:paraId="72DF6745" w14:textId="77777777" w:rsidR="3980742F" w:rsidRDefault="465E948D" w:rsidP="49996C8F">
            <w:pPr>
              <w:rPr>
                <w:b/>
                <w:bCs/>
                <w:color w:val="auto"/>
                <w:sz w:val="20"/>
                <w:szCs w:val="20"/>
              </w:rPr>
            </w:pPr>
            <w:r w:rsidRPr="49996C8F">
              <w:rPr>
                <w:b/>
                <w:bCs/>
                <w:color w:val="auto"/>
                <w:sz w:val="20"/>
                <w:szCs w:val="20"/>
              </w:rPr>
              <w:t>£m</w:t>
            </w:r>
          </w:p>
        </w:tc>
      </w:tr>
      <w:tr w:rsidR="3980742F" w14:paraId="03A6F58E" w14:textId="77777777" w:rsidTr="1FA2E292">
        <w:trPr>
          <w:trHeight w:val="251"/>
        </w:trPr>
        <w:tc>
          <w:tcPr>
            <w:tcW w:w="2640" w:type="dxa"/>
            <w:tcBorders>
              <w:top w:val="single" w:sz="8" w:space="0" w:color="A6A6A6" w:themeColor="background1" w:themeShade="A6"/>
            </w:tcBorders>
          </w:tcPr>
          <w:p w14:paraId="62F929D8" w14:textId="77777777" w:rsidR="3980742F" w:rsidRDefault="465E948D" w:rsidP="49996C8F">
            <w:pPr>
              <w:spacing w:line="259" w:lineRule="auto"/>
              <w:rPr>
                <w:b/>
                <w:bCs/>
                <w:color w:val="auto"/>
                <w:sz w:val="20"/>
                <w:szCs w:val="20"/>
              </w:rPr>
            </w:pPr>
            <w:r w:rsidRPr="49996C8F">
              <w:rPr>
                <w:b/>
                <w:bCs/>
                <w:color w:val="auto"/>
                <w:sz w:val="20"/>
                <w:szCs w:val="20"/>
              </w:rPr>
              <w:t>Authorised Limit</w:t>
            </w:r>
          </w:p>
        </w:tc>
        <w:tc>
          <w:tcPr>
            <w:tcW w:w="1155" w:type="dxa"/>
            <w:tcBorders>
              <w:top w:val="single" w:sz="8" w:space="0" w:color="A6A6A6" w:themeColor="background1" w:themeShade="A6"/>
            </w:tcBorders>
            <w:shd w:val="clear" w:color="auto" w:fill="FFFFFF" w:themeFill="background1"/>
            <w:vAlign w:val="center"/>
          </w:tcPr>
          <w:p w14:paraId="6F690879" w14:textId="77777777" w:rsidR="3980742F" w:rsidRDefault="3980742F" w:rsidP="49996C8F">
            <w:pPr>
              <w:spacing w:line="259" w:lineRule="auto"/>
              <w:jc w:val="right"/>
              <w:rPr>
                <w:b/>
                <w:bCs/>
                <w:color w:val="auto"/>
                <w:sz w:val="20"/>
                <w:szCs w:val="20"/>
              </w:rPr>
            </w:pPr>
          </w:p>
        </w:tc>
        <w:tc>
          <w:tcPr>
            <w:tcW w:w="1080" w:type="dxa"/>
            <w:tcBorders>
              <w:top w:val="single" w:sz="8" w:space="0" w:color="A6A6A6" w:themeColor="background1" w:themeShade="A6"/>
            </w:tcBorders>
            <w:shd w:val="clear" w:color="auto" w:fill="FFFFFF" w:themeFill="background1"/>
            <w:vAlign w:val="center"/>
          </w:tcPr>
          <w:p w14:paraId="64C3821A" w14:textId="77777777" w:rsidR="3980742F" w:rsidRDefault="3980742F" w:rsidP="49996C8F">
            <w:pPr>
              <w:spacing w:line="259" w:lineRule="auto"/>
              <w:jc w:val="right"/>
              <w:rPr>
                <w:b/>
                <w:bCs/>
                <w:color w:val="auto"/>
                <w:sz w:val="20"/>
                <w:szCs w:val="20"/>
              </w:rPr>
            </w:pPr>
          </w:p>
        </w:tc>
        <w:tc>
          <w:tcPr>
            <w:tcW w:w="1245" w:type="dxa"/>
            <w:tcBorders>
              <w:top w:val="single" w:sz="8" w:space="0" w:color="A6A6A6" w:themeColor="background1" w:themeShade="A6"/>
            </w:tcBorders>
            <w:shd w:val="clear" w:color="auto" w:fill="D9D9D9" w:themeFill="background1" w:themeFillShade="D9"/>
            <w:vAlign w:val="center"/>
          </w:tcPr>
          <w:p w14:paraId="76FFD34E" w14:textId="77777777" w:rsidR="3980742F" w:rsidRDefault="3980742F" w:rsidP="49996C8F">
            <w:pPr>
              <w:spacing w:line="259" w:lineRule="auto"/>
              <w:jc w:val="right"/>
              <w:rPr>
                <w:b/>
                <w:bCs/>
                <w:color w:val="auto"/>
                <w:sz w:val="20"/>
                <w:szCs w:val="20"/>
              </w:rPr>
            </w:pPr>
          </w:p>
        </w:tc>
        <w:tc>
          <w:tcPr>
            <w:tcW w:w="1290" w:type="dxa"/>
            <w:tcBorders>
              <w:top w:val="single" w:sz="8" w:space="0" w:color="A6A6A6" w:themeColor="background1" w:themeShade="A6"/>
            </w:tcBorders>
            <w:shd w:val="clear" w:color="auto" w:fill="FFFFFF" w:themeFill="background1"/>
            <w:vAlign w:val="center"/>
          </w:tcPr>
          <w:p w14:paraId="02E929D3" w14:textId="77777777" w:rsidR="3980742F" w:rsidRDefault="3980742F" w:rsidP="49996C8F">
            <w:pPr>
              <w:spacing w:line="259" w:lineRule="auto"/>
              <w:jc w:val="right"/>
              <w:rPr>
                <w:b/>
                <w:bCs/>
                <w:color w:val="auto"/>
                <w:sz w:val="20"/>
                <w:szCs w:val="20"/>
              </w:rPr>
            </w:pPr>
          </w:p>
        </w:tc>
        <w:tc>
          <w:tcPr>
            <w:tcW w:w="1245" w:type="dxa"/>
            <w:tcBorders>
              <w:top w:val="single" w:sz="8" w:space="0" w:color="A6A6A6" w:themeColor="background1" w:themeShade="A6"/>
            </w:tcBorders>
            <w:shd w:val="clear" w:color="auto" w:fill="FFFFFF" w:themeFill="background1"/>
            <w:vAlign w:val="center"/>
          </w:tcPr>
          <w:p w14:paraId="3C9C2D56" w14:textId="77777777" w:rsidR="3980742F" w:rsidRDefault="3980742F" w:rsidP="49996C8F">
            <w:pPr>
              <w:spacing w:line="259" w:lineRule="auto"/>
              <w:jc w:val="right"/>
              <w:rPr>
                <w:b/>
                <w:bCs/>
                <w:color w:val="auto"/>
                <w:sz w:val="20"/>
                <w:szCs w:val="20"/>
              </w:rPr>
            </w:pPr>
          </w:p>
        </w:tc>
        <w:tc>
          <w:tcPr>
            <w:tcW w:w="1192" w:type="dxa"/>
            <w:tcBorders>
              <w:top w:val="single" w:sz="8" w:space="0" w:color="A6A6A6" w:themeColor="background1" w:themeShade="A6"/>
            </w:tcBorders>
            <w:shd w:val="clear" w:color="auto" w:fill="FFFFFF" w:themeFill="background1"/>
            <w:vAlign w:val="center"/>
          </w:tcPr>
          <w:p w14:paraId="5F3FE04C" w14:textId="77777777" w:rsidR="3980742F" w:rsidRDefault="3980742F" w:rsidP="49996C8F">
            <w:pPr>
              <w:jc w:val="right"/>
              <w:rPr>
                <w:b/>
                <w:bCs/>
                <w:color w:val="auto"/>
                <w:sz w:val="20"/>
                <w:szCs w:val="20"/>
              </w:rPr>
            </w:pPr>
          </w:p>
        </w:tc>
      </w:tr>
      <w:tr w:rsidR="3980742F" w14:paraId="2351DC10" w14:textId="77777777" w:rsidTr="1FA2E292">
        <w:trPr>
          <w:trHeight w:val="251"/>
        </w:trPr>
        <w:tc>
          <w:tcPr>
            <w:tcW w:w="2640" w:type="dxa"/>
            <w:shd w:val="clear" w:color="auto" w:fill="auto"/>
            <w:vAlign w:val="bottom"/>
          </w:tcPr>
          <w:p w14:paraId="544D88E4" w14:textId="77777777" w:rsidR="3980742F" w:rsidRDefault="465E948D" w:rsidP="49996C8F">
            <w:pPr>
              <w:spacing w:line="259" w:lineRule="auto"/>
              <w:rPr>
                <w:color w:val="auto"/>
                <w:sz w:val="20"/>
                <w:szCs w:val="20"/>
              </w:rPr>
            </w:pPr>
            <w:r w:rsidRPr="49996C8F">
              <w:rPr>
                <w:color w:val="auto"/>
                <w:sz w:val="20"/>
                <w:szCs w:val="20"/>
              </w:rPr>
              <w:t>Borrowing</w:t>
            </w:r>
          </w:p>
        </w:tc>
        <w:tc>
          <w:tcPr>
            <w:tcW w:w="1155" w:type="dxa"/>
            <w:shd w:val="clear" w:color="auto" w:fill="auto"/>
            <w:vAlign w:val="center"/>
          </w:tcPr>
          <w:p w14:paraId="13A06743" w14:textId="3C8B45E3" w:rsidR="3980742F" w:rsidRDefault="465E948D" w:rsidP="49996C8F">
            <w:pPr>
              <w:spacing w:line="259" w:lineRule="auto"/>
              <w:jc w:val="right"/>
              <w:rPr>
                <w:color w:val="auto"/>
                <w:sz w:val="20"/>
                <w:szCs w:val="20"/>
              </w:rPr>
            </w:pPr>
            <w:r w:rsidRPr="49996C8F">
              <w:rPr>
                <w:color w:val="auto"/>
                <w:sz w:val="20"/>
                <w:szCs w:val="20"/>
              </w:rPr>
              <w:t>100</w:t>
            </w:r>
          </w:p>
        </w:tc>
        <w:tc>
          <w:tcPr>
            <w:tcW w:w="1080" w:type="dxa"/>
            <w:shd w:val="clear" w:color="auto" w:fill="auto"/>
            <w:vAlign w:val="center"/>
          </w:tcPr>
          <w:p w14:paraId="23D15CF3" w14:textId="0F805380" w:rsidR="3980742F" w:rsidRDefault="465E948D" w:rsidP="49996C8F">
            <w:pPr>
              <w:spacing w:line="259" w:lineRule="auto"/>
              <w:jc w:val="right"/>
              <w:rPr>
                <w:color w:val="auto"/>
                <w:sz w:val="20"/>
                <w:szCs w:val="20"/>
              </w:rPr>
            </w:pPr>
            <w:r w:rsidRPr="49996C8F">
              <w:rPr>
                <w:color w:val="auto"/>
                <w:sz w:val="20"/>
                <w:szCs w:val="20"/>
              </w:rPr>
              <w:t>100</w:t>
            </w:r>
          </w:p>
        </w:tc>
        <w:tc>
          <w:tcPr>
            <w:tcW w:w="1245" w:type="dxa"/>
            <w:shd w:val="clear" w:color="auto" w:fill="D9D9D9" w:themeFill="background1" w:themeFillShade="D9"/>
            <w:vAlign w:val="center"/>
          </w:tcPr>
          <w:p w14:paraId="0C09FDD7" w14:textId="5DD88D33" w:rsidR="3980742F" w:rsidRDefault="21575B50" w:rsidP="678D5708">
            <w:pPr>
              <w:spacing w:line="259" w:lineRule="auto"/>
              <w:jc w:val="right"/>
              <w:rPr>
                <w:color w:val="auto"/>
                <w:sz w:val="20"/>
                <w:szCs w:val="20"/>
              </w:rPr>
            </w:pPr>
            <w:r w:rsidRPr="678D5708">
              <w:rPr>
                <w:color w:val="auto"/>
                <w:sz w:val="20"/>
                <w:szCs w:val="20"/>
              </w:rPr>
              <w:t>225</w:t>
            </w:r>
          </w:p>
        </w:tc>
        <w:tc>
          <w:tcPr>
            <w:tcW w:w="1290" w:type="dxa"/>
            <w:shd w:val="clear" w:color="auto" w:fill="auto"/>
            <w:vAlign w:val="center"/>
          </w:tcPr>
          <w:p w14:paraId="12F59A59" w14:textId="50164A53" w:rsidR="3980742F" w:rsidRDefault="79FF7D29" w:rsidP="678D5708">
            <w:pPr>
              <w:spacing w:line="259" w:lineRule="auto"/>
              <w:jc w:val="right"/>
              <w:rPr>
                <w:color w:val="auto"/>
                <w:sz w:val="20"/>
                <w:szCs w:val="20"/>
              </w:rPr>
            </w:pPr>
            <w:r w:rsidRPr="678D5708">
              <w:rPr>
                <w:color w:val="auto"/>
                <w:sz w:val="20"/>
                <w:szCs w:val="20"/>
              </w:rPr>
              <w:t>225</w:t>
            </w:r>
          </w:p>
        </w:tc>
        <w:tc>
          <w:tcPr>
            <w:tcW w:w="1245" w:type="dxa"/>
            <w:vAlign w:val="center"/>
          </w:tcPr>
          <w:p w14:paraId="3AA16193" w14:textId="3390298A" w:rsidR="3980742F" w:rsidRDefault="79FF7D29" w:rsidP="678D5708">
            <w:pPr>
              <w:spacing w:line="259" w:lineRule="auto"/>
              <w:jc w:val="right"/>
              <w:rPr>
                <w:color w:val="auto"/>
                <w:sz w:val="20"/>
                <w:szCs w:val="20"/>
              </w:rPr>
            </w:pPr>
            <w:r w:rsidRPr="678D5708">
              <w:rPr>
                <w:color w:val="auto"/>
                <w:sz w:val="20"/>
                <w:szCs w:val="20"/>
              </w:rPr>
              <w:t>225</w:t>
            </w:r>
          </w:p>
        </w:tc>
        <w:tc>
          <w:tcPr>
            <w:tcW w:w="1192" w:type="dxa"/>
            <w:vAlign w:val="center"/>
          </w:tcPr>
          <w:p w14:paraId="0169B9BF" w14:textId="1B4E714A" w:rsidR="3980742F" w:rsidRDefault="61D0022A" w:rsidP="678D5708">
            <w:pPr>
              <w:spacing w:line="259" w:lineRule="auto"/>
              <w:jc w:val="right"/>
              <w:rPr>
                <w:color w:val="auto"/>
                <w:sz w:val="20"/>
                <w:szCs w:val="20"/>
              </w:rPr>
            </w:pPr>
            <w:r w:rsidRPr="678D5708">
              <w:rPr>
                <w:color w:val="auto"/>
                <w:sz w:val="20"/>
                <w:szCs w:val="20"/>
              </w:rPr>
              <w:t>225</w:t>
            </w:r>
          </w:p>
        </w:tc>
      </w:tr>
      <w:tr w:rsidR="3980742F" w14:paraId="5CD5B7F4" w14:textId="77777777" w:rsidTr="1FA2E292">
        <w:trPr>
          <w:trHeight w:val="251"/>
        </w:trPr>
        <w:tc>
          <w:tcPr>
            <w:tcW w:w="2640" w:type="dxa"/>
            <w:tcBorders>
              <w:top w:val="single" w:sz="8" w:space="0" w:color="A6A6A6" w:themeColor="background1" w:themeShade="A6"/>
              <w:bottom w:val="single" w:sz="8" w:space="0" w:color="A6A6A6" w:themeColor="background1" w:themeShade="A6"/>
            </w:tcBorders>
            <w:shd w:val="clear" w:color="auto" w:fill="FFFFFF" w:themeFill="background1"/>
            <w:vAlign w:val="bottom"/>
          </w:tcPr>
          <w:p w14:paraId="210C07E1" w14:textId="4B275AC2" w:rsidR="3980742F" w:rsidRDefault="465E948D" w:rsidP="49996C8F">
            <w:pPr>
              <w:spacing w:line="259" w:lineRule="auto"/>
              <w:rPr>
                <w:b/>
                <w:bCs/>
                <w:color w:val="auto"/>
                <w:sz w:val="20"/>
                <w:szCs w:val="20"/>
              </w:rPr>
            </w:pPr>
            <w:r w:rsidRPr="49996C8F">
              <w:rPr>
                <w:b/>
                <w:bCs/>
                <w:color w:val="auto"/>
                <w:sz w:val="20"/>
                <w:szCs w:val="20"/>
              </w:rPr>
              <w:t>OPDC Total</w:t>
            </w:r>
          </w:p>
        </w:tc>
        <w:tc>
          <w:tcPr>
            <w:tcW w:w="1155"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14:paraId="583B6B8E" w14:textId="039EA553" w:rsidR="3980742F" w:rsidRDefault="465E948D" w:rsidP="49996C8F">
            <w:pPr>
              <w:spacing w:line="259" w:lineRule="auto"/>
              <w:jc w:val="right"/>
              <w:rPr>
                <w:b/>
                <w:bCs/>
                <w:color w:val="auto"/>
                <w:sz w:val="20"/>
                <w:szCs w:val="20"/>
              </w:rPr>
            </w:pPr>
            <w:r w:rsidRPr="49996C8F">
              <w:rPr>
                <w:b/>
                <w:bCs/>
                <w:color w:val="auto"/>
                <w:sz w:val="20"/>
                <w:szCs w:val="20"/>
              </w:rPr>
              <w:t>100</w:t>
            </w:r>
          </w:p>
        </w:tc>
        <w:tc>
          <w:tcPr>
            <w:tcW w:w="1080"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14:paraId="4122AEEF" w14:textId="2CC1862B" w:rsidR="3980742F" w:rsidRDefault="465E948D" w:rsidP="49996C8F">
            <w:pPr>
              <w:spacing w:line="259" w:lineRule="auto"/>
              <w:jc w:val="right"/>
              <w:rPr>
                <w:b/>
                <w:bCs/>
                <w:color w:val="auto"/>
                <w:sz w:val="20"/>
                <w:szCs w:val="20"/>
              </w:rPr>
            </w:pPr>
            <w:r w:rsidRPr="49996C8F">
              <w:rPr>
                <w:b/>
                <w:bCs/>
                <w:color w:val="auto"/>
                <w:sz w:val="20"/>
                <w:szCs w:val="20"/>
              </w:rPr>
              <w:t>100</w:t>
            </w:r>
          </w:p>
        </w:tc>
        <w:tc>
          <w:tcPr>
            <w:tcW w:w="1245" w:type="dxa"/>
            <w:tcBorders>
              <w:top w:val="single" w:sz="8" w:space="0" w:color="A6A6A6" w:themeColor="background1" w:themeShade="A6"/>
              <w:bottom w:val="single" w:sz="8" w:space="0" w:color="A6A6A6" w:themeColor="background1" w:themeShade="A6"/>
            </w:tcBorders>
            <w:shd w:val="clear" w:color="auto" w:fill="D9D9D9" w:themeFill="background1" w:themeFillShade="D9"/>
            <w:vAlign w:val="center"/>
          </w:tcPr>
          <w:p w14:paraId="37D2E698" w14:textId="65DE92FA" w:rsidR="3980742F" w:rsidRDefault="20387A94" w:rsidP="49996C8F">
            <w:pPr>
              <w:spacing w:line="259" w:lineRule="auto"/>
              <w:jc w:val="right"/>
              <w:rPr>
                <w:b/>
                <w:bCs/>
                <w:color w:val="auto"/>
                <w:sz w:val="20"/>
                <w:szCs w:val="20"/>
              </w:rPr>
            </w:pPr>
            <w:r w:rsidRPr="678D5708">
              <w:rPr>
                <w:b/>
                <w:bCs/>
                <w:color w:val="auto"/>
                <w:sz w:val="20"/>
                <w:szCs w:val="20"/>
              </w:rPr>
              <w:t>2</w:t>
            </w:r>
            <w:r w:rsidR="62C1E8C5" w:rsidRPr="678D5708">
              <w:rPr>
                <w:b/>
                <w:bCs/>
                <w:color w:val="auto"/>
                <w:sz w:val="20"/>
                <w:szCs w:val="20"/>
              </w:rPr>
              <w:t>25</w:t>
            </w:r>
          </w:p>
        </w:tc>
        <w:tc>
          <w:tcPr>
            <w:tcW w:w="1290"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14:paraId="5554B7EA" w14:textId="068A1813" w:rsidR="3980742F" w:rsidRDefault="20387A94" w:rsidP="49996C8F">
            <w:pPr>
              <w:spacing w:line="259" w:lineRule="auto"/>
              <w:jc w:val="right"/>
              <w:rPr>
                <w:b/>
                <w:bCs/>
                <w:color w:val="auto"/>
                <w:sz w:val="20"/>
                <w:szCs w:val="20"/>
              </w:rPr>
            </w:pPr>
            <w:r w:rsidRPr="678D5708">
              <w:rPr>
                <w:b/>
                <w:bCs/>
                <w:color w:val="auto"/>
                <w:sz w:val="20"/>
                <w:szCs w:val="20"/>
              </w:rPr>
              <w:t>2</w:t>
            </w:r>
            <w:r w:rsidR="4341E043" w:rsidRPr="678D5708">
              <w:rPr>
                <w:b/>
                <w:bCs/>
                <w:color w:val="auto"/>
                <w:sz w:val="20"/>
                <w:szCs w:val="20"/>
              </w:rPr>
              <w:t>25</w:t>
            </w:r>
          </w:p>
        </w:tc>
        <w:tc>
          <w:tcPr>
            <w:tcW w:w="1245"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14:paraId="0E2FF8E2" w14:textId="39505785" w:rsidR="3980742F" w:rsidRDefault="20387A94" w:rsidP="49996C8F">
            <w:pPr>
              <w:spacing w:line="259" w:lineRule="auto"/>
              <w:jc w:val="right"/>
              <w:rPr>
                <w:b/>
                <w:bCs/>
                <w:color w:val="auto"/>
                <w:sz w:val="20"/>
                <w:szCs w:val="20"/>
              </w:rPr>
            </w:pPr>
            <w:r w:rsidRPr="678D5708">
              <w:rPr>
                <w:b/>
                <w:bCs/>
                <w:color w:val="auto"/>
                <w:sz w:val="20"/>
                <w:szCs w:val="20"/>
              </w:rPr>
              <w:t>2</w:t>
            </w:r>
            <w:r w:rsidR="5F18A620" w:rsidRPr="678D5708">
              <w:rPr>
                <w:b/>
                <w:bCs/>
                <w:color w:val="auto"/>
                <w:sz w:val="20"/>
                <w:szCs w:val="20"/>
              </w:rPr>
              <w:t>25</w:t>
            </w:r>
          </w:p>
        </w:tc>
        <w:tc>
          <w:tcPr>
            <w:tcW w:w="1192" w:type="dxa"/>
            <w:tcBorders>
              <w:top w:val="single" w:sz="8" w:space="0" w:color="A6A6A6" w:themeColor="background1" w:themeShade="A6"/>
              <w:bottom w:val="single" w:sz="8" w:space="0" w:color="A6A6A6" w:themeColor="background1" w:themeShade="A6"/>
            </w:tcBorders>
            <w:shd w:val="clear" w:color="auto" w:fill="FFFFFF" w:themeFill="background1"/>
            <w:vAlign w:val="center"/>
          </w:tcPr>
          <w:p w14:paraId="34DAEFB0" w14:textId="4362C897" w:rsidR="3980742F" w:rsidRDefault="20387A94" w:rsidP="49996C8F">
            <w:pPr>
              <w:spacing w:line="259" w:lineRule="auto"/>
              <w:jc w:val="right"/>
              <w:rPr>
                <w:b/>
                <w:bCs/>
                <w:color w:val="auto"/>
                <w:sz w:val="20"/>
                <w:szCs w:val="20"/>
              </w:rPr>
            </w:pPr>
            <w:r w:rsidRPr="678D5708">
              <w:rPr>
                <w:b/>
                <w:bCs/>
                <w:color w:val="auto"/>
                <w:sz w:val="20"/>
                <w:szCs w:val="20"/>
              </w:rPr>
              <w:t>2</w:t>
            </w:r>
            <w:r w:rsidR="2548E381" w:rsidRPr="678D5708">
              <w:rPr>
                <w:b/>
                <w:bCs/>
                <w:color w:val="auto"/>
                <w:sz w:val="20"/>
                <w:szCs w:val="20"/>
              </w:rPr>
              <w:t>25</w:t>
            </w:r>
          </w:p>
        </w:tc>
      </w:tr>
      <w:tr w:rsidR="3980742F" w14:paraId="5686A6F1" w14:textId="77777777" w:rsidTr="1FA2E292">
        <w:trPr>
          <w:trHeight w:val="251"/>
        </w:trPr>
        <w:tc>
          <w:tcPr>
            <w:tcW w:w="2640" w:type="dxa"/>
            <w:tcBorders>
              <w:top w:val="single" w:sz="8" w:space="0" w:color="A6A6A6" w:themeColor="background1" w:themeShade="A6"/>
            </w:tcBorders>
            <w:shd w:val="clear" w:color="auto" w:fill="FFFFFF" w:themeFill="background1"/>
            <w:vAlign w:val="bottom"/>
          </w:tcPr>
          <w:p w14:paraId="225AF5FA" w14:textId="70A1DF38" w:rsidR="3980742F" w:rsidRDefault="35E4314B" w:rsidP="49996C8F">
            <w:pPr>
              <w:spacing w:line="259" w:lineRule="auto"/>
              <w:rPr>
                <w:b/>
                <w:bCs/>
                <w:color w:val="auto"/>
                <w:sz w:val="20"/>
                <w:szCs w:val="20"/>
              </w:rPr>
            </w:pPr>
            <w:r w:rsidRPr="57EA1165">
              <w:rPr>
                <w:b/>
                <w:bCs/>
                <w:color w:val="auto"/>
                <w:sz w:val="20"/>
                <w:szCs w:val="20"/>
              </w:rPr>
              <w:lastRenderedPageBreak/>
              <w:t xml:space="preserve">Operational </w:t>
            </w:r>
            <w:r w:rsidR="642F6E8B" w:rsidRPr="57EA1165">
              <w:rPr>
                <w:b/>
                <w:bCs/>
                <w:color w:val="auto"/>
                <w:sz w:val="20"/>
                <w:szCs w:val="20"/>
              </w:rPr>
              <w:t>boundary</w:t>
            </w:r>
          </w:p>
        </w:tc>
        <w:tc>
          <w:tcPr>
            <w:tcW w:w="1155" w:type="dxa"/>
            <w:tcBorders>
              <w:top w:val="single" w:sz="8" w:space="0" w:color="A6A6A6" w:themeColor="background1" w:themeShade="A6"/>
            </w:tcBorders>
            <w:shd w:val="clear" w:color="auto" w:fill="FFFFFF" w:themeFill="background1"/>
            <w:vAlign w:val="center"/>
          </w:tcPr>
          <w:p w14:paraId="7CD88155" w14:textId="77777777" w:rsidR="3980742F" w:rsidRDefault="3980742F" w:rsidP="49996C8F">
            <w:pPr>
              <w:spacing w:line="259" w:lineRule="auto"/>
              <w:jc w:val="right"/>
              <w:rPr>
                <w:b/>
                <w:bCs/>
                <w:color w:val="auto"/>
                <w:sz w:val="20"/>
                <w:szCs w:val="20"/>
              </w:rPr>
            </w:pPr>
          </w:p>
        </w:tc>
        <w:tc>
          <w:tcPr>
            <w:tcW w:w="1080" w:type="dxa"/>
            <w:tcBorders>
              <w:top w:val="single" w:sz="8" w:space="0" w:color="A6A6A6" w:themeColor="background1" w:themeShade="A6"/>
            </w:tcBorders>
            <w:shd w:val="clear" w:color="auto" w:fill="FFFFFF" w:themeFill="background1"/>
            <w:vAlign w:val="center"/>
          </w:tcPr>
          <w:p w14:paraId="592AB14F" w14:textId="77777777" w:rsidR="3980742F" w:rsidRDefault="3980742F" w:rsidP="49996C8F">
            <w:pPr>
              <w:spacing w:line="259" w:lineRule="auto"/>
              <w:jc w:val="right"/>
              <w:rPr>
                <w:b/>
                <w:bCs/>
                <w:color w:val="auto"/>
                <w:sz w:val="20"/>
                <w:szCs w:val="20"/>
              </w:rPr>
            </w:pPr>
          </w:p>
        </w:tc>
        <w:tc>
          <w:tcPr>
            <w:tcW w:w="1245" w:type="dxa"/>
            <w:tcBorders>
              <w:top w:val="single" w:sz="8" w:space="0" w:color="A6A6A6" w:themeColor="background1" w:themeShade="A6"/>
            </w:tcBorders>
            <w:shd w:val="clear" w:color="auto" w:fill="D9D9D9" w:themeFill="background1" w:themeFillShade="D9"/>
            <w:vAlign w:val="center"/>
          </w:tcPr>
          <w:p w14:paraId="5CEEFCC7" w14:textId="77777777" w:rsidR="3980742F" w:rsidRDefault="3980742F" w:rsidP="49996C8F">
            <w:pPr>
              <w:spacing w:line="259" w:lineRule="auto"/>
              <w:jc w:val="right"/>
              <w:rPr>
                <w:b/>
                <w:bCs/>
                <w:color w:val="auto"/>
                <w:sz w:val="20"/>
                <w:szCs w:val="20"/>
              </w:rPr>
            </w:pPr>
          </w:p>
        </w:tc>
        <w:tc>
          <w:tcPr>
            <w:tcW w:w="1290" w:type="dxa"/>
            <w:tcBorders>
              <w:top w:val="single" w:sz="8" w:space="0" w:color="A6A6A6" w:themeColor="background1" w:themeShade="A6"/>
            </w:tcBorders>
            <w:shd w:val="clear" w:color="auto" w:fill="FFFFFF" w:themeFill="background1"/>
            <w:vAlign w:val="center"/>
          </w:tcPr>
          <w:p w14:paraId="1154B40E" w14:textId="77777777" w:rsidR="3980742F" w:rsidRDefault="3980742F" w:rsidP="49996C8F">
            <w:pPr>
              <w:spacing w:line="259" w:lineRule="auto"/>
              <w:jc w:val="right"/>
              <w:rPr>
                <w:b/>
                <w:bCs/>
                <w:color w:val="auto"/>
                <w:sz w:val="20"/>
                <w:szCs w:val="20"/>
              </w:rPr>
            </w:pPr>
          </w:p>
        </w:tc>
        <w:tc>
          <w:tcPr>
            <w:tcW w:w="1245" w:type="dxa"/>
            <w:tcBorders>
              <w:top w:val="single" w:sz="8" w:space="0" w:color="A6A6A6" w:themeColor="background1" w:themeShade="A6"/>
            </w:tcBorders>
            <w:shd w:val="clear" w:color="auto" w:fill="FFFFFF" w:themeFill="background1"/>
            <w:vAlign w:val="center"/>
          </w:tcPr>
          <w:p w14:paraId="6D63E140" w14:textId="77777777" w:rsidR="3980742F" w:rsidRDefault="3980742F" w:rsidP="49996C8F">
            <w:pPr>
              <w:spacing w:line="259" w:lineRule="auto"/>
              <w:jc w:val="right"/>
              <w:rPr>
                <w:b/>
                <w:bCs/>
                <w:color w:val="auto"/>
                <w:sz w:val="20"/>
                <w:szCs w:val="20"/>
              </w:rPr>
            </w:pPr>
          </w:p>
        </w:tc>
        <w:tc>
          <w:tcPr>
            <w:tcW w:w="1192" w:type="dxa"/>
            <w:tcBorders>
              <w:top w:val="single" w:sz="8" w:space="0" w:color="A6A6A6" w:themeColor="background1" w:themeShade="A6"/>
            </w:tcBorders>
            <w:shd w:val="clear" w:color="auto" w:fill="FFFFFF" w:themeFill="background1"/>
            <w:vAlign w:val="center"/>
          </w:tcPr>
          <w:p w14:paraId="3F10510F" w14:textId="77777777" w:rsidR="3980742F" w:rsidRDefault="3980742F" w:rsidP="49996C8F">
            <w:pPr>
              <w:jc w:val="right"/>
              <w:rPr>
                <w:b/>
                <w:bCs/>
                <w:color w:val="auto"/>
                <w:sz w:val="20"/>
                <w:szCs w:val="20"/>
              </w:rPr>
            </w:pPr>
          </w:p>
        </w:tc>
      </w:tr>
      <w:tr w:rsidR="3980742F" w14:paraId="089818B6" w14:textId="77777777" w:rsidTr="1FA2E292">
        <w:trPr>
          <w:trHeight w:val="251"/>
        </w:trPr>
        <w:tc>
          <w:tcPr>
            <w:tcW w:w="2640" w:type="dxa"/>
            <w:shd w:val="clear" w:color="auto" w:fill="FFFFFF" w:themeFill="background1"/>
            <w:vAlign w:val="bottom"/>
          </w:tcPr>
          <w:p w14:paraId="48B871A6" w14:textId="77777777" w:rsidR="3980742F" w:rsidRDefault="465E948D" w:rsidP="49996C8F">
            <w:pPr>
              <w:spacing w:line="259" w:lineRule="auto"/>
              <w:rPr>
                <w:color w:val="auto"/>
                <w:sz w:val="20"/>
                <w:szCs w:val="20"/>
              </w:rPr>
            </w:pPr>
            <w:r w:rsidRPr="49996C8F">
              <w:rPr>
                <w:color w:val="auto"/>
                <w:sz w:val="20"/>
                <w:szCs w:val="20"/>
              </w:rPr>
              <w:t>Borrowing</w:t>
            </w:r>
          </w:p>
        </w:tc>
        <w:tc>
          <w:tcPr>
            <w:tcW w:w="1155" w:type="dxa"/>
            <w:shd w:val="clear" w:color="auto" w:fill="FFFFFF" w:themeFill="background1"/>
            <w:vAlign w:val="center"/>
          </w:tcPr>
          <w:p w14:paraId="589B0F36" w14:textId="3C8B45E3" w:rsidR="3980742F" w:rsidRDefault="465E948D" w:rsidP="49996C8F">
            <w:pPr>
              <w:spacing w:line="259" w:lineRule="auto"/>
              <w:jc w:val="right"/>
              <w:rPr>
                <w:color w:val="auto"/>
                <w:sz w:val="20"/>
                <w:szCs w:val="20"/>
              </w:rPr>
            </w:pPr>
            <w:r w:rsidRPr="49996C8F">
              <w:rPr>
                <w:color w:val="auto"/>
                <w:sz w:val="20"/>
                <w:szCs w:val="20"/>
              </w:rPr>
              <w:t>100</w:t>
            </w:r>
          </w:p>
        </w:tc>
        <w:tc>
          <w:tcPr>
            <w:tcW w:w="1080" w:type="dxa"/>
            <w:shd w:val="clear" w:color="auto" w:fill="FFFFFF" w:themeFill="background1"/>
            <w:vAlign w:val="center"/>
          </w:tcPr>
          <w:p w14:paraId="7A5660B1" w14:textId="0F805380" w:rsidR="3980742F" w:rsidRDefault="465E948D" w:rsidP="49996C8F">
            <w:pPr>
              <w:spacing w:line="259" w:lineRule="auto"/>
              <w:jc w:val="right"/>
              <w:rPr>
                <w:color w:val="auto"/>
                <w:sz w:val="20"/>
                <w:szCs w:val="20"/>
              </w:rPr>
            </w:pPr>
            <w:r w:rsidRPr="49996C8F">
              <w:rPr>
                <w:color w:val="auto"/>
                <w:sz w:val="20"/>
                <w:szCs w:val="20"/>
              </w:rPr>
              <w:t>100</w:t>
            </w:r>
          </w:p>
        </w:tc>
        <w:tc>
          <w:tcPr>
            <w:tcW w:w="1245" w:type="dxa"/>
            <w:shd w:val="clear" w:color="auto" w:fill="D9D9D9" w:themeFill="background1" w:themeFillShade="D9"/>
            <w:vAlign w:val="center"/>
          </w:tcPr>
          <w:p w14:paraId="3286B833" w14:textId="5A4AF5C3" w:rsidR="678D5708" w:rsidRDefault="15523065" w:rsidP="678D5708">
            <w:pPr>
              <w:spacing w:line="259" w:lineRule="auto"/>
              <w:jc w:val="right"/>
              <w:rPr>
                <w:color w:val="auto"/>
                <w:sz w:val="20"/>
                <w:szCs w:val="20"/>
              </w:rPr>
            </w:pPr>
            <w:r w:rsidRPr="69C8A05B">
              <w:rPr>
                <w:color w:val="auto"/>
                <w:sz w:val="20"/>
                <w:szCs w:val="20"/>
              </w:rPr>
              <w:t>2</w:t>
            </w:r>
            <w:r w:rsidR="667B5B71" w:rsidRPr="69C8A05B">
              <w:rPr>
                <w:color w:val="auto"/>
                <w:sz w:val="20"/>
                <w:szCs w:val="20"/>
              </w:rPr>
              <w:t>1</w:t>
            </w:r>
            <w:r w:rsidRPr="69C8A05B">
              <w:rPr>
                <w:color w:val="auto"/>
                <w:sz w:val="20"/>
                <w:szCs w:val="20"/>
              </w:rPr>
              <w:t>5</w:t>
            </w:r>
          </w:p>
        </w:tc>
        <w:tc>
          <w:tcPr>
            <w:tcW w:w="1290" w:type="dxa"/>
            <w:shd w:val="clear" w:color="auto" w:fill="FFFFFF" w:themeFill="background1"/>
            <w:vAlign w:val="center"/>
          </w:tcPr>
          <w:p w14:paraId="1DB0C33F" w14:textId="44DF2F55" w:rsidR="678D5708" w:rsidRDefault="15523065" w:rsidP="678D5708">
            <w:pPr>
              <w:spacing w:line="259" w:lineRule="auto"/>
              <w:jc w:val="right"/>
              <w:rPr>
                <w:color w:val="auto"/>
                <w:sz w:val="20"/>
                <w:szCs w:val="20"/>
              </w:rPr>
            </w:pPr>
            <w:r w:rsidRPr="69C8A05B">
              <w:rPr>
                <w:color w:val="auto"/>
                <w:sz w:val="20"/>
                <w:szCs w:val="20"/>
              </w:rPr>
              <w:t>2</w:t>
            </w:r>
            <w:r w:rsidR="1E8722A4" w:rsidRPr="69C8A05B">
              <w:rPr>
                <w:color w:val="auto"/>
                <w:sz w:val="20"/>
                <w:szCs w:val="20"/>
              </w:rPr>
              <w:t>1</w:t>
            </w:r>
            <w:r w:rsidRPr="69C8A05B">
              <w:rPr>
                <w:color w:val="auto"/>
                <w:sz w:val="20"/>
                <w:szCs w:val="20"/>
              </w:rPr>
              <w:t>5</w:t>
            </w:r>
          </w:p>
        </w:tc>
        <w:tc>
          <w:tcPr>
            <w:tcW w:w="1245" w:type="dxa"/>
            <w:shd w:val="clear" w:color="auto" w:fill="FFFFFF" w:themeFill="background1"/>
            <w:vAlign w:val="center"/>
          </w:tcPr>
          <w:p w14:paraId="52DA2905" w14:textId="2CE1469D" w:rsidR="678D5708" w:rsidRDefault="15523065" w:rsidP="678D5708">
            <w:pPr>
              <w:spacing w:line="259" w:lineRule="auto"/>
              <w:jc w:val="right"/>
              <w:rPr>
                <w:color w:val="auto"/>
                <w:sz w:val="20"/>
                <w:szCs w:val="20"/>
              </w:rPr>
            </w:pPr>
            <w:r w:rsidRPr="69C8A05B">
              <w:rPr>
                <w:color w:val="auto"/>
                <w:sz w:val="20"/>
                <w:szCs w:val="20"/>
              </w:rPr>
              <w:t>2</w:t>
            </w:r>
            <w:r w:rsidR="082DD9A2" w:rsidRPr="69C8A05B">
              <w:rPr>
                <w:color w:val="auto"/>
                <w:sz w:val="20"/>
                <w:szCs w:val="20"/>
              </w:rPr>
              <w:t>1</w:t>
            </w:r>
            <w:r w:rsidRPr="69C8A05B">
              <w:rPr>
                <w:color w:val="auto"/>
                <w:sz w:val="20"/>
                <w:szCs w:val="20"/>
              </w:rPr>
              <w:t>5</w:t>
            </w:r>
          </w:p>
        </w:tc>
        <w:tc>
          <w:tcPr>
            <w:tcW w:w="1192" w:type="dxa"/>
            <w:shd w:val="clear" w:color="auto" w:fill="FFFFFF" w:themeFill="background1"/>
            <w:vAlign w:val="center"/>
          </w:tcPr>
          <w:p w14:paraId="4763F6E7" w14:textId="6A220A8D" w:rsidR="678D5708" w:rsidRDefault="15523065" w:rsidP="678D5708">
            <w:pPr>
              <w:spacing w:line="259" w:lineRule="auto"/>
              <w:jc w:val="right"/>
              <w:rPr>
                <w:color w:val="auto"/>
                <w:sz w:val="20"/>
                <w:szCs w:val="20"/>
              </w:rPr>
            </w:pPr>
            <w:r w:rsidRPr="69C8A05B">
              <w:rPr>
                <w:color w:val="auto"/>
                <w:sz w:val="20"/>
                <w:szCs w:val="20"/>
              </w:rPr>
              <w:t>2</w:t>
            </w:r>
            <w:r w:rsidR="4650C37A" w:rsidRPr="69C8A05B">
              <w:rPr>
                <w:color w:val="auto"/>
                <w:sz w:val="20"/>
                <w:szCs w:val="20"/>
              </w:rPr>
              <w:t>1</w:t>
            </w:r>
            <w:r w:rsidRPr="69C8A05B">
              <w:rPr>
                <w:color w:val="auto"/>
                <w:sz w:val="20"/>
                <w:szCs w:val="20"/>
              </w:rPr>
              <w:t>5</w:t>
            </w:r>
          </w:p>
        </w:tc>
      </w:tr>
      <w:tr w:rsidR="3980742F" w14:paraId="5F640033" w14:textId="77777777" w:rsidTr="1FA2E292">
        <w:trPr>
          <w:trHeight w:val="251"/>
        </w:trPr>
        <w:tc>
          <w:tcPr>
            <w:tcW w:w="2640" w:type="dxa"/>
            <w:tcBorders>
              <w:top w:val="single" w:sz="8" w:space="0" w:color="A6A6A6" w:themeColor="background1" w:themeShade="A6"/>
              <w:bottom w:val="single" w:sz="8" w:space="0" w:color="A6A5A6"/>
            </w:tcBorders>
            <w:shd w:val="clear" w:color="auto" w:fill="FFFFFF" w:themeFill="background1"/>
            <w:vAlign w:val="bottom"/>
          </w:tcPr>
          <w:p w14:paraId="5F644E5B" w14:textId="5E343029" w:rsidR="3980742F" w:rsidRDefault="465E948D" w:rsidP="49996C8F">
            <w:pPr>
              <w:spacing w:line="259" w:lineRule="auto"/>
              <w:rPr>
                <w:b/>
                <w:bCs/>
                <w:color w:val="auto"/>
                <w:sz w:val="20"/>
                <w:szCs w:val="20"/>
              </w:rPr>
            </w:pPr>
            <w:r w:rsidRPr="49996C8F">
              <w:rPr>
                <w:b/>
                <w:bCs/>
                <w:color w:val="auto"/>
                <w:sz w:val="20"/>
                <w:szCs w:val="20"/>
              </w:rPr>
              <w:t>OPDC Total</w:t>
            </w:r>
          </w:p>
        </w:tc>
        <w:tc>
          <w:tcPr>
            <w:tcW w:w="1155" w:type="dxa"/>
            <w:tcBorders>
              <w:top w:val="single" w:sz="8" w:space="0" w:color="A6A6A6" w:themeColor="background1" w:themeShade="A6"/>
              <w:bottom w:val="single" w:sz="8" w:space="0" w:color="A6A5A6"/>
            </w:tcBorders>
            <w:shd w:val="clear" w:color="auto" w:fill="FFFFFF" w:themeFill="background1"/>
            <w:vAlign w:val="center"/>
          </w:tcPr>
          <w:p w14:paraId="3831ACD7" w14:textId="039EA553" w:rsidR="3980742F" w:rsidRDefault="465E948D" w:rsidP="49996C8F">
            <w:pPr>
              <w:spacing w:line="259" w:lineRule="auto"/>
              <w:jc w:val="right"/>
              <w:rPr>
                <w:b/>
                <w:bCs/>
                <w:color w:val="auto"/>
                <w:sz w:val="20"/>
                <w:szCs w:val="20"/>
              </w:rPr>
            </w:pPr>
            <w:r w:rsidRPr="49996C8F">
              <w:rPr>
                <w:b/>
                <w:bCs/>
                <w:color w:val="auto"/>
                <w:sz w:val="20"/>
                <w:szCs w:val="20"/>
              </w:rPr>
              <w:t>100</w:t>
            </w:r>
          </w:p>
        </w:tc>
        <w:tc>
          <w:tcPr>
            <w:tcW w:w="1080" w:type="dxa"/>
            <w:tcBorders>
              <w:top w:val="single" w:sz="8" w:space="0" w:color="A6A6A6" w:themeColor="background1" w:themeShade="A6"/>
              <w:bottom w:val="single" w:sz="8" w:space="0" w:color="A6A5A6"/>
            </w:tcBorders>
            <w:shd w:val="clear" w:color="auto" w:fill="FFFFFF" w:themeFill="background1"/>
            <w:vAlign w:val="center"/>
          </w:tcPr>
          <w:p w14:paraId="12CAE854" w14:textId="2CC1862B" w:rsidR="3980742F" w:rsidRDefault="465E948D" w:rsidP="49996C8F">
            <w:pPr>
              <w:spacing w:line="259" w:lineRule="auto"/>
              <w:jc w:val="right"/>
              <w:rPr>
                <w:b/>
                <w:bCs/>
                <w:color w:val="auto"/>
                <w:sz w:val="20"/>
                <w:szCs w:val="20"/>
              </w:rPr>
            </w:pPr>
            <w:r w:rsidRPr="49996C8F">
              <w:rPr>
                <w:b/>
                <w:bCs/>
                <w:color w:val="auto"/>
                <w:sz w:val="20"/>
                <w:szCs w:val="20"/>
              </w:rPr>
              <w:t>100</w:t>
            </w:r>
          </w:p>
        </w:tc>
        <w:tc>
          <w:tcPr>
            <w:tcW w:w="1245" w:type="dxa"/>
            <w:tcBorders>
              <w:top w:val="single" w:sz="8" w:space="0" w:color="A6A6A6" w:themeColor="background1" w:themeShade="A6"/>
              <w:bottom w:val="single" w:sz="8" w:space="0" w:color="A6A5A6"/>
            </w:tcBorders>
            <w:shd w:val="clear" w:color="auto" w:fill="D9D9D9" w:themeFill="background1" w:themeFillShade="D9"/>
            <w:vAlign w:val="center"/>
          </w:tcPr>
          <w:p w14:paraId="233276D9" w14:textId="10F4AF92" w:rsidR="3980742F" w:rsidRDefault="535AA9DB" w:rsidP="49996C8F">
            <w:pPr>
              <w:spacing w:line="259" w:lineRule="auto"/>
              <w:jc w:val="right"/>
              <w:rPr>
                <w:b/>
                <w:bCs/>
                <w:color w:val="auto"/>
                <w:sz w:val="20"/>
                <w:szCs w:val="20"/>
              </w:rPr>
            </w:pPr>
            <w:r w:rsidRPr="69C8A05B">
              <w:rPr>
                <w:b/>
                <w:bCs/>
                <w:color w:val="auto"/>
                <w:sz w:val="20"/>
                <w:szCs w:val="20"/>
              </w:rPr>
              <w:t>2</w:t>
            </w:r>
            <w:r w:rsidR="740494EE" w:rsidRPr="69C8A05B">
              <w:rPr>
                <w:b/>
                <w:bCs/>
                <w:color w:val="auto"/>
                <w:sz w:val="20"/>
                <w:szCs w:val="20"/>
              </w:rPr>
              <w:t>1</w:t>
            </w:r>
            <w:r w:rsidR="29B17718" w:rsidRPr="69C8A05B">
              <w:rPr>
                <w:b/>
                <w:bCs/>
                <w:color w:val="auto"/>
                <w:sz w:val="20"/>
                <w:szCs w:val="20"/>
              </w:rPr>
              <w:t>5</w:t>
            </w:r>
          </w:p>
        </w:tc>
        <w:tc>
          <w:tcPr>
            <w:tcW w:w="1290" w:type="dxa"/>
            <w:tcBorders>
              <w:top w:val="single" w:sz="8" w:space="0" w:color="A6A6A6" w:themeColor="background1" w:themeShade="A6"/>
              <w:bottom w:val="single" w:sz="8" w:space="0" w:color="A6A5A6"/>
            </w:tcBorders>
            <w:shd w:val="clear" w:color="auto" w:fill="FFFFFF" w:themeFill="background1"/>
            <w:vAlign w:val="center"/>
          </w:tcPr>
          <w:p w14:paraId="6D144429" w14:textId="41EB171B" w:rsidR="3980742F" w:rsidRDefault="535AA9DB" w:rsidP="49996C8F">
            <w:pPr>
              <w:spacing w:line="259" w:lineRule="auto"/>
              <w:jc w:val="right"/>
              <w:rPr>
                <w:b/>
                <w:bCs/>
                <w:color w:val="auto"/>
                <w:sz w:val="20"/>
                <w:szCs w:val="20"/>
              </w:rPr>
            </w:pPr>
            <w:r w:rsidRPr="69C8A05B">
              <w:rPr>
                <w:b/>
                <w:bCs/>
                <w:color w:val="auto"/>
                <w:sz w:val="20"/>
                <w:szCs w:val="20"/>
              </w:rPr>
              <w:t>2</w:t>
            </w:r>
            <w:r w:rsidR="59139C89" w:rsidRPr="69C8A05B">
              <w:rPr>
                <w:b/>
                <w:bCs/>
                <w:color w:val="auto"/>
                <w:sz w:val="20"/>
                <w:szCs w:val="20"/>
              </w:rPr>
              <w:t>1</w:t>
            </w:r>
            <w:r w:rsidR="5853E7CC" w:rsidRPr="69C8A05B">
              <w:rPr>
                <w:b/>
                <w:bCs/>
                <w:color w:val="auto"/>
                <w:sz w:val="20"/>
                <w:szCs w:val="20"/>
              </w:rPr>
              <w:t>5</w:t>
            </w:r>
          </w:p>
        </w:tc>
        <w:tc>
          <w:tcPr>
            <w:tcW w:w="1245" w:type="dxa"/>
            <w:tcBorders>
              <w:top w:val="single" w:sz="8" w:space="0" w:color="A6A6A6" w:themeColor="background1" w:themeShade="A6"/>
              <w:bottom w:val="single" w:sz="8" w:space="0" w:color="A6A5A6"/>
            </w:tcBorders>
            <w:shd w:val="clear" w:color="auto" w:fill="FFFFFF" w:themeFill="background1"/>
            <w:vAlign w:val="center"/>
          </w:tcPr>
          <w:p w14:paraId="13A0525F" w14:textId="053225E7" w:rsidR="3980742F" w:rsidRDefault="535AA9DB" w:rsidP="49996C8F">
            <w:pPr>
              <w:spacing w:line="259" w:lineRule="auto"/>
              <w:jc w:val="right"/>
              <w:rPr>
                <w:b/>
                <w:bCs/>
                <w:color w:val="auto"/>
                <w:sz w:val="20"/>
                <w:szCs w:val="20"/>
              </w:rPr>
            </w:pPr>
            <w:r w:rsidRPr="69C8A05B">
              <w:rPr>
                <w:b/>
                <w:bCs/>
                <w:color w:val="auto"/>
                <w:sz w:val="20"/>
                <w:szCs w:val="20"/>
              </w:rPr>
              <w:t>2</w:t>
            </w:r>
            <w:r w:rsidR="249CAB7F" w:rsidRPr="69C8A05B">
              <w:rPr>
                <w:b/>
                <w:bCs/>
                <w:color w:val="auto"/>
                <w:sz w:val="20"/>
                <w:szCs w:val="20"/>
              </w:rPr>
              <w:t>1</w:t>
            </w:r>
            <w:r w:rsidR="32A9027F" w:rsidRPr="69C8A05B">
              <w:rPr>
                <w:b/>
                <w:bCs/>
                <w:color w:val="auto"/>
                <w:sz w:val="20"/>
                <w:szCs w:val="20"/>
              </w:rPr>
              <w:t>5</w:t>
            </w:r>
          </w:p>
        </w:tc>
        <w:tc>
          <w:tcPr>
            <w:tcW w:w="1192" w:type="dxa"/>
            <w:tcBorders>
              <w:top w:val="single" w:sz="8" w:space="0" w:color="A6A6A6" w:themeColor="background1" w:themeShade="A6"/>
              <w:bottom w:val="single" w:sz="8" w:space="0" w:color="A6A5A6"/>
            </w:tcBorders>
            <w:shd w:val="clear" w:color="auto" w:fill="FFFFFF" w:themeFill="background1"/>
            <w:vAlign w:val="center"/>
          </w:tcPr>
          <w:p w14:paraId="3737DC84" w14:textId="38837039" w:rsidR="3980742F" w:rsidRDefault="535AA9DB" w:rsidP="49996C8F">
            <w:pPr>
              <w:spacing w:line="259" w:lineRule="auto"/>
              <w:jc w:val="right"/>
              <w:rPr>
                <w:b/>
                <w:bCs/>
                <w:color w:val="auto"/>
                <w:sz w:val="20"/>
                <w:szCs w:val="20"/>
              </w:rPr>
            </w:pPr>
            <w:r w:rsidRPr="69C8A05B">
              <w:rPr>
                <w:b/>
                <w:bCs/>
                <w:color w:val="auto"/>
                <w:sz w:val="20"/>
                <w:szCs w:val="20"/>
              </w:rPr>
              <w:t>2</w:t>
            </w:r>
            <w:r w:rsidR="74EE3F24" w:rsidRPr="69C8A05B">
              <w:rPr>
                <w:b/>
                <w:bCs/>
                <w:color w:val="auto"/>
                <w:sz w:val="20"/>
                <w:szCs w:val="20"/>
              </w:rPr>
              <w:t>1</w:t>
            </w:r>
            <w:r w:rsidR="06306B65" w:rsidRPr="69C8A05B">
              <w:rPr>
                <w:b/>
                <w:bCs/>
                <w:color w:val="auto"/>
                <w:sz w:val="20"/>
                <w:szCs w:val="20"/>
              </w:rPr>
              <w:t>5</w:t>
            </w:r>
          </w:p>
        </w:tc>
      </w:tr>
    </w:tbl>
    <w:p w14:paraId="2EE7D57F" w14:textId="36A4E73E" w:rsidR="544F49CA" w:rsidRDefault="5B927D74" w:rsidP="003B6A3E">
      <w:pPr>
        <w:pStyle w:val="ListParagraph"/>
        <w:numPr>
          <w:ilvl w:val="0"/>
          <w:numId w:val="39"/>
        </w:numPr>
        <w:spacing w:before="240"/>
        <w:jc w:val="both"/>
        <w:rPr>
          <w:color w:val="000000" w:themeColor="text1"/>
        </w:rPr>
      </w:pPr>
      <w:r w:rsidRPr="55A874B7">
        <w:rPr>
          <w:color w:val="000000" w:themeColor="text1"/>
        </w:rPr>
        <w:t>It is noted that</w:t>
      </w:r>
      <w:r w:rsidR="544F49CA" w:rsidRPr="55A874B7">
        <w:rPr>
          <w:color w:val="000000" w:themeColor="text1"/>
        </w:rPr>
        <w:t xml:space="preserve"> the increased borrowing </w:t>
      </w:r>
      <w:r w:rsidR="337B34F9" w:rsidRPr="55A874B7">
        <w:rPr>
          <w:color w:val="000000" w:themeColor="text1"/>
        </w:rPr>
        <w:t>outlin</w:t>
      </w:r>
      <w:r w:rsidR="544F49CA" w:rsidRPr="55A874B7">
        <w:rPr>
          <w:color w:val="000000" w:themeColor="text1"/>
        </w:rPr>
        <w:t xml:space="preserve">ed above does not include any funding for ‘enabling infrastructure costs’ that will be required to successfully deliver </w:t>
      </w:r>
      <w:r w:rsidR="357E64BC" w:rsidRPr="51E841B9">
        <w:rPr>
          <w:color w:val="000000" w:themeColor="text1"/>
        </w:rPr>
        <w:t>the</w:t>
      </w:r>
      <w:r w:rsidR="544F49CA" w:rsidRPr="51E841B9">
        <w:rPr>
          <w:color w:val="000000" w:themeColor="text1"/>
        </w:rPr>
        <w:t xml:space="preserve"> </w:t>
      </w:r>
      <w:r w:rsidR="544F49CA" w:rsidRPr="55A874B7">
        <w:rPr>
          <w:color w:val="000000" w:themeColor="text1"/>
        </w:rPr>
        <w:t>Old Oa</w:t>
      </w:r>
      <w:r w:rsidR="20C06045" w:rsidRPr="55A874B7">
        <w:rPr>
          <w:color w:val="000000" w:themeColor="text1"/>
        </w:rPr>
        <w:t>k</w:t>
      </w:r>
      <w:r w:rsidR="544F49CA" w:rsidRPr="55A874B7">
        <w:rPr>
          <w:color w:val="000000" w:themeColor="text1"/>
        </w:rPr>
        <w:t xml:space="preserve"> </w:t>
      </w:r>
      <w:r w:rsidR="00BC1DED">
        <w:rPr>
          <w:color w:val="000000" w:themeColor="text1"/>
        </w:rPr>
        <w:t xml:space="preserve">Regeneration </w:t>
      </w:r>
      <w:r w:rsidR="00AA17F9">
        <w:rPr>
          <w:color w:val="000000" w:themeColor="text1"/>
        </w:rPr>
        <w:t>Programme</w:t>
      </w:r>
      <w:r w:rsidR="544F49CA" w:rsidRPr="55A874B7">
        <w:rPr>
          <w:color w:val="000000" w:themeColor="text1"/>
        </w:rPr>
        <w:t>.</w:t>
      </w:r>
    </w:p>
    <w:p w14:paraId="4E6B2474" w14:textId="014C9C8C" w:rsidR="544F49CA" w:rsidRDefault="544F49CA" w:rsidP="55A874B7">
      <w:pPr>
        <w:pStyle w:val="ListParagraph"/>
        <w:spacing w:before="240"/>
        <w:ind w:left="680"/>
        <w:jc w:val="both"/>
        <w:rPr>
          <w:color w:val="000000" w:themeColor="text1"/>
        </w:rPr>
      </w:pPr>
    </w:p>
    <w:p w14:paraId="5953844C" w14:textId="03D67C9A" w:rsidR="544F49CA" w:rsidRDefault="544F49CA" w:rsidP="003B6A3E">
      <w:pPr>
        <w:pStyle w:val="ListParagraph"/>
        <w:numPr>
          <w:ilvl w:val="0"/>
          <w:numId w:val="39"/>
        </w:numPr>
        <w:spacing w:before="240"/>
        <w:jc w:val="both"/>
        <w:rPr>
          <w:color w:val="000000" w:themeColor="text1"/>
        </w:rPr>
      </w:pPr>
      <w:r w:rsidRPr="678D5708">
        <w:rPr>
          <w:color w:val="000000" w:themeColor="text1"/>
        </w:rPr>
        <w:t>OPDC estimate these ‘enabling infrastructure costs’ would be approximately £352</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(£167</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2029-30 to 2033-34 and £186</w:t>
      </w:r>
      <w:r w:rsidR="00A24EA2">
        <w:rPr>
          <w:color w:val="000000" w:themeColor="text1"/>
        </w:rPr>
        <w:t xml:space="preserve"> </w:t>
      </w:r>
      <w:r w:rsidRPr="678D5708">
        <w:rPr>
          <w:color w:val="000000" w:themeColor="text1"/>
        </w:rPr>
        <w:t>m</w:t>
      </w:r>
      <w:r w:rsidR="00A24EA2">
        <w:rPr>
          <w:color w:val="000000" w:themeColor="text1"/>
        </w:rPr>
        <w:t>illion</w:t>
      </w:r>
      <w:r w:rsidRPr="678D5708">
        <w:rPr>
          <w:color w:val="000000" w:themeColor="text1"/>
        </w:rPr>
        <w:t xml:space="preserve"> 2034-</w:t>
      </w:r>
      <w:r w:rsidR="13A0F3A7" w:rsidRPr="1755ED4C">
        <w:rPr>
          <w:color w:val="000000" w:themeColor="text1"/>
        </w:rPr>
        <w:t>3</w:t>
      </w:r>
      <w:r w:rsidRPr="1755ED4C">
        <w:rPr>
          <w:color w:val="000000" w:themeColor="text1"/>
        </w:rPr>
        <w:t>5</w:t>
      </w:r>
      <w:r w:rsidRPr="678D5708">
        <w:rPr>
          <w:color w:val="000000" w:themeColor="text1"/>
        </w:rPr>
        <w:t xml:space="preserve"> to 2038-39). OPDC </w:t>
      </w:r>
      <w:r w:rsidR="0204A355" w:rsidRPr="678D5708">
        <w:rPr>
          <w:color w:val="000000" w:themeColor="text1"/>
        </w:rPr>
        <w:t xml:space="preserve">continue to </w:t>
      </w:r>
      <w:r w:rsidR="45102EEE" w:rsidRPr="678D5708">
        <w:rPr>
          <w:color w:val="000000" w:themeColor="text1"/>
        </w:rPr>
        <w:t>progress forward with the intention of securing</w:t>
      </w:r>
      <w:r w:rsidR="0204A355" w:rsidRPr="678D5708">
        <w:rPr>
          <w:color w:val="000000" w:themeColor="text1"/>
        </w:rPr>
        <w:t xml:space="preserve"> </w:t>
      </w:r>
      <w:r w:rsidR="00A34875" w:rsidDel="0072655B">
        <w:rPr>
          <w:color w:val="000000" w:themeColor="text1"/>
        </w:rPr>
        <w:t>g</w:t>
      </w:r>
      <w:r w:rsidR="0204A355" w:rsidRPr="678D5708" w:rsidDel="0072655B">
        <w:rPr>
          <w:color w:val="000000" w:themeColor="text1"/>
        </w:rPr>
        <w:t xml:space="preserve">overnment </w:t>
      </w:r>
      <w:r w:rsidR="0204A355" w:rsidRPr="678D5708">
        <w:rPr>
          <w:color w:val="000000" w:themeColor="text1"/>
        </w:rPr>
        <w:t xml:space="preserve">agencies </w:t>
      </w:r>
      <w:r w:rsidRPr="678D5708">
        <w:rPr>
          <w:color w:val="000000" w:themeColor="text1"/>
        </w:rPr>
        <w:t xml:space="preserve">grants and developer contributions to offset these costs; however, in the absence of any certainty around this </w:t>
      </w:r>
      <w:r w:rsidR="55BAFF9C" w:rsidRPr="678D5708">
        <w:rPr>
          <w:color w:val="000000" w:themeColor="text1"/>
        </w:rPr>
        <w:t>it might be assumed that</w:t>
      </w:r>
      <w:r w:rsidRPr="678D5708">
        <w:rPr>
          <w:color w:val="000000" w:themeColor="text1"/>
        </w:rPr>
        <w:t xml:space="preserve"> </w:t>
      </w:r>
      <w:r w:rsidR="7529F143" w:rsidRPr="36A56128">
        <w:rPr>
          <w:color w:val="000000" w:themeColor="text1"/>
        </w:rPr>
        <w:t>additional</w:t>
      </w:r>
      <w:r w:rsidRPr="678D5708">
        <w:rPr>
          <w:color w:val="000000" w:themeColor="text1"/>
        </w:rPr>
        <w:t xml:space="preserve"> borrowing </w:t>
      </w:r>
      <w:r w:rsidR="0A36CCA9" w:rsidRPr="678D5708">
        <w:rPr>
          <w:color w:val="000000" w:themeColor="text1"/>
        </w:rPr>
        <w:t>may be required</w:t>
      </w:r>
      <w:r w:rsidRPr="678D5708">
        <w:rPr>
          <w:color w:val="000000" w:themeColor="text1"/>
        </w:rPr>
        <w:t>.</w:t>
      </w:r>
    </w:p>
    <w:p w14:paraId="6CA0F47B" w14:textId="77777777" w:rsidR="00AA17F9" w:rsidRDefault="00AA17F9" w:rsidP="00AA17F9">
      <w:pPr>
        <w:shd w:val="clear" w:color="auto" w:fill="FFFFFF" w:themeFill="background1"/>
        <w:ind w:left="680"/>
        <w:jc w:val="both"/>
        <w:rPr>
          <w:rFonts w:eastAsia="Foundry Form Sans" w:cs="Foundry Form Sans"/>
          <w:b/>
          <w:bCs/>
          <w:color w:val="auto"/>
        </w:rPr>
      </w:pPr>
    </w:p>
    <w:p w14:paraId="47580EAC" w14:textId="0D5E1038" w:rsidR="1A6BB6F3" w:rsidRDefault="081610AF" w:rsidP="00AA17F9">
      <w:pPr>
        <w:shd w:val="clear" w:color="auto" w:fill="FFFFFF" w:themeFill="background1"/>
        <w:ind w:left="680"/>
        <w:jc w:val="both"/>
        <w:rPr>
          <w:rFonts w:eastAsia="Foundry Form Sans" w:cs="Foundry Form Sans"/>
          <w:b/>
          <w:bCs/>
          <w:color w:val="auto"/>
        </w:rPr>
      </w:pPr>
      <w:r w:rsidRPr="678D5708">
        <w:rPr>
          <w:rFonts w:eastAsia="Foundry Form Sans" w:cs="Foundry Form Sans"/>
          <w:b/>
          <w:bCs/>
          <w:color w:val="auto"/>
        </w:rPr>
        <w:t>C</w:t>
      </w:r>
      <w:r w:rsidR="516323A5" w:rsidRPr="678D5708">
        <w:rPr>
          <w:rFonts w:eastAsia="Foundry Form Sans" w:cs="Foundry Form Sans"/>
          <w:b/>
          <w:bCs/>
          <w:color w:val="auto"/>
        </w:rPr>
        <w:t>apital Strategy – Delivery, Affordability and Risk</w:t>
      </w:r>
    </w:p>
    <w:p w14:paraId="74A235B7" w14:textId="19DF6B76" w:rsidR="21FA6B9B" w:rsidRDefault="2619DBF1" w:rsidP="003B6A3E">
      <w:pPr>
        <w:pStyle w:val="ListParagraph"/>
        <w:numPr>
          <w:ilvl w:val="0"/>
          <w:numId w:val="39"/>
        </w:numPr>
        <w:spacing w:before="240" w:after="81"/>
        <w:jc w:val="both"/>
        <w:rPr>
          <w:rFonts w:eastAsia="Foundry Form Sans" w:cs="Foundry Form Sans"/>
          <w:color w:val="000000" w:themeColor="text1"/>
        </w:rPr>
      </w:pPr>
      <w:r w:rsidRPr="678D5708">
        <w:rPr>
          <w:rFonts w:eastAsia="Foundry Form Sans" w:cs="Foundry Form Sans"/>
          <w:color w:val="000000" w:themeColor="text1"/>
        </w:rPr>
        <w:t>Within the Prudential Code it is the responsibility of the Chief Finance Officer to explicitly report on the delivery, affordability and the risks associated with this Strategy. This is set out in the following paragraphs.</w:t>
      </w:r>
    </w:p>
    <w:p w14:paraId="7A6BB714" w14:textId="6A527663" w:rsidR="21FA6B9B" w:rsidRDefault="2619DBF1" w:rsidP="00F41D5B">
      <w:pPr>
        <w:spacing w:before="240" w:after="81"/>
        <w:ind w:left="680"/>
        <w:jc w:val="both"/>
        <w:rPr>
          <w:rFonts w:eastAsia="Foundry Form Sans" w:cs="Foundry Form Sans"/>
          <w:color w:val="000000" w:themeColor="text1"/>
          <w:highlight w:val="yellow"/>
        </w:rPr>
      </w:pPr>
      <w:r w:rsidRPr="153ADA39">
        <w:rPr>
          <w:rFonts w:eastAsia="Foundry Form Sans" w:cs="Foundry Form Sans"/>
          <w:i/>
          <w:iCs/>
          <w:color w:val="000000" w:themeColor="text1"/>
        </w:rPr>
        <w:t>Delivery</w:t>
      </w:r>
    </w:p>
    <w:p w14:paraId="44A190CC" w14:textId="29B056DA" w:rsidR="516323A5" w:rsidRDefault="516323A5" w:rsidP="003B6A3E">
      <w:pPr>
        <w:pStyle w:val="ListParagraph"/>
        <w:numPr>
          <w:ilvl w:val="0"/>
          <w:numId w:val="39"/>
        </w:numPr>
        <w:spacing w:before="240" w:after="81" w:line="259" w:lineRule="auto"/>
        <w:jc w:val="both"/>
        <w:rPr>
          <w:rFonts w:eastAsia="Foundry Form Sans" w:cs="Foundry Form Sans"/>
          <w:color w:val="000000" w:themeColor="text1"/>
        </w:rPr>
      </w:pPr>
      <w:r w:rsidRPr="678D5708">
        <w:rPr>
          <w:rFonts w:eastAsia="Foundry Form Sans" w:cs="Foundry Form Sans"/>
          <w:color w:val="000000" w:themeColor="text1"/>
        </w:rPr>
        <w:t xml:space="preserve">The delivery of the scheme in </w:t>
      </w:r>
      <w:r w:rsidR="29CA9D86" w:rsidRPr="678D5708">
        <w:rPr>
          <w:rFonts w:eastAsia="Foundry Form Sans" w:cs="Foundry Form Sans"/>
          <w:color w:val="000000" w:themeColor="text1"/>
        </w:rPr>
        <w:t>OP</w:t>
      </w:r>
      <w:r w:rsidRPr="678D5708">
        <w:rPr>
          <w:rFonts w:eastAsia="Foundry Form Sans" w:cs="Foundry Form Sans"/>
          <w:color w:val="000000" w:themeColor="text1"/>
        </w:rPr>
        <w:t xml:space="preserve">DC’s Capital Investment Plan are set out in the </w:t>
      </w:r>
      <w:r w:rsidR="65D4F95B" w:rsidRPr="678D5708">
        <w:rPr>
          <w:rFonts w:eastAsia="Foundry Form Sans" w:cs="Foundry Form Sans"/>
          <w:color w:val="000000" w:themeColor="text1"/>
        </w:rPr>
        <w:t>Original</w:t>
      </w:r>
      <w:r w:rsidR="3E35A694" w:rsidRPr="678D5708">
        <w:rPr>
          <w:rFonts w:eastAsia="Foundry Form Sans" w:cs="Foundry Form Sans"/>
          <w:color w:val="000000" w:themeColor="text1"/>
        </w:rPr>
        <w:t xml:space="preserve"> </w:t>
      </w:r>
      <w:r w:rsidR="07A82DB7" w:rsidRPr="678D5708">
        <w:rPr>
          <w:rFonts w:eastAsia="Foundry Form Sans" w:cs="Foundry Form Sans"/>
          <w:color w:val="000000" w:themeColor="text1"/>
        </w:rPr>
        <w:t>Business</w:t>
      </w:r>
      <w:r w:rsidR="3E35A694" w:rsidRPr="678D5708">
        <w:rPr>
          <w:rFonts w:eastAsia="Foundry Form Sans" w:cs="Foundry Form Sans"/>
          <w:color w:val="000000" w:themeColor="text1"/>
        </w:rPr>
        <w:t xml:space="preserve"> </w:t>
      </w:r>
      <w:r w:rsidR="3850A32D" w:rsidRPr="678D5708">
        <w:rPr>
          <w:rFonts w:eastAsia="Foundry Form Sans" w:cs="Foundry Form Sans"/>
          <w:color w:val="000000" w:themeColor="text1"/>
        </w:rPr>
        <w:t>Case</w:t>
      </w:r>
      <w:r w:rsidR="3E35A694" w:rsidRPr="678D5708">
        <w:rPr>
          <w:rFonts w:eastAsia="Foundry Form Sans" w:cs="Foundry Form Sans"/>
          <w:color w:val="000000" w:themeColor="text1"/>
        </w:rPr>
        <w:t xml:space="preserve"> (OBC) for OPDC</w:t>
      </w:r>
      <w:r w:rsidR="00FF0D11">
        <w:rPr>
          <w:rFonts w:eastAsia="Foundry Form Sans" w:cs="Foundry Form Sans"/>
          <w:color w:val="000000" w:themeColor="text1"/>
        </w:rPr>
        <w:t xml:space="preserve">, which was approved by </w:t>
      </w:r>
      <w:r w:rsidR="008700B1">
        <w:rPr>
          <w:rFonts w:eastAsia="Foundry Form Sans" w:cs="Foundry Form Sans"/>
          <w:color w:val="000000" w:themeColor="text1"/>
        </w:rPr>
        <w:t>our government partners</w:t>
      </w:r>
      <w:r w:rsidR="3E35A694" w:rsidRPr="678D5708">
        <w:rPr>
          <w:rFonts w:eastAsia="Foundry Form Sans" w:cs="Foundry Form Sans"/>
          <w:color w:val="000000" w:themeColor="text1"/>
        </w:rPr>
        <w:t xml:space="preserve">. This is supported by the </w:t>
      </w:r>
      <w:r w:rsidR="00D40B75">
        <w:rPr>
          <w:rFonts w:eastAsia="Foundry Form Sans" w:cs="Foundry Form Sans"/>
          <w:color w:val="000000" w:themeColor="text1"/>
        </w:rPr>
        <w:t>l</w:t>
      </w:r>
      <w:r w:rsidR="3E35A694" w:rsidRPr="678D5708">
        <w:rPr>
          <w:rFonts w:eastAsia="Foundry Form Sans" w:cs="Foundry Form Sans"/>
          <w:color w:val="000000" w:themeColor="text1"/>
        </w:rPr>
        <w:t>ong</w:t>
      </w:r>
      <w:r w:rsidR="4C32169E" w:rsidRPr="678D5708">
        <w:rPr>
          <w:rFonts w:eastAsia="Foundry Form Sans" w:cs="Foundry Form Sans"/>
          <w:color w:val="000000" w:themeColor="text1"/>
        </w:rPr>
        <w:t>-</w:t>
      </w:r>
      <w:r w:rsidR="2F8275B4" w:rsidRPr="3175EA87">
        <w:rPr>
          <w:rFonts w:eastAsia="Foundry Form Sans" w:cs="Foundry Form Sans"/>
          <w:color w:val="000000" w:themeColor="text1"/>
        </w:rPr>
        <w:t>t</w:t>
      </w:r>
      <w:r w:rsidR="3E35A694" w:rsidRPr="3175EA87">
        <w:rPr>
          <w:rFonts w:eastAsia="Foundry Form Sans" w:cs="Foundry Form Sans"/>
          <w:color w:val="000000" w:themeColor="text1"/>
        </w:rPr>
        <w:t xml:space="preserve">erm </w:t>
      </w:r>
      <w:r w:rsidR="686144AE" w:rsidRPr="3175EA87">
        <w:rPr>
          <w:rFonts w:eastAsia="Foundry Form Sans" w:cs="Foundry Form Sans"/>
          <w:color w:val="000000" w:themeColor="text1"/>
        </w:rPr>
        <w:t>m</w:t>
      </w:r>
      <w:r w:rsidR="3E35A694" w:rsidRPr="3175EA87">
        <w:rPr>
          <w:rFonts w:eastAsia="Foundry Form Sans" w:cs="Foundry Form Sans"/>
          <w:color w:val="000000" w:themeColor="text1"/>
        </w:rPr>
        <w:t>odel</w:t>
      </w:r>
      <w:r w:rsidR="3E35A694" w:rsidRPr="678D5708">
        <w:rPr>
          <w:rFonts w:eastAsia="Foundry Form Sans" w:cs="Foundry Form Sans"/>
          <w:color w:val="000000" w:themeColor="text1"/>
        </w:rPr>
        <w:t xml:space="preserve"> that </w:t>
      </w:r>
      <w:r w:rsidR="6072C34B" w:rsidRPr="678D5708">
        <w:rPr>
          <w:rFonts w:eastAsia="Foundry Form Sans" w:cs="Foundry Form Sans"/>
          <w:color w:val="000000" w:themeColor="text1"/>
        </w:rPr>
        <w:t>underpinned the OBC</w:t>
      </w:r>
      <w:r w:rsidR="006A0074">
        <w:rPr>
          <w:rFonts w:eastAsia="Foundry Form Sans" w:cs="Foundry Form Sans"/>
          <w:color w:val="000000" w:themeColor="text1"/>
        </w:rPr>
        <w:t>.</w:t>
      </w:r>
    </w:p>
    <w:p w14:paraId="29512A6D" w14:textId="121B4562" w:rsidR="21FA6B9B" w:rsidRDefault="21FA6B9B" w:rsidP="58CA9716">
      <w:pPr>
        <w:pStyle w:val="ListParagraph"/>
        <w:spacing w:before="240" w:after="81"/>
        <w:ind w:left="680"/>
        <w:jc w:val="both"/>
        <w:rPr>
          <w:rFonts w:eastAsia="Foundry Form Sans" w:cs="Foundry Form Sans"/>
          <w:color w:val="000000" w:themeColor="text1"/>
        </w:rPr>
      </w:pPr>
    </w:p>
    <w:p w14:paraId="65BE2BCE" w14:textId="77777777" w:rsidR="00971EFB" w:rsidRDefault="3AF6414D" w:rsidP="003B6A3E">
      <w:pPr>
        <w:pStyle w:val="ListParagraph"/>
        <w:numPr>
          <w:ilvl w:val="0"/>
          <w:numId w:val="39"/>
        </w:numPr>
        <w:spacing w:before="240" w:after="81"/>
        <w:jc w:val="both"/>
        <w:rPr>
          <w:rFonts w:eastAsia="Foundry Form Sans" w:cs="Foundry Form Sans"/>
          <w:color w:val="000000" w:themeColor="text1"/>
        </w:rPr>
      </w:pPr>
      <w:r w:rsidRPr="58CA9716">
        <w:rPr>
          <w:rFonts w:eastAsia="Foundry Form Sans" w:cs="Foundry Form Sans"/>
          <w:color w:val="000000" w:themeColor="text1"/>
        </w:rPr>
        <w:t>OP</w:t>
      </w:r>
      <w:r w:rsidR="2619DBF1" w:rsidRPr="58CA9716">
        <w:rPr>
          <w:rFonts w:eastAsia="Foundry Form Sans" w:cs="Foundry Form Sans"/>
          <w:color w:val="000000" w:themeColor="text1"/>
        </w:rPr>
        <w:t>DC’s Executive Management Team receive regular updates on capital budgets</w:t>
      </w:r>
      <w:r w:rsidR="00E77A23">
        <w:rPr>
          <w:rFonts w:eastAsia="Foundry Form Sans" w:cs="Foundry Form Sans"/>
          <w:color w:val="000000" w:themeColor="text1"/>
        </w:rPr>
        <w:t xml:space="preserve"> and more formally through </w:t>
      </w:r>
      <w:r w:rsidR="007C6268">
        <w:rPr>
          <w:rFonts w:eastAsia="Foundry Form Sans" w:cs="Foundry Form Sans"/>
          <w:color w:val="000000" w:themeColor="text1"/>
        </w:rPr>
        <w:t xml:space="preserve">our quarterly performance report </w:t>
      </w:r>
      <w:r w:rsidR="009B0799">
        <w:rPr>
          <w:rFonts w:eastAsia="Foundry Form Sans" w:cs="Foundry Form Sans"/>
          <w:color w:val="000000" w:themeColor="text1"/>
        </w:rPr>
        <w:t>that</w:t>
      </w:r>
      <w:r w:rsidR="00B23912">
        <w:rPr>
          <w:rFonts w:eastAsia="Foundry Form Sans" w:cs="Foundry Form Sans"/>
          <w:color w:val="000000" w:themeColor="text1"/>
        </w:rPr>
        <w:t xml:space="preserve"> goes through a </w:t>
      </w:r>
      <w:r w:rsidR="00624149">
        <w:rPr>
          <w:rFonts w:eastAsia="Foundry Form Sans" w:cs="Foundry Form Sans"/>
          <w:color w:val="000000" w:themeColor="text1"/>
        </w:rPr>
        <w:t>vigorous review and challenge process with the CEO</w:t>
      </w:r>
      <w:r w:rsidR="00C73714">
        <w:rPr>
          <w:rFonts w:eastAsia="Foundry Form Sans" w:cs="Foundry Form Sans"/>
          <w:color w:val="000000" w:themeColor="text1"/>
        </w:rPr>
        <w:t xml:space="preserve"> and CFO</w:t>
      </w:r>
      <w:r w:rsidR="00AB5055">
        <w:rPr>
          <w:rFonts w:eastAsia="Foundry Form Sans" w:cs="Foundry Form Sans"/>
          <w:color w:val="000000" w:themeColor="text1"/>
        </w:rPr>
        <w:t xml:space="preserve">. This </w:t>
      </w:r>
      <w:r w:rsidR="00C27F6D">
        <w:rPr>
          <w:rFonts w:eastAsia="Foundry Form Sans" w:cs="Foundry Form Sans"/>
          <w:color w:val="000000" w:themeColor="text1"/>
        </w:rPr>
        <w:t>q</w:t>
      </w:r>
      <w:r w:rsidR="00227BCF">
        <w:rPr>
          <w:rFonts w:eastAsia="Foundry Form Sans" w:cs="Foundry Form Sans"/>
          <w:color w:val="000000" w:themeColor="text1"/>
        </w:rPr>
        <w:t xml:space="preserve">uarterly report is </w:t>
      </w:r>
      <w:r w:rsidR="006809AC">
        <w:rPr>
          <w:rFonts w:eastAsia="Foundry Form Sans" w:cs="Foundry Form Sans"/>
          <w:color w:val="000000" w:themeColor="text1"/>
        </w:rPr>
        <w:t xml:space="preserve">used by the GLA to hold us to account and </w:t>
      </w:r>
      <w:r w:rsidR="001171C3">
        <w:rPr>
          <w:rFonts w:eastAsia="Foundry Form Sans" w:cs="Foundry Form Sans"/>
          <w:color w:val="000000" w:themeColor="text1"/>
        </w:rPr>
        <w:t>shared with the London Assembly.</w:t>
      </w:r>
    </w:p>
    <w:p w14:paraId="4BA36786" w14:textId="77777777" w:rsidR="00971EFB" w:rsidRPr="00971EFB" w:rsidRDefault="00971EFB" w:rsidP="00971EFB">
      <w:pPr>
        <w:pStyle w:val="ListParagraph"/>
        <w:rPr>
          <w:rFonts w:eastAsia="Foundry Form Sans" w:cs="Foundry Form Sans"/>
          <w:color w:val="000000" w:themeColor="text1"/>
        </w:rPr>
      </w:pPr>
    </w:p>
    <w:p w14:paraId="157557BF" w14:textId="5CF009E4" w:rsidR="21FA6B9B" w:rsidRPr="00250FE7" w:rsidRDefault="2619DBF1" w:rsidP="003B6A3E">
      <w:pPr>
        <w:pStyle w:val="ListParagraph"/>
        <w:numPr>
          <w:ilvl w:val="0"/>
          <w:numId w:val="39"/>
        </w:numPr>
        <w:spacing w:before="240" w:after="81"/>
        <w:jc w:val="both"/>
        <w:rPr>
          <w:rFonts w:eastAsia="Foundry Form Sans" w:cs="Foundry Form Sans"/>
          <w:color w:val="000000" w:themeColor="text1"/>
        </w:rPr>
      </w:pPr>
      <w:r w:rsidRPr="00250FE7">
        <w:rPr>
          <w:rFonts w:eastAsia="Foundry Form Sans" w:cs="Foundry Form Sans"/>
          <w:color w:val="000000" w:themeColor="text1"/>
        </w:rPr>
        <w:t xml:space="preserve">There is also regular reporting on </w:t>
      </w:r>
      <w:r w:rsidR="1CA5E377" w:rsidRPr="00250FE7">
        <w:rPr>
          <w:rFonts w:eastAsia="Foundry Form Sans" w:cs="Foundry Form Sans"/>
          <w:color w:val="000000" w:themeColor="text1"/>
        </w:rPr>
        <w:t>the comprehensive scheme</w:t>
      </w:r>
      <w:r w:rsidRPr="00250FE7">
        <w:rPr>
          <w:rFonts w:eastAsia="Foundry Form Sans" w:cs="Foundry Form Sans"/>
          <w:color w:val="000000" w:themeColor="text1"/>
        </w:rPr>
        <w:t>, both to the Executive Management Team</w:t>
      </w:r>
      <w:r w:rsidR="00AF2B4B">
        <w:rPr>
          <w:rFonts w:eastAsia="Foundry Form Sans" w:cs="Foundry Form Sans"/>
          <w:color w:val="000000" w:themeColor="text1"/>
        </w:rPr>
        <w:t xml:space="preserve">, </w:t>
      </w:r>
      <w:r w:rsidR="36A66E49" w:rsidRPr="00250FE7">
        <w:rPr>
          <w:rFonts w:eastAsia="Foundry Form Sans" w:cs="Foundry Form Sans"/>
          <w:color w:val="000000" w:themeColor="text1"/>
        </w:rPr>
        <w:t>OPD</w:t>
      </w:r>
      <w:r w:rsidRPr="00250FE7">
        <w:rPr>
          <w:rFonts w:eastAsia="Foundry Form Sans" w:cs="Foundry Form Sans"/>
          <w:color w:val="000000" w:themeColor="text1"/>
        </w:rPr>
        <w:t>C Board</w:t>
      </w:r>
      <w:r w:rsidR="00AF2B4B">
        <w:rPr>
          <w:rFonts w:eastAsia="Foundry Form Sans" w:cs="Foundry Form Sans"/>
          <w:color w:val="000000" w:themeColor="text1"/>
        </w:rPr>
        <w:t xml:space="preserve"> and the GLA, </w:t>
      </w:r>
      <w:r w:rsidR="00FF3151">
        <w:rPr>
          <w:rFonts w:eastAsia="Foundry Form Sans" w:cs="Foundry Form Sans"/>
          <w:color w:val="000000" w:themeColor="text1"/>
        </w:rPr>
        <w:t xml:space="preserve">giving the opportunity to </w:t>
      </w:r>
      <w:r w:rsidR="00250FE7" w:rsidRPr="00250FE7">
        <w:rPr>
          <w:rFonts w:eastAsia="Foundry Form Sans" w:cs="Foundry Form Sans"/>
          <w:color w:val="000000" w:themeColor="text1"/>
        </w:rPr>
        <w:t>review and challenge the delivery of the scheme and any changes to both the timing and value of the Capital Investment Plan</w:t>
      </w:r>
      <w:r w:rsidR="00FF3151">
        <w:rPr>
          <w:rFonts w:eastAsia="Foundry Form Sans" w:cs="Foundry Form Sans"/>
          <w:color w:val="000000" w:themeColor="text1"/>
        </w:rPr>
        <w:t>.</w:t>
      </w:r>
    </w:p>
    <w:p w14:paraId="2CCEE2A1" w14:textId="59AEE16E" w:rsidR="2619DBF1" w:rsidRDefault="2619DBF1" w:rsidP="16A89082">
      <w:pPr>
        <w:shd w:val="clear" w:color="auto" w:fill="FFFFFF" w:themeFill="background1"/>
        <w:jc w:val="both"/>
        <w:rPr>
          <w:rFonts w:eastAsia="Foundry Form Sans" w:cs="Foundry Form Sans"/>
          <w:color w:val="000000" w:themeColor="text1"/>
        </w:rPr>
      </w:pPr>
      <w:r w:rsidRPr="16A89082">
        <w:rPr>
          <w:rFonts w:eastAsia="Foundry Form Sans" w:cs="Foundry Form Sans"/>
          <w:color w:val="000000" w:themeColor="text1"/>
        </w:rPr>
        <w:t xml:space="preserve"> </w:t>
      </w:r>
    </w:p>
    <w:p w14:paraId="52B9C9A2" w14:textId="3738C356" w:rsidR="2619DBF1" w:rsidRDefault="2619DBF1" w:rsidP="00F41D5B">
      <w:pPr>
        <w:shd w:val="clear" w:color="auto" w:fill="FFFFFF" w:themeFill="background1"/>
        <w:ind w:left="680"/>
        <w:jc w:val="both"/>
        <w:rPr>
          <w:rFonts w:eastAsia="Foundry Form Sans" w:cs="Foundry Form Sans"/>
          <w:i/>
          <w:iCs/>
          <w:color w:val="000000" w:themeColor="text1"/>
        </w:rPr>
      </w:pPr>
      <w:r w:rsidRPr="16A89082">
        <w:rPr>
          <w:rFonts w:eastAsia="Foundry Form Sans" w:cs="Foundry Form Sans"/>
          <w:i/>
          <w:iCs/>
          <w:color w:val="000000" w:themeColor="text1"/>
        </w:rPr>
        <w:t>Affordability</w:t>
      </w:r>
    </w:p>
    <w:p w14:paraId="6536A9AC" w14:textId="77777777" w:rsidR="00F41D5B" w:rsidRDefault="00F41D5B" w:rsidP="00F41D5B">
      <w:pPr>
        <w:shd w:val="clear" w:color="auto" w:fill="FFFFFF" w:themeFill="background1"/>
        <w:ind w:left="680"/>
        <w:jc w:val="both"/>
        <w:rPr>
          <w:rFonts w:eastAsia="Foundry Form Sans" w:cs="Foundry Form Sans"/>
          <w:i/>
          <w:iCs/>
          <w:color w:val="000000" w:themeColor="text1"/>
        </w:rPr>
      </w:pPr>
    </w:p>
    <w:p w14:paraId="29DE5EDE" w14:textId="4DA87CA0" w:rsidR="2619DBF1" w:rsidRDefault="2619DBF1" w:rsidP="003B6A3E">
      <w:pPr>
        <w:pStyle w:val="ListParagraph"/>
        <w:numPr>
          <w:ilvl w:val="0"/>
          <w:numId w:val="39"/>
        </w:numPr>
        <w:shd w:val="clear" w:color="auto" w:fill="FFFFFF" w:themeFill="background1"/>
        <w:spacing w:after="81"/>
        <w:jc w:val="both"/>
        <w:rPr>
          <w:rFonts w:eastAsia="Foundry Form Sans" w:cs="Foundry Form Sans"/>
          <w:color w:val="000000" w:themeColor="text1"/>
        </w:rPr>
      </w:pPr>
      <w:r w:rsidRPr="678D5708">
        <w:rPr>
          <w:rFonts w:eastAsia="Foundry Form Sans" w:cs="Foundry Form Sans"/>
          <w:color w:val="000000" w:themeColor="text1"/>
        </w:rPr>
        <w:t>Affordability is critical in applying the Capital Strategy and approving projects for inclusion in the Capital Investment Plan.</w:t>
      </w:r>
      <w:r w:rsidR="5DCEB0F2" w:rsidRPr="678D5708">
        <w:rPr>
          <w:rFonts w:eastAsia="Foundry Form Sans" w:cs="Foundry Form Sans"/>
          <w:color w:val="000000" w:themeColor="text1"/>
        </w:rPr>
        <w:t xml:space="preserve"> </w:t>
      </w:r>
      <w:r w:rsidR="3F435A26" w:rsidRPr="678D5708">
        <w:rPr>
          <w:rFonts w:eastAsia="Foundry Form Sans" w:cs="Foundry Form Sans"/>
          <w:color w:val="000000" w:themeColor="text1"/>
        </w:rPr>
        <w:t xml:space="preserve">The OBC, supported by the </w:t>
      </w:r>
      <w:r w:rsidR="7A8C3861" w:rsidRPr="6B2EED61">
        <w:rPr>
          <w:rFonts w:eastAsia="Foundry Form Sans" w:cs="Foundry Form Sans"/>
          <w:color w:val="000000" w:themeColor="text1"/>
        </w:rPr>
        <w:t>l</w:t>
      </w:r>
      <w:r w:rsidR="3F435A26" w:rsidRPr="6B2EED61">
        <w:rPr>
          <w:rFonts w:eastAsia="Foundry Form Sans" w:cs="Foundry Form Sans"/>
          <w:color w:val="000000" w:themeColor="text1"/>
        </w:rPr>
        <w:t>ong</w:t>
      </w:r>
      <w:r w:rsidR="3F435A26" w:rsidRPr="678D5708">
        <w:rPr>
          <w:rFonts w:eastAsia="Foundry Form Sans" w:cs="Foundry Form Sans"/>
          <w:color w:val="000000" w:themeColor="text1"/>
        </w:rPr>
        <w:t>-</w:t>
      </w:r>
      <w:r w:rsidR="32B3CCA9" w:rsidRPr="09173A71">
        <w:rPr>
          <w:rFonts w:eastAsia="Foundry Form Sans" w:cs="Foundry Form Sans"/>
          <w:color w:val="000000" w:themeColor="text1"/>
        </w:rPr>
        <w:t>t</w:t>
      </w:r>
      <w:r w:rsidR="3F435A26" w:rsidRPr="09173A71">
        <w:rPr>
          <w:rFonts w:eastAsia="Foundry Form Sans" w:cs="Foundry Form Sans"/>
          <w:color w:val="000000" w:themeColor="text1"/>
        </w:rPr>
        <w:t>erm</w:t>
      </w:r>
      <w:r w:rsidR="3F435A26" w:rsidRPr="678D5708">
        <w:rPr>
          <w:rFonts w:eastAsia="Foundry Form Sans" w:cs="Foundry Form Sans"/>
          <w:color w:val="000000" w:themeColor="text1"/>
        </w:rPr>
        <w:t xml:space="preserve"> </w:t>
      </w:r>
      <w:r w:rsidR="33F2DE2D" w:rsidRPr="3D2095A1">
        <w:rPr>
          <w:rFonts w:eastAsia="Foundry Form Sans" w:cs="Foundry Form Sans"/>
          <w:color w:val="000000" w:themeColor="text1"/>
        </w:rPr>
        <w:t>m</w:t>
      </w:r>
      <w:r w:rsidR="3F435A26" w:rsidRPr="3D2095A1">
        <w:rPr>
          <w:rFonts w:eastAsia="Foundry Form Sans" w:cs="Foundry Form Sans"/>
          <w:color w:val="000000" w:themeColor="text1"/>
        </w:rPr>
        <w:t>odel</w:t>
      </w:r>
      <w:r w:rsidR="3F435A26" w:rsidRPr="678D5708">
        <w:rPr>
          <w:rFonts w:eastAsia="Foundry Form Sans" w:cs="Foundry Form Sans"/>
          <w:color w:val="000000" w:themeColor="text1"/>
        </w:rPr>
        <w:t>, prove</w:t>
      </w:r>
      <w:r w:rsidR="00130347">
        <w:rPr>
          <w:rFonts w:eastAsia="Foundry Form Sans" w:cs="Foundry Form Sans"/>
          <w:color w:val="000000" w:themeColor="text1"/>
        </w:rPr>
        <w:t>s</w:t>
      </w:r>
      <w:r w:rsidR="3F435A26" w:rsidRPr="678D5708">
        <w:rPr>
          <w:rFonts w:eastAsia="Foundry Form Sans" w:cs="Foundry Form Sans"/>
          <w:color w:val="000000" w:themeColor="text1"/>
        </w:rPr>
        <w:t xml:space="preserve"> the viability of the comprehensive scheme, showing that that the income receipts would repay any expenditure</w:t>
      </w:r>
      <w:r w:rsidR="00833D90">
        <w:rPr>
          <w:rFonts w:eastAsia="Foundry Form Sans" w:cs="Foundry Form Sans"/>
          <w:color w:val="000000" w:themeColor="text1"/>
        </w:rPr>
        <w:t xml:space="preserve"> funded through the </w:t>
      </w:r>
      <w:r w:rsidR="00F04F9B">
        <w:rPr>
          <w:rFonts w:eastAsia="Foundry Form Sans" w:cs="Foundry Form Sans"/>
          <w:color w:val="000000" w:themeColor="text1"/>
        </w:rPr>
        <w:t>borrowing.</w:t>
      </w:r>
    </w:p>
    <w:p w14:paraId="298834AD" w14:textId="1ACBD293" w:rsidR="2619DBF1" w:rsidRDefault="2619DBF1" w:rsidP="678D5708">
      <w:pPr>
        <w:shd w:val="clear" w:color="auto" w:fill="FFFFFF" w:themeFill="background1"/>
        <w:jc w:val="both"/>
        <w:rPr>
          <w:rFonts w:eastAsia="Foundry Form Sans" w:cs="Foundry Form Sans"/>
          <w:i/>
          <w:iCs/>
          <w:color w:val="000000" w:themeColor="text1"/>
        </w:rPr>
      </w:pPr>
    </w:p>
    <w:p w14:paraId="45A9A2DF" w14:textId="6CCE09CB" w:rsidR="2619DBF1" w:rsidRDefault="516323A5" w:rsidP="00E72D18">
      <w:pPr>
        <w:shd w:val="clear" w:color="auto" w:fill="FFFFFF" w:themeFill="background1"/>
        <w:ind w:left="680"/>
        <w:jc w:val="both"/>
        <w:rPr>
          <w:rFonts w:eastAsia="Foundry Form Sans" w:cs="Foundry Form Sans"/>
          <w:i/>
          <w:iCs/>
          <w:color w:val="000000" w:themeColor="text1"/>
        </w:rPr>
      </w:pPr>
      <w:r w:rsidRPr="678D5708">
        <w:rPr>
          <w:rFonts w:eastAsia="Foundry Form Sans" w:cs="Foundry Form Sans"/>
          <w:i/>
          <w:iCs/>
          <w:color w:val="000000" w:themeColor="text1"/>
        </w:rPr>
        <w:t>Ris</w:t>
      </w:r>
      <w:r w:rsidR="232D4F7A" w:rsidRPr="678D5708">
        <w:rPr>
          <w:rFonts w:eastAsia="Foundry Form Sans" w:cs="Foundry Form Sans"/>
          <w:i/>
          <w:iCs/>
          <w:color w:val="000000" w:themeColor="text1"/>
        </w:rPr>
        <w:t>ks</w:t>
      </w:r>
    </w:p>
    <w:p w14:paraId="03A25CD2" w14:textId="658BA5AD" w:rsidR="00893052" w:rsidRPr="00CC1CFD" w:rsidRDefault="1FD05941">
      <w:pPr>
        <w:pStyle w:val="ListParagraph"/>
        <w:numPr>
          <w:ilvl w:val="0"/>
          <w:numId w:val="39"/>
        </w:numPr>
        <w:spacing w:before="240" w:after="81"/>
        <w:jc w:val="both"/>
        <w:rPr>
          <w:rFonts w:eastAsia="Foundry Form Sans" w:cs="Foundry Form Sans"/>
          <w:color w:val="000000" w:themeColor="text1"/>
        </w:rPr>
      </w:pPr>
      <w:r w:rsidRPr="00CC1CFD">
        <w:rPr>
          <w:rFonts w:eastAsiaTheme="minorEastAsia" w:cs="Foundry Form Sans"/>
          <w:color w:val="000000" w:themeColor="text1"/>
        </w:rPr>
        <w:t xml:space="preserve">OPDC continue to </w:t>
      </w:r>
      <w:r w:rsidR="228875D2" w:rsidRPr="00CC1CFD">
        <w:rPr>
          <w:rFonts w:eastAsiaTheme="minorEastAsia" w:cs="Foundry Form Sans"/>
          <w:color w:val="000000" w:themeColor="text1"/>
        </w:rPr>
        <w:t>consider</w:t>
      </w:r>
      <w:r w:rsidRPr="00CC1CFD">
        <w:rPr>
          <w:rFonts w:eastAsiaTheme="minorEastAsia" w:cs="Foundry Form Sans"/>
          <w:color w:val="000000" w:themeColor="text1"/>
        </w:rPr>
        <w:t xml:space="preserve"> risks </w:t>
      </w:r>
      <w:r w:rsidR="7040FCB7" w:rsidRPr="00CC1CFD">
        <w:rPr>
          <w:rFonts w:eastAsiaTheme="minorEastAsia" w:cs="Foundry Form Sans"/>
          <w:color w:val="000000" w:themeColor="text1"/>
        </w:rPr>
        <w:t xml:space="preserve">of the programme </w:t>
      </w:r>
      <w:r w:rsidRPr="00CC1CFD">
        <w:rPr>
          <w:rFonts w:eastAsiaTheme="minorEastAsia" w:cs="Foundry Form Sans"/>
          <w:color w:val="000000" w:themeColor="text1"/>
        </w:rPr>
        <w:t xml:space="preserve">as part of its </w:t>
      </w:r>
      <w:r w:rsidR="20949942" w:rsidRPr="00CC1CFD">
        <w:rPr>
          <w:rFonts w:eastAsiaTheme="minorEastAsia" w:cs="Foundry Form Sans"/>
          <w:color w:val="000000" w:themeColor="text1"/>
        </w:rPr>
        <w:t>governance processes</w:t>
      </w:r>
      <w:r w:rsidRPr="00CC1CFD">
        <w:rPr>
          <w:rFonts w:eastAsiaTheme="minorEastAsia" w:cs="Foundry Form Sans"/>
          <w:color w:val="000000" w:themeColor="text1"/>
        </w:rPr>
        <w:t xml:space="preserve">. </w:t>
      </w:r>
      <w:r w:rsidR="4DB04E5F" w:rsidRPr="00CC1CFD">
        <w:rPr>
          <w:rFonts w:eastAsiaTheme="minorEastAsia" w:cs="Foundry Form Sans"/>
          <w:color w:val="000000" w:themeColor="text1"/>
        </w:rPr>
        <w:t>Potential risks to the programme include</w:t>
      </w:r>
      <w:r w:rsidR="00893052" w:rsidRPr="00CC1CFD">
        <w:rPr>
          <w:rFonts w:eastAsiaTheme="minorEastAsia" w:cs="Foundry Form Sans"/>
          <w:color w:val="000000" w:themeColor="text1"/>
        </w:rPr>
        <w:t>:</w:t>
      </w:r>
    </w:p>
    <w:p w14:paraId="4B89B55E" w14:textId="780BF278" w:rsidR="00C06B14" w:rsidRPr="00C06B14" w:rsidRDefault="4DB04E5F" w:rsidP="003B6A3E">
      <w:pPr>
        <w:pStyle w:val="ListParagraph"/>
        <w:numPr>
          <w:ilvl w:val="0"/>
          <w:numId w:val="49"/>
        </w:numPr>
        <w:spacing w:before="240" w:after="81"/>
        <w:jc w:val="both"/>
        <w:rPr>
          <w:rFonts w:eastAsia="Foundry Form Sans" w:cs="Foundry Form Sans"/>
          <w:color w:val="000000" w:themeColor="text1"/>
        </w:rPr>
      </w:pPr>
      <w:r w:rsidRPr="23D8A931">
        <w:rPr>
          <w:rFonts w:eastAsiaTheme="minorEastAsia" w:cs="Foundry Form Sans"/>
          <w:color w:val="000000" w:themeColor="text1"/>
        </w:rPr>
        <w:t xml:space="preserve">a loss or reduction in political support from central </w:t>
      </w:r>
      <w:r w:rsidRPr="23D8A931" w:rsidDel="00E62972">
        <w:rPr>
          <w:rFonts w:eastAsiaTheme="minorEastAsia" w:cs="Foundry Form Sans"/>
          <w:color w:val="000000" w:themeColor="text1"/>
        </w:rPr>
        <w:t>government</w:t>
      </w:r>
    </w:p>
    <w:p w14:paraId="75842086" w14:textId="686E399C" w:rsidR="00C06B14" w:rsidRPr="00C06B14" w:rsidRDefault="296955A4" w:rsidP="003B6A3E">
      <w:pPr>
        <w:pStyle w:val="ListParagraph"/>
        <w:numPr>
          <w:ilvl w:val="0"/>
          <w:numId w:val="49"/>
        </w:numPr>
        <w:spacing w:before="240" w:after="81"/>
        <w:jc w:val="both"/>
        <w:rPr>
          <w:rFonts w:eastAsia="Foundry Form Sans" w:cs="Foundry Form Sans"/>
          <w:color w:val="000000" w:themeColor="text1"/>
        </w:rPr>
      </w:pPr>
      <w:r w:rsidRPr="36A56128">
        <w:rPr>
          <w:rFonts w:eastAsiaTheme="minorEastAsia" w:cs="Foundry Form Sans"/>
          <w:color w:val="000000" w:themeColor="text1"/>
        </w:rPr>
        <w:t>a</w:t>
      </w:r>
      <w:r w:rsidR="4DB04E5F" w:rsidRPr="23D8A931" w:rsidDel="00C06B14">
        <w:rPr>
          <w:rFonts w:eastAsiaTheme="minorEastAsia" w:cs="Foundry Form Sans"/>
          <w:color w:val="000000" w:themeColor="text1"/>
        </w:rPr>
        <w:t xml:space="preserve"> </w:t>
      </w:r>
      <w:r w:rsidR="4DB04E5F" w:rsidRPr="23D8A931">
        <w:rPr>
          <w:rFonts w:eastAsiaTheme="minorEastAsia" w:cs="Foundry Form Sans"/>
          <w:color w:val="000000" w:themeColor="text1"/>
        </w:rPr>
        <w:t>failure to secure land or funding</w:t>
      </w:r>
      <w:r w:rsidR="006E0E05">
        <w:rPr>
          <w:rFonts w:eastAsiaTheme="minorEastAsia" w:cs="Foundry Form Sans"/>
          <w:color w:val="000000" w:themeColor="text1"/>
        </w:rPr>
        <w:t xml:space="preserve"> necessary for deliv</w:t>
      </w:r>
      <w:r w:rsidR="00D00F58">
        <w:rPr>
          <w:rFonts w:eastAsiaTheme="minorEastAsia" w:cs="Foundry Form Sans"/>
          <w:color w:val="000000" w:themeColor="text1"/>
        </w:rPr>
        <w:t>ery</w:t>
      </w:r>
    </w:p>
    <w:p w14:paraId="7A46F958" w14:textId="77777777" w:rsidR="006B547C" w:rsidRPr="006B547C" w:rsidRDefault="006B547C" w:rsidP="003B6A3E">
      <w:pPr>
        <w:pStyle w:val="ListParagraph"/>
        <w:numPr>
          <w:ilvl w:val="0"/>
          <w:numId w:val="49"/>
        </w:numPr>
        <w:spacing w:before="240" w:after="81"/>
        <w:jc w:val="both"/>
        <w:rPr>
          <w:rFonts w:eastAsia="Foundry Form Sans" w:cs="Foundry Form Sans"/>
          <w:color w:val="000000" w:themeColor="text1"/>
        </w:rPr>
      </w:pPr>
      <w:r>
        <w:rPr>
          <w:rFonts w:eastAsiaTheme="minorEastAsia" w:cs="Foundry Form Sans"/>
          <w:color w:val="000000" w:themeColor="text1"/>
        </w:rPr>
        <w:t>a deterioration in economic conditions and adverse change to market sentiment</w:t>
      </w:r>
    </w:p>
    <w:p w14:paraId="2CA7DB6F" w14:textId="75D4C6B5" w:rsidR="00811D5C" w:rsidRPr="00811D5C" w:rsidRDefault="00811D5C" w:rsidP="003B6A3E">
      <w:pPr>
        <w:pStyle w:val="ListParagraph"/>
        <w:numPr>
          <w:ilvl w:val="0"/>
          <w:numId w:val="49"/>
        </w:numPr>
        <w:spacing w:before="240" w:after="81"/>
        <w:jc w:val="both"/>
        <w:rPr>
          <w:rFonts w:eastAsiaTheme="minorEastAsia" w:cs="Foundry Form Sans"/>
          <w:color w:val="000000" w:themeColor="text1"/>
        </w:rPr>
      </w:pPr>
      <w:r>
        <w:rPr>
          <w:rFonts w:eastAsiaTheme="minorEastAsia" w:cs="Foundry Form Sans"/>
          <w:color w:val="000000" w:themeColor="text1"/>
        </w:rPr>
        <w:t>challenges to public processes including procurement</w:t>
      </w:r>
      <w:r w:rsidR="4DB04E5F" w:rsidRPr="23D8A931">
        <w:rPr>
          <w:rFonts w:eastAsiaTheme="minorEastAsia" w:cs="Foundry Form Sans"/>
          <w:color w:val="000000" w:themeColor="text1"/>
        </w:rPr>
        <w:t>.</w:t>
      </w:r>
    </w:p>
    <w:p w14:paraId="66676767" w14:textId="77777777" w:rsidR="00811D5C" w:rsidRPr="00811D5C" w:rsidRDefault="00811D5C" w:rsidP="36A56128">
      <w:pPr>
        <w:pStyle w:val="ListParagraph"/>
        <w:spacing w:before="240" w:after="81"/>
        <w:ind w:left="1800"/>
        <w:jc w:val="both"/>
        <w:rPr>
          <w:rFonts w:eastAsia="Foundry Form Sans" w:cs="Foundry Form Sans"/>
          <w:color w:val="000000" w:themeColor="text1"/>
        </w:rPr>
      </w:pPr>
    </w:p>
    <w:p w14:paraId="03CBBB33" w14:textId="1AE294C4" w:rsidR="2619DBF1" w:rsidRDefault="4DB04E5F" w:rsidP="003B6A3E">
      <w:pPr>
        <w:pStyle w:val="ListParagraph"/>
        <w:numPr>
          <w:ilvl w:val="0"/>
          <w:numId w:val="39"/>
        </w:numPr>
        <w:spacing w:before="240" w:after="81"/>
        <w:jc w:val="both"/>
        <w:rPr>
          <w:rFonts w:eastAsia="Foundry Form Sans" w:cs="Foundry Form Sans"/>
          <w:color w:val="000000" w:themeColor="text1"/>
        </w:rPr>
      </w:pPr>
      <w:r w:rsidRPr="23D8A931">
        <w:rPr>
          <w:rFonts w:eastAsiaTheme="minorEastAsia" w:cs="Foundry Form Sans"/>
          <w:color w:val="000000" w:themeColor="text1"/>
        </w:rPr>
        <w:lastRenderedPageBreak/>
        <w:t>We continue to have regular communication and engagement with key stakeholders as we move forward</w:t>
      </w:r>
      <w:r w:rsidR="001D32C4" w:rsidRPr="23D8A931">
        <w:rPr>
          <w:rFonts w:eastAsiaTheme="minorEastAsia" w:cs="Foundry Form Sans"/>
          <w:color w:val="000000" w:themeColor="text1"/>
        </w:rPr>
        <w:t xml:space="preserve">, </w:t>
      </w:r>
      <w:r w:rsidR="00607635" w:rsidRPr="23D8A931">
        <w:rPr>
          <w:rFonts w:eastAsiaTheme="minorEastAsia" w:cs="Foundry Form Sans"/>
          <w:color w:val="000000" w:themeColor="text1"/>
        </w:rPr>
        <w:t>coll</w:t>
      </w:r>
      <w:r w:rsidR="001D32C4" w:rsidRPr="23D8A931">
        <w:rPr>
          <w:rFonts w:eastAsiaTheme="minorEastAsia" w:cs="Foundry Form Sans"/>
          <w:color w:val="000000" w:themeColor="text1"/>
        </w:rPr>
        <w:t>aborative</w:t>
      </w:r>
      <w:r w:rsidR="003B3066" w:rsidRPr="23D8A931">
        <w:rPr>
          <w:rFonts w:eastAsiaTheme="minorEastAsia" w:cs="Foundry Form Sans"/>
          <w:color w:val="000000" w:themeColor="text1"/>
        </w:rPr>
        <w:t xml:space="preserve"> forums and steering</w:t>
      </w:r>
      <w:r w:rsidRPr="23D8A931">
        <w:rPr>
          <w:rFonts w:eastAsiaTheme="minorEastAsia" w:cs="Foundry Form Sans"/>
          <w:color w:val="000000" w:themeColor="text1"/>
        </w:rPr>
        <w:t xml:space="preserve"> groups have been established to mitigate </w:t>
      </w:r>
      <w:r w:rsidR="1AD76C23" w:rsidRPr="6C0EE508">
        <w:rPr>
          <w:rFonts w:eastAsiaTheme="minorEastAsia" w:cs="Foundry Form Sans"/>
          <w:color w:val="000000" w:themeColor="text1"/>
        </w:rPr>
        <w:t>the</w:t>
      </w:r>
      <w:r w:rsidR="00811D5C">
        <w:rPr>
          <w:rFonts w:eastAsiaTheme="minorEastAsia" w:cs="Foundry Form Sans"/>
          <w:color w:val="000000" w:themeColor="text1"/>
        </w:rPr>
        <w:t xml:space="preserve"> above risks</w:t>
      </w:r>
      <w:r w:rsidR="00594C94">
        <w:rPr>
          <w:rFonts w:eastAsiaTheme="minorEastAsia" w:cs="Foundry Form Sans"/>
          <w:color w:val="000000" w:themeColor="text1"/>
        </w:rPr>
        <w:t xml:space="preserve"> where possible</w:t>
      </w:r>
      <w:r w:rsidRPr="23D8A931">
        <w:rPr>
          <w:rFonts w:eastAsiaTheme="minorEastAsia" w:cs="Foundry Form Sans"/>
          <w:color w:val="000000" w:themeColor="text1"/>
        </w:rPr>
        <w:t>.</w:t>
      </w:r>
    </w:p>
    <w:p w14:paraId="551CB913" w14:textId="39E06508" w:rsidR="2619DBF1" w:rsidRDefault="2619DBF1" w:rsidP="678D5708">
      <w:pPr>
        <w:pStyle w:val="ListParagraph"/>
        <w:spacing w:before="240" w:after="81"/>
        <w:ind w:left="680"/>
        <w:jc w:val="both"/>
        <w:rPr>
          <w:rFonts w:eastAsia="Foundry Form Sans" w:cs="Foundry Form Sans"/>
          <w:color w:val="000000" w:themeColor="text1"/>
        </w:rPr>
      </w:pPr>
    </w:p>
    <w:p w14:paraId="3ABD0310" w14:textId="669049C0" w:rsidR="2619DBF1" w:rsidRDefault="6E70C8C2" w:rsidP="003B6A3E">
      <w:pPr>
        <w:pStyle w:val="ListParagraph"/>
        <w:numPr>
          <w:ilvl w:val="0"/>
          <w:numId w:val="39"/>
        </w:numPr>
        <w:spacing w:before="240" w:after="81"/>
        <w:jc w:val="both"/>
        <w:rPr>
          <w:rFonts w:eastAsia="Foundry Form Sans" w:cs="Foundry Form Sans"/>
          <w:color w:val="000000" w:themeColor="text1"/>
        </w:rPr>
      </w:pPr>
      <w:r w:rsidRPr="23D8A931">
        <w:rPr>
          <w:rFonts w:eastAsia="Foundry Form Sans" w:cs="Foundry Form Sans"/>
          <w:color w:val="000000" w:themeColor="text1"/>
        </w:rPr>
        <w:t>In terms of management of finances and risks relating to this, b</w:t>
      </w:r>
      <w:r w:rsidR="516323A5" w:rsidRPr="23D8A931">
        <w:rPr>
          <w:rFonts w:eastAsia="Foundry Form Sans" w:cs="Foundry Form Sans"/>
          <w:color w:val="000000" w:themeColor="text1"/>
        </w:rPr>
        <w:t xml:space="preserve">orrowing limits are agreed with the GLA on an annual basis and </w:t>
      </w:r>
      <w:r w:rsidR="4B6F5F0F" w:rsidRPr="23D8A931">
        <w:rPr>
          <w:rFonts w:eastAsia="Foundry Form Sans" w:cs="Foundry Form Sans"/>
          <w:color w:val="000000" w:themeColor="text1"/>
        </w:rPr>
        <w:t>the progress of the compre</w:t>
      </w:r>
      <w:r w:rsidR="72F79FEF" w:rsidRPr="23D8A931">
        <w:rPr>
          <w:rFonts w:eastAsia="Foundry Form Sans" w:cs="Foundry Form Sans"/>
          <w:color w:val="000000" w:themeColor="text1"/>
        </w:rPr>
        <w:t>hens</w:t>
      </w:r>
      <w:r w:rsidR="4B6F5F0F" w:rsidRPr="23D8A931">
        <w:rPr>
          <w:rFonts w:eastAsia="Foundry Form Sans" w:cs="Foundry Form Sans"/>
          <w:color w:val="000000" w:themeColor="text1"/>
        </w:rPr>
        <w:t>ive</w:t>
      </w:r>
      <w:r w:rsidR="516323A5" w:rsidRPr="23D8A931">
        <w:rPr>
          <w:rFonts w:eastAsia="Foundry Form Sans" w:cs="Foundry Form Sans"/>
          <w:color w:val="000000" w:themeColor="text1"/>
        </w:rPr>
        <w:t xml:space="preserve"> </w:t>
      </w:r>
      <w:r w:rsidR="2A1987AD" w:rsidRPr="23D8A931">
        <w:rPr>
          <w:rFonts w:eastAsia="Foundry Form Sans" w:cs="Foundry Form Sans"/>
          <w:color w:val="000000" w:themeColor="text1"/>
        </w:rPr>
        <w:t xml:space="preserve">scheme </w:t>
      </w:r>
      <w:r w:rsidR="516323A5" w:rsidRPr="23D8A931">
        <w:rPr>
          <w:rFonts w:eastAsia="Foundry Form Sans" w:cs="Foundry Form Sans"/>
          <w:color w:val="000000" w:themeColor="text1"/>
        </w:rPr>
        <w:t xml:space="preserve">discussed </w:t>
      </w:r>
      <w:r w:rsidR="74D4AC46" w:rsidRPr="23D8A931">
        <w:rPr>
          <w:rFonts w:eastAsia="Foundry Form Sans" w:cs="Foundry Form Sans"/>
          <w:color w:val="000000" w:themeColor="text1"/>
        </w:rPr>
        <w:t>regularly</w:t>
      </w:r>
      <w:r w:rsidR="516323A5" w:rsidRPr="23D8A931">
        <w:rPr>
          <w:rFonts w:eastAsia="Foundry Form Sans" w:cs="Foundry Form Sans"/>
          <w:color w:val="000000" w:themeColor="text1"/>
        </w:rPr>
        <w:t>.</w:t>
      </w:r>
    </w:p>
    <w:p w14:paraId="12B569D2" w14:textId="25C98F19" w:rsidR="0064305B" w:rsidRPr="0064305B" w:rsidRDefault="62226F27" w:rsidP="36A56128">
      <w:pPr>
        <w:shd w:val="clear" w:color="auto" w:fill="FFFFFF" w:themeFill="background1"/>
        <w:jc w:val="both"/>
        <w:rPr>
          <w:rFonts w:eastAsia="Foundry Form Sans" w:cs="Foundry Form Sans"/>
          <w:color w:val="242424"/>
        </w:rPr>
      </w:pPr>
      <w:r w:rsidRPr="18307BDE">
        <w:rPr>
          <w:rFonts w:eastAsia="Foundry Form Sans" w:cs="Foundry Form Sans"/>
          <w:color w:val="242424"/>
        </w:rPr>
        <w:t xml:space="preserve"> </w:t>
      </w:r>
    </w:p>
    <w:sectPr w:rsidR="0064305B" w:rsidRPr="0064305B" w:rsidSect="002B12E4">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F70CA" w14:textId="77777777" w:rsidR="0069215F" w:rsidRDefault="0069215F" w:rsidP="006F25AE">
      <w:r>
        <w:separator/>
      </w:r>
    </w:p>
  </w:endnote>
  <w:endnote w:type="continuationSeparator" w:id="0">
    <w:p w14:paraId="57505130" w14:textId="77777777" w:rsidR="0069215F" w:rsidRDefault="0069215F" w:rsidP="006F25AE">
      <w:r>
        <w:continuationSeparator/>
      </w:r>
    </w:p>
  </w:endnote>
  <w:endnote w:type="continuationNotice" w:id="1">
    <w:p w14:paraId="36B26CE0" w14:textId="77777777" w:rsidR="0069215F" w:rsidRDefault="00692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276979"/>
      <w:docPartObj>
        <w:docPartGallery w:val="Page Numbers (Bottom of Page)"/>
        <w:docPartUnique/>
      </w:docPartObj>
    </w:sdtPr>
    <w:sdtEndPr>
      <w:rPr>
        <w:noProof/>
      </w:rPr>
    </w:sdtEndPr>
    <w:sdtContent>
      <w:p w14:paraId="2DA3DB5C" w14:textId="55F37265" w:rsidR="00A62682" w:rsidRDefault="00A626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BEC52" w14:textId="77777777" w:rsidR="00A62682" w:rsidRDefault="00A6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3C197" w14:textId="77777777" w:rsidR="0069215F" w:rsidRDefault="0069215F" w:rsidP="006F25AE">
      <w:r>
        <w:separator/>
      </w:r>
    </w:p>
  </w:footnote>
  <w:footnote w:type="continuationSeparator" w:id="0">
    <w:p w14:paraId="1D05E75D" w14:textId="77777777" w:rsidR="0069215F" w:rsidRDefault="0069215F" w:rsidP="006F25AE">
      <w:r>
        <w:continuationSeparator/>
      </w:r>
    </w:p>
  </w:footnote>
  <w:footnote w:type="continuationNotice" w:id="1">
    <w:p w14:paraId="6676CE42" w14:textId="77777777" w:rsidR="0069215F" w:rsidRDefault="00692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84B7" w14:textId="77777777" w:rsidR="007B0B9E" w:rsidRDefault="007B0B9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yLldloA" int2:invalidationBookmarkName="" int2:hashCode="NfDcYVqFMqUUCi" int2:id="AcHR4FHI">
      <int2:state int2:value="Rejected" int2:type="AugLoop_Text_Critique"/>
    </int2:bookmark>
    <int2:bookmark int2:bookmarkName="_Int_OWvqsrL0" int2:invalidationBookmarkName="" int2:hashCode="luqJBFCn+my2v+" int2:id="lstKbV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24789"/>
    <w:multiLevelType w:val="hybridMultilevel"/>
    <w:tmpl w:val="3AECDD92"/>
    <w:lvl w:ilvl="0" w:tplc="F0D23580">
      <w:start w:val="1"/>
      <w:numFmt w:val="decimal"/>
      <w:lvlText w:val="8.%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84172"/>
    <w:multiLevelType w:val="hybridMultilevel"/>
    <w:tmpl w:val="D4F675DA"/>
    <w:lvl w:ilvl="0" w:tplc="D794FC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1B6656"/>
    <w:multiLevelType w:val="hybridMultilevel"/>
    <w:tmpl w:val="A258A0B4"/>
    <w:lvl w:ilvl="0" w:tplc="390AAF78">
      <w:start w:val="1"/>
      <w:numFmt w:val="decimal"/>
      <w:lvlText w:val="1.%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C939B0"/>
    <w:multiLevelType w:val="hybridMultilevel"/>
    <w:tmpl w:val="A374412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AFA5C9E"/>
    <w:multiLevelType w:val="hybridMultilevel"/>
    <w:tmpl w:val="D186AC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BED37C0"/>
    <w:multiLevelType w:val="hybridMultilevel"/>
    <w:tmpl w:val="E190F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3F70C9"/>
    <w:multiLevelType w:val="hybridMultilevel"/>
    <w:tmpl w:val="960A9D50"/>
    <w:lvl w:ilvl="0" w:tplc="08090005">
      <w:start w:val="1"/>
      <w:numFmt w:val="bullet"/>
      <w:lvlText w:val=""/>
      <w:lvlJc w:val="left"/>
      <w:pPr>
        <w:ind w:left="1040" w:hanging="360"/>
      </w:pPr>
      <w:rPr>
        <w:rFonts w:ascii="Wingdings" w:hAnsi="Wingdings" w:hint="default"/>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7" w15:restartNumberingAfterBreak="0">
    <w:nsid w:val="10A42609"/>
    <w:multiLevelType w:val="hybridMultilevel"/>
    <w:tmpl w:val="695EA93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58C7CE"/>
    <w:multiLevelType w:val="hybridMultilevel"/>
    <w:tmpl w:val="FFFFFFFF"/>
    <w:lvl w:ilvl="0" w:tplc="3D0411BA">
      <w:start w:val="1"/>
      <w:numFmt w:val="bullet"/>
      <w:lvlText w:val=""/>
      <w:lvlJc w:val="left"/>
      <w:pPr>
        <w:ind w:left="400" w:hanging="360"/>
      </w:pPr>
      <w:rPr>
        <w:rFonts w:ascii="Wingdings" w:hAnsi="Wingdings" w:hint="default"/>
      </w:rPr>
    </w:lvl>
    <w:lvl w:ilvl="1" w:tplc="8AB0281C">
      <w:start w:val="1"/>
      <w:numFmt w:val="bullet"/>
      <w:lvlText w:val="o"/>
      <w:lvlJc w:val="left"/>
      <w:pPr>
        <w:ind w:left="1120" w:hanging="360"/>
      </w:pPr>
      <w:rPr>
        <w:rFonts w:ascii="Courier New" w:hAnsi="Courier New" w:hint="default"/>
      </w:rPr>
    </w:lvl>
    <w:lvl w:ilvl="2" w:tplc="1F9AB4F6">
      <w:start w:val="1"/>
      <w:numFmt w:val="bullet"/>
      <w:lvlText w:val=""/>
      <w:lvlJc w:val="left"/>
      <w:pPr>
        <w:ind w:left="1840" w:hanging="360"/>
      </w:pPr>
      <w:rPr>
        <w:rFonts w:ascii="Wingdings" w:hAnsi="Wingdings" w:hint="default"/>
      </w:rPr>
    </w:lvl>
    <w:lvl w:ilvl="3" w:tplc="CE8ED3B2">
      <w:start w:val="1"/>
      <w:numFmt w:val="bullet"/>
      <w:lvlText w:val=""/>
      <w:lvlJc w:val="left"/>
      <w:pPr>
        <w:ind w:left="2560" w:hanging="360"/>
      </w:pPr>
      <w:rPr>
        <w:rFonts w:ascii="Symbol" w:hAnsi="Symbol" w:hint="default"/>
      </w:rPr>
    </w:lvl>
    <w:lvl w:ilvl="4" w:tplc="EE84FD3A">
      <w:start w:val="1"/>
      <w:numFmt w:val="bullet"/>
      <w:lvlText w:val="o"/>
      <w:lvlJc w:val="left"/>
      <w:pPr>
        <w:ind w:left="3280" w:hanging="360"/>
      </w:pPr>
      <w:rPr>
        <w:rFonts w:ascii="Courier New" w:hAnsi="Courier New" w:hint="default"/>
      </w:rPr>
    </w:lvl>
    <w:lvl w:ilvl="5" w:tplc="23E8CA9E">
      <w:start w:val="1"/>
      <w:numFmt w:val="bullet"/>
      <w:lvlText w:val=""/>
      <w:lvlJc w:val="left"/>
      <w:pPr>
        <w:ind w:left="4000" w:hanging="360"/>
      </w:pPr>
      <w:rPr>
        <w:rFonts w:ascii="Wingdings" w:hAnsi="Wingdings" w:hint="default"/>
      </w:rPr>
    </w:lvl>
    <w:lvl w:ilvl="6" w:tplc="AB58ED28">
      <w:start w:val="1"/>
      <w:numFmt w:val="bullet"/>
      <w:lvlText w:val=""/>
      <w:lvlJc w:val="left"/>
      <w:pPr>
        <w:ind w:left="4720" w:hanging="360"/>
      </w:pPr>
      <w:rPr>
        <w:rFonts w:ascii="Symbol" w:hAnsi="Symbol" w:hint="default"/>
      </w:rPr>
    </w:lvl>
    <w:lvl w:ilvl="7" w:tplc="D95A10AC">
      <w:start w:val="1"/>
      <w:numFmt w:val="bullet"/>
      <w:lvlText w:val="o"/>
      <w:lvlJc w:val="left"/>
      <w:pPr>
        <w:ind w:left="5440" w:hanging="360"/>
      </w:pPr>
      <w:rPr>
        <w:rFonts w:ascii="Courier New" w:hAnsi="Courier New" w:hint="default"/>
      </w:rPr>
    </w:lvl>
    <w:lvl w:ilvl="8" w:tplc="DC94B4C6">
      <w:start w:val="1"/>
      <w:numFmt w:val="bullet"/>
      <w:lvlText w:val=""/>
      <w:lvlJc w:val="left"/>
      <w:pPr>
        <w:ind w:left="6160" w:hanging="360"/>
      </w:pPr>
      <w:rPr>
        <w:rFonts w:ascii="Wingdings" w:hAnsi="Wingdings" w:hint="default"/>
      </w:rPr>
    </w:lvl>
  </w:abstractNum>
  <w:abstractNum w:abstractNumId="19" w15:restartNumberingAfterBreak="0">
    <w:nsid w:val="15330C73"/>
    <w:multiLevelType w:val="hybridMultilevel"/>
    <w:tmpl w:val="210E9EBA"/>
    <w:lvl w:ilvl="0" w:tplc="C5A86210">
      <w:start w:val="1"/>
      <w:numFmt w:val="decimal"/>
      <w:pStyle w:val="Heading1"/>
      <w:lvlText w:val="%1."/>
      <w:lvlJc w:val="left"/>
      <w:pPr>
        <w:ind w:left="680" w:hanging="680"/>
      </w:pPr>
      <w:rPr>
        <w:rFonts w:hint="default"/>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C48193"/>
    <w:multiLevelType w:val="hybridMultilevel"/>
    <w:tmpl w:val="FFFFFFFF"/>
    <w:lvl w:ilvl="0" w:tplc="AA10938E">
      <w:start w:val="1"/>
      <w:numFmt w:val="decimal"/>
      <w:lvlText w:val="%1."/>
      <w:lvlJc w:val="left"/>
      <w:pPr>
        <w:ind w:left="1040" w:hanging="360"/>
      </w:pPr>
    </w:lvl>
    <w:lvl w:ilvl="1" w:tplc="47C22C8A">
      <w:start w:val="1"/>
      <w:numFmt w:val="lowerLetter"/>
      <w:lvlText w:val="%2."/>
      <w:lvlJc w:val="left"/>
      <w:pPr>
        <w:ind w:left="1760" w:hanging="360"/>
      </w:pPr>
    </w:lvl>
    <w:lvl w:ilvl="2" w:tplc="031EFDB6">
      <w:start w:val="1"/>
      <w:numFmt w:val="lowerRoman"/>
      <w:lvlText w:val="%3."/>
      <w:lvlJc w:val="right"/>
      <w:pPr>
        <w:ind w:left="2480" w:hanging="180"/>
      </w:pPr>
    </w:lvl>
    <w:lvl w:ilvl="3" w:tplc="D2909C30">
      <w:start w:val="1"/>
      <w:numFmt w:val="decimal"/>
      <w:lvlText w:val="%4."/>
      <w:lvlJc w:val="left"/>
      <w:pPr>
        <w:ind w:left="3200" w:hanging="360"/>
      </w:pPr>
    </w:lvl>
    <w:lvl w:ilvl="4" w:tplc="52B675B6">
      <w:start w:val="1"/>
      <w:numFmt w:val="lowerLetter"/>
      <w:lvlText w:val="%5."/>
      <w:lvlJc w:val="left"/>
      <w:pPr>
        <w:ind w:left="3920" w:hanging="360"/>
      </w:pPr>
    </w:lvl>
    <w:lvl w:ilvl="5" w:tplc="5EBE3C30">
      <w:start w:val="1"/>
      <w:numFmt w:val="lowerRoman"/>
      <w:lvlText w:val="%6."/>
      <w:lvlJc w:val="right"/>
      <w:pPr>
        <w:ind w:left="4640" w:hanging="180"/>
      </w:pPr>
    </w:lvl>
    <w:lvl w:ilvl="6" w:tplc="5F40B406">
      <w:start w:val="1"/>
      <w:numFmt w:val="decimal"/>
      <w:lvlText w:val="%7."/>
      <w:lvlJc w:val="left"/>
      <w:pPr>
        <w:ind w:left="5360" w:hanging="360"/>
      </w:pPr>
    </w:lvl>
    <w:lvl w:ilvl="7" w:tplc="D0F853E2">
      <w:start w:val="1"/>
      <w:numFmt w:val="lowerLetter"/>
      <w:lvlText w:val="%8."/>
      <w:lvlJc w:val="left"/>
      <w:pPr>
        <w:ind w:left="6080" w:hanging="360"/>
      </w:pPr>
    </w:lvl>
    <w:lvl w:ilvl="8" w:tplc="6E44BDC2">
      <w:start w:val="1"/>
      <w:numFmt w:val="lowerRoman"/>
      <w:lvlText w:val="%9."/>
      <w:lvlJc w:val="right"/>
      <w:pPr>
        <w:ind w:left="6800" w:hanging="180"/>
      </w:pPr>
    </w:lvl>
  </w:abstractNum>
  <w:abstractNum w:abstractNumId="21" w15:restartNumberingAfterBreak="0">
    <w:nsid w:val="1F6657A5"/>
    <w:multiLevelType w:val="hybridMultilevel"/>
    <w:tmpl w:val="50B48C62"/>
    <w:lvl w:ilvl="0" w:tplc="378E9C6A">
      <w:start w:val="1"/>
      <w:numFmt w:val="bullet"/>
      <w:lvlText w:val=""/>
      <w:lvlJc w:val="left"/>
      <w:pPr>
        <w:ind w:left="1040" w:hanging="360"/>
      </w:pPr>
      <w:rPr>
        <w:rFonts w:ascii="Wingdings" w:hAnsi="Wingdings" w:hint="default"/>
      </w:rPr>
    </w:lvl>
    <w:lvl w:ilvl="1" w:tplc="3B1E4816">
      <w:start w:val="1"/>
      <w:numFmt w:val="bullet"/>
      <w:lvlText w:val="o"/>
      <w:lvlJc w:val="left"/>
      <w:pPr>
        <w:ind w:left="1760" w:hanging="360"/>
      </w:pPr>
      <w:rPr>
        <w:rFonts w:ascii="Courier New" w:hAnsi="Courier New" w:hint="default"/>
      </w:rPr>
    </w:lvl>
    <w:lvl w:ilvl="2" w:tplc="C158CD48">
      <w:start w:val="1"/>
      <w:numFmt w:val="bullet"/>
      <w:lvlText w:val=""/>
      <w:lvlJc w:val="left"/>
      <w:pPr>
        <w:ind w:left="2480" w:hanging="360"/>
      </w:pPr>
      <w:rPr>
        <w:rFonts w:ascii="Wingdings" w:hAnsi="Wingdings" w:hint="default"/>
      </w:rPr>
    </w:lvl>
    <w:lvl w:ilvl="3" w:tplc="D9A2AF2E">
      <w:start w:val="1"/>
      <w:numFmt w:val="bullet"/>
      <w:lvlText w:val=""/>
      <w:lvlJc w:val="left"/>
      <w:pPr>
        <w:ind w:left="3200" w:hanging="360"/>
      </w:pPr>
      <w:rPr>
        <w:rFonts w:ascii="Symbol" w:hAnsi="Symbol" w:hint="default"/>
      </w:rPr>
    </w:lvl>
    <w:lvl w:ilvl="4" w:tplc="0EA8BCD4">
      <w:start w:val="1"/>
      <w:numFmt w:val="bullet"/>
      <w:lvlText w:val="o"/>
      <w:lvlJc w:val="left"/>
      <w:pPr>
        <w:ind w:left="3920" w:hanging="360"/>
      </w:pPr>
      <w:rPr>
        <w:rFonts w:ascii="Courier New" w:hAnsi="Courier New" w:hint="default"/>
      </w:rPr>
    </w:lvl>
    <w:lvl w:ilvl="5" w:tplc="8C5069D4">
      <w:start w:val="1"/>
      <w:numFmt w:val="bullet"/>
      <w:lvlText w:val=""/>
      <w:lvlJc w:val="left"/>
      <w:pPr>
        <w:ind w:left="4640" w:hanging="360"/>
      </w:pPr>
      <w:rPr>
        <w:rFonts w:ascii="Wingdings" w:hAnsi="Wingdings" w:hint="default"/>
      </w:rPr>
    </w:lvl>
    <w:lvl w:ilvl="6" w:tplc="41523514">
      <w:start w:val="1"/>
      <w:numFmt w:val="bullet"/>
      <w:lvlText w:val=""/>
      <w:lvlJc w:val="left"/>
      <w:pPr>
        <w:ind w:left="5360" w:hanging="360"/>
      </w:pPr>
      <w:rPr>
        <w:rFonts w:ascii="Symbol" w:hAnsi="Symbol" w:hint="default"/>
      </w:rPr>
    </w:lvl>
    <w:lvl w:ilvl="7" w:tplc="9058ED74">
      <w:start w:val="1"/>
      <w:numFmt w:val="bullet"/>
      <w:lvlText w:val="o"/>
      <w:lvlJc w:val="left"/>
      <w:pPr>
        <w:ind w:left="6080" w:hanging="360"/>
      </w:pPr>
      <w:rPr>
        <w:rFonts w:ascii="Courier New" w:hAnsi="Courier New" w:hint="default"/>
      </w:rPr>
    </w:lvl>
    <w:lvl w:ilvl="8" w:tplc="F8C670C6">
      <w:start w:val="1"/>
      <w:numFmt w:val="bullet"/>
      <w:lvlText w:val=""/>
      <w:lvlJc w:val="left"/>
      <w:pPr>
        <w:ind w:left="6800" w:hanging="360"/>
      </w:pPr>
      <w:rPr>
        <w:rFonts w:ascii="Wingdings" w:hAnsi="Wingdings" w:hint="default"/>
      </w:rPr>
    </w:lvl>
  </w:abstractNum>
  <w:abstractNum w:abstractNumId="22" w15:restartNumberingAfterBreak="0">
    <w:nsid w:val="27E83856"/>
    <w:multiLevelType w:val="hybridMultilevel"/>
    <w:tmpl w:val="86C81258"/>
    <w:lvl w:ilvl="0" w:tplc="67BC04CA">
      <w:start w:val="3"/>
      <w:numFmt w:val="decimal"/>
      <w:lvlText w:val="6.%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6E2464"/>
    <w:multiLevelType w:val="hybridMultilevel"/>
    <w:tmpl w:val="D88A9FAE"/>
    <w:lvl w:ilvl="0" w:tplc="8DDCE3C4">
      <w:start w:val="1"/>
      <w:numFmt w:val="bullet"/>
      <w:pStyle w:val="LONBulletOne"/>
      <w:lvlText w:val="•"/>
      <w:lvlJc w:val="left"/>
      <w:pPr>
        <w:tabs>
          <w:tab w:val="num" w:pos="1419"/>
        </w:tabs>
        <w:ind w:left="1419" w:hanging="284"/>
      </w:pPr>
      <w:rPr>
        <w:rFonts w:ascii="Foundry Form Sans" w:hAnsi="Foundry Form Sans" w:hint="default"/>
        <w:color w:val="313231"/>
        <w:sz w:val="32"/>
        <w:szCs w:val="32"/>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7D14CA"/>
    <w:multiLevelType w:val="hybridMultilevel"/>
    <w:tmpl w:val="8B104C1C"/>
    <w:lvl w:ilvl="0" w:tplc="D794FC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A4AE96"/>
    <w:multiLevelType w:val="hybridMultilevel"/>
    <w:tmpl w:val="4EA2F97A"/>
    <w:lvl w:ilvl="0" w:tplc="6C045994">
      <w:start w:val="1"/>
      <w:numFmt w:val="bullet"/>
      <w:lvlText w:val=""/>
      <w:lvlJc w:val="left"/>
      <w:pPr>
        <w:ind w:left="360" w:hanging="360"/>
      </w:pPr>
      <w:rPr>
        <w:rFonts w:ascii="Wingdings" w:hAnsi="Wingdings" w:hint="default"/>
      </w:rPr>
    </w:lvl>
    <w:lvl w:ilvl="1" w:tplc="071400AC">
      <w:start w:val="1"/>
      <w:numFmt w:val="bullet"/>
      <w:lvlText w:val="o"/>
      <w:lvlJc w:val="left"/>
      <w:pPr>
        <w:ind w:left="1080" w:hanging="360"/>
      </w:pPr>
      <w:rPr>
        <w:rFonts w:ascii="Courier New" w:hAnsi="Courier New" w:hint="default"/>
      </w:rPr>
    </w:lvl>
    <w:lvl w:ilvl="2" w:tplc="179AD220">
      <w:start w:val="1"/>
      <w:numFmt w:val="bullet"/>
      <w:lvlText w:val=""/>
      <w:lvlJc w:val="left"/>
      <w:pPr>
        <w:ind w:left="1800" w:hanging="360"/>
      </w:pPr>
      <w:rPr>
        <w:rFonts w:ascii="Wingdings" w:hAnsi="Wingdings" w:hint="default"/>
      </w:rPr>
    </w:lvl>
    <w:lvl w:ilvl="3" w:tplc="970E757A">
      <w:start w:val="1"/>
      <w:numFmt w:val="bullet"/>
      <w:lvlText w:val=""/>
      <w:lvlJc w:val="left"/>
      <w:pPr>
        <w:ind w:left="2520" w:hanging="360"/>
      </w:pPr>
      <w:rPr>
        <w:rFonts w:ascii="Symbol" w:hAnsi="Symbol" w:hint="default"/>
      </w:rPr>
    </w:lvl>
    <w:lvl w:ilvl="4" w:tplc="56B6DF38">
      <w:start w:val="1"/>
      <w:numFmt w:val="bullet"/>
      <w:lvlText w:val="o"/>
      <w:lvlJc w:val="left"/>
      <w:pPr>
        <w:ind w:left="3240" w:hanging="360"/>
      </w:pPr>
      <w:rPr>
        <w:rFonts w:ascii="Courier New" w:hAnsi="Courier New" w:hint="default"/>
      </w:rPr>
    </w:lvl>
    <w:lvl w:ilvl="5" w:tplc="F294B806">
      <w:start w:val="1"/>
      <w:numFmt w:val="bullet"/>
      <w:lvlText w:val=""/>
      <w:lvlJc w:val="left"/>
      <w:pPr>
        <w:ind w:left="3960" w:hanging="360"/>
      </w:pPr>
      <w:rPr>
        <w:rFonts w:ascii="Wingdings" w:hAnsi="Wingdings" w:hint="default"/>
      </w:rPr>
    </w:lvl>
    <w:lvl w:ilvl="6" w:tplc="751C53F6">
      <w:start w:val="1"/>
      <w:numFmt w:val="bullet"/>
      <w:lvlText w:val=""/>
      <w:lvlJc w:val="left"/>
      <w:pPr>
        <w:ind w:left="4680" w:hanging="360"/>
      </w:pPr>
      <w:rPr>
        <w:rFonts w:ascii="Symbol" w:hAnsi="Symbol" w:hint="default"/>
      </w:rPr>
    </w:lvl>
    <w:lvl w:ilvl="7" w:tplc="64AA57FC">
      <w:start w:val="1"/>
      <w:numFmt w:val="bullet"/>
      <w:lvlText w:val="o"/>
      <w:lvlJc w:val="left"/>
      <w:pPr>
        <w:ind w:left="5400" w:hanging="360"/>
      </w:pPr>
      <w:rPr>
        <w:rFonts w:ascii="Courier New" w:hAnsi="Courier New" w:hint="default"/>
      </w:rPr>
    </w:lvl>
    <w:lvl w:ilvl="8" w:tplc="B1020FAE">
      <w:start w:val="1"/>
      <w:numFmt w:val="bullet"/>
      <w:lvlText w:val=""/>
      <w:lvlJc w:val="left"/>
      <w:pPr>
        <w:ind w:left="6120" w:hanging="360"/>
      </w:pPr>
      <w:rPr>
        <w:rFonts w:ascii="Wingdings" w:hAnsi="Wingdings" w:hint="default"/>
      </w:rPr>
    </w:lvl>
  </w:abstractNum>
  <w:abstractNum w:abstractNumId="26" w15:restartNumberingAfterBreak="0">
    <w:nsid w:val="30380394"/>
    <w:multiLevelType w:val="hybridMultilevel"/>
    <w:tmpl w:val="DEE6D922"/>
    <w:lvl w:ilvl="0" w:tplc="2E9C73C2">
      <w:start w:val="1"/>
      <w:numFmt w:val="decimal"/>
      <w:lvlText w:val="3.%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54169"/>
    <w:multiLevelType w:val="hybridMultilevel"/>
    <w:tmpl w:val="49A0DCE4"/>
    <w:lvl w:ilvl="0" w:tplc="D794FC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E56820"/>
    <w:multiLevelType w:val="hybridMultilevel"/>
    <w:tmpl w:val="E2CC67EA"/>
    <w:lvl w:ilvl="0" w:tplc="D794FC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110BA3"/>
    <w:multiLevelType w:val="hybridMultilevel"/>
    <w:tmpl w:val="18943DBC"/>
    <w:lvl w:ilvl="0" w:tplc="357E9C92">
      <w:start w:val="1"/>
      <w:numFmt w:val="decimal"/>
      <w:pStyle w:val="LONChapterheading"/>
      <w:lvlText w:val="%1"/>
      <w:lvlJc w:val="left"/>
      <w:pPr>
        <w:tabs>
          <w:tab w:val="num" w:pos="340"/>
        </w:tabs>
        <w:ind w:left="340" w:hanging="3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0A533B"/>
    <w:multiLevelType w:val="hybridMultilevel"/>
    <w:tmpl w:val="F75E7CBC"/>
    <w:lvl w:ilvl="0" w:tplc="2410DEEC">
      <w:start w:val="1"/>
      <w:numFmt w:val="decimal"/>
      <w:lvlText w:val="6.%1"/>
      <w:lvlJc w:val="left"/>
      <w:pPr>
        <w:ind w:left="680" w:hanging="680"/>
      </w:pPr>
    </w:lvl>
    <w:lvl w:ilvl="1" w:tplc="9BD0216E">
      <w:start w:val="1"/>
      <w:numFmt w:val="lowerLetter"/>
      <w:lvlText w:val="%2."/>
      <w:lvlJc w:val="left"/>
      <w:pPr>
        <w:ind w:left="1440" w:hanging="360"/>
      </w:pPr>
    </w:lvl>
    <w:lvl w:ilvl="2" w:tplc="F1BC4386">
      <w:start w:val="1"/>
      <w:numFmt w:val="lowerRoman"/>
      <w:lvlText w:val="%3."/>
      <w:lvlJc w:val="right"/>
      <w:pPr>
        <w:ind w:left="2160" w:hanging="180"/>
      </w:pPr>
    </w:lvl>
    <w:lvl w:ilvl="3" w:tplc="D794FC50">
      <w:start w:val="1"/>
      <w:numFmt w:val="decimal"/>
      <w:lvlText w:val="%4."/>
      <w:lvlJc w:val="left"/>
      <w:pPr>
        <w:ind w:left="2880" w:hanging="360"/>
      </w:pPr>
    </w:lvl>
    <w:lvl w:ilvl="4" w:tplc="4C18B85A">
      <w:start w:val="1"/>
      <w:numFmt w:val="lowerLetter"/>
      <w:lvlText w:val="%5."/>
      <w:lvlJc w:val="left"/>
      <w:pPr>
        <w:ind w:left="3600" w:hanging="360"/>
      </w:pPr>
    </w:lvl>
    <w:lvl w:ilvl="5" w:tplc="089225F4">
      <w:start w:val="1"/>
      <w:numFmt w:val="lowerRoman"/>
      <w:lvlText w:val="%6."/>
      <w:lvlJc w:val="right"/>
      <w:pPr>
        <w:ind w:left="4320" w:hanging="180"/>
      </w:pPr>
    </w:lvl>
    <w:lvl w:ilvl="6" w:tplc="898671DA">
      <w:start w:val="1"/>
      <w:numFmt w:val="decimal"/>
      <w:lvlText w:val="%7."/>
      <w:lvlJc w:val="left"/>
      <w:pPr>
        <w:ind w:left="5040" w:hanging="360"/>
      </w:pPr>
    </w:lvl>
    <w:lvl w:ilvl="7" w:tplc="197857C2">
      <w:start w:val="1"/>
      <w:numFmt w:val="lowerLetter"/>
      <w:lvlText w:val="%8."/>
      <w:lvlJc w:val="left"/>
      <w:pPr>
        <w:ind w:left="5760" w:hanging="360"/>
      </w:pPr>
    </w:lvl>
    <w:lvl w:ilvl="8" w:tplc="309671A8">
      <w:start w:val="1"/>
      <w:numFmt w:val="lowerRoman"/>
      <w:lvlText w:val="%9."/>
      <w:lvlJc w:val="right"/>
      <w:pPr>
        <w:ind w:left="6480" w:hanging="180"/>
      </w:pPr>
    </w:lvl>
  </w:abstractNum>
  <w:abstractNum w:abstractNumId="32" w15:restartNumberingAfterBreak="0">
    <w:nsid w:val="3FC94C03"/>
    <w:multiLevelType w:val="hybridMultilevel"/>
    <w:tmpl w:val="6FB62216"/>
    <w:lvl w:ilvl="0" w:tplc="F9D877C8">
      <w:start w:val="1"/>
      <w:numFmt w:val="decimal"/>
      <w:lvlText w:val="11.%1"/>
      <w:lvlJc w:val="left"/>
      <w:pPr>
        <w:ind w:left="680" w:hanging="680"/>
      </w:pPr>
      <w:rPr>
        <w:rFonts w:ascii="Foundry Form Sans" w:hAnsi="Foundry Form San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175197"/>
    <w:multiLevelType w:val="multilevel"/>
    <w:tmpl w:val="FE6C251E"/>
    <w:lvl w:ilvl="0">
      <w:start w:val="1"/>
      <w:numFmt w:val="upperRoman"/>
      <w:lvlText w:val="Article %1."/>
      <w:lvlJc w:val="left"/>
      <w:pPr>
        <w:tabs>
          <w:tab w:val="num" w:pos="720"/>
        </w:tabs>
        <w:ind w:left="0" w:firstLine="0"/>
      </w:pPr>
    </w:lvl>
    <w:lvl w:ilvl="1">
      <w:start w:val="1"/>
      <w:numFmt w:val="decimalZero"/>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412D14DB"/>
    <w:multiLevelType w:val="hybridMultilevel"/>
    <w:tmpl w:val="DC94C62A"/>
    <w:lvl w:ilvl="0" w:tplc="5B68F8B8">
      <w:start w:val="2"/>
      <w:numFmt w:val="decimal"/>
      <w:lvlText w:val="6.%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A9331B"/>
    <w:multiLevelType w:val="hybridMultilevel"/>
    <w:tmpl w:val="A640873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3DF136C"/>
    <w:multiLevelType w:val="hybridMultilevel"/>
    <w:tmpl w:val="1A904B9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7024E92"/>
    <w:multiLevelType w:val="hybridMultilevel"/>
    <w:tmpl w:val="6BE47D48"/>
    <w:lvl w:ilvl="0" w:tplc="CE2E7A1C">
      <w:start w:val="1"/>
      <w:numFmt w:val="decimal"/>
      <w:lvlText w:val="2.%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3E6A69"/>
    <w:multiLevelType w:val="hybridMultilevel"/>
    <w:tmpl w:val="40A8FAA4"/>
    <w:lvl w:ilvl="0" w:tplc="08090005">
      <w:start w:val="1"/>
      <w:numFmt w:val="bullet"/>
      <w:lvlText w:val=""/>
      <w:lvlJc w:val="left"/>
      <w:pPr>
        <w:ind w:left="1080" w:hanging="360"/>
      </w:pPr>
      <w:rPr>
        <w:rFonts w:ascii="Wingdings" w:hAnsi="Wingdings" w:hint="default"/>
        <w:b w:val="0"/>
        <w:i w:val="0"/>
        <w:iCs/>
        <w:sz w:val="24"/>
        <w:szCs w:val="24"/>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39" w15:restartNumberingAfterBreak="0">
    <w:nsid w:val="4B454880"/>
    <w:multiLevelType w:val="hybridMultilevel"/>
    <w:tmpl w:val="27925670"/>
    <w:lvl w:ilvl="0" w:tplc="D794FC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AB13F4"/>
    <w:multiLevelType w:val="hybridMultilevel"/>
    <w:tmpl w:val="57CA670C"/>
    <w:lvl w:ilvl="0" w:tplc="F7D071B0">
      <w:start w:val="1"/>
      <w:numFmt w:val="decimal"/>
      <w:lvlText w:val="4.%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5F1E5D"/>
    <w:multiLevelType w:val="hybridMultilevel"/>
    <w:tmpl w:val="159EC4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3" w15:restartNumberingAfterBreak="0">
    <w:nsid w:val="55394994"/>
    <w:multiLevelType w:val="hybridMultilevel"/>
    <w:tmpl w:val="1178843A"/>
    <w:lvl w:ilvl="0" w:tplc="220ED632">
      <w:start w:val="1"/>
      <w:numFmt w:val="bullet"/>
      <w:lvlText w:val=""/>
      <w:lvlJc w:val="left"/>
      <w:pPr>
        <w:ind w:left="1040" w:hanging="360"/>
      </w:pPr>
      <w:rPr>
        <w:rFonts w:ascii="Wingdings" w:hAnsi="Wingdings" w:hint="default"/>
      </w:rPr>
    </w:lvl>
    <w:lvl w:ilvl="1" w:tplc="E6DAE4C0">
      <w:start w:val="1"/>
      <w:numFmt w:val="bullet"/>
      <w:lvlText w:val="o"/>
      <w:lvlJc w:val="left"/>
      <w:pPr>
        <w:ind w:left="1760" w:hanging="360"/>
      </w:pPr>
      <w:rPr>
        <w:rFonts w:ascii="Courier New" w:hAnsi="Courier New" w:hint="default"/>
      </w:rPr>
    </w:lvl>
    <w:lvl w:ilvl="2" w:tplc="48264CC6">
      <w:start w:val="1"/>
      <w:numFmt w:val="bullet"/>
      <w:lvlText w:val=""/>
      <w:lvlJc w:val="left"/>
      <w:pPr>
        <w:ind w:left="2480" w:hanging="360"/>
      </w:pPr>
      <w:rPr>
        <w:rFonts w:ascii="Wingdings" w:hAnsi="Wingdings" w:hint="default"/>
      </w:rPr>
    </w:lvl>
    <w:lvl w:ilvl="3" w:tplc="9A426BD8">
      <w:start w:val="1"/>
      <w:numFmt w:val="bullet"/>
      <w:lvlText w:val=""/>
      <w:lvlJc w:val="left"/>
      <w:pPr>
        <w:ind w:left="3200" w:hanging="360"/>
      </w:pPr>
      <w:rPr>
        <w:rFonts w:ascii="Symbol" w:hAnsi="Symbol" w:hint="default"/>
      </w:rPr>
    </w:lvl>
    <w:lvl w:ilvl="4" w:tplc="9EB8602A">
      <w:start w:val="1"/>
      <w:numFmt w:val="bullet"/>
      <w:lvlText w:val="o"/>
      <w:lvlJc w:val="left"/>
      <w:pPr>
        <w:ind w:left="3920" w:hanging="360"/>
      </w:pPr>
      <w:rPr>
        <w:rFonts w:ascii="Courier New" w:hAnsi="Courier New" w:hint="default"/>
      </w:rPr>
    </w:lvl>
    <w:lvl w:ilvl="5" w:tplc="97B686C0">
      <w:start w:val="1"/>
      <w:numFmt w:val="bullet"/>
      <w:lvlText w:val=""/>
      <w:lvlJc w:val="left"/>
      <w:pPr>
        <w:ind w:left="4640" w:hanging="360"/>
      </w:pPr>
      <w:rPr>
        <w:rFonts w:ascii="Wingdings" w:hAnsi="Wingdings" w:hint="default"/>
      </w:rPr>
    </w:lvl>
    <w:lvl w:ilvl="6" w:tplc="16B81076">
      <w:start w:val="1"/>
      <w:numFmt w:val="bullet"/>
      <w:lvlText w:val=""/>
      <w:lvlJc w:val="left"/>
      <w:pPr>
        <w:ind w:left="5360" w:hanging="360"/>
      </w:pPr>
      <w:rPr>
        <w:rFonts w:ascii="Symbol" w:hAnsi="Symbol" w:hint="default"/>
      </w:rPr>
    </w:lvl>
    <w:lvl w:ilvl="7" w:tplc="E22C59A0">
      <w:start w:val="1"/>
      <w:numFmt w:val="bullet"/>
      <w:lvlText w:val="o"/>
      <w:lvlJc w:val="left"/>
      <w:pPr>
        <w:ind w:left="6080" w:hanging="360"/>
      </w:pPr>
      <w:rPr>
        <w:rFonts w:ascii="Courier New" w:hAnsi="Courier New" w:hint="default"/>
      </w:rPr>
    </w:lvl>
    <w:lvl w:ilvl="8" w:tplc="B152182C">
      <w:start w:val="1"/>
      <w:numFmt w:val="bullet"/>
      <w:lvlText w:val=""/>
      <w:lvlJc w:val="left"/>
      <w:pPr>
        <w:ind w:left="6800" w:hanging="360"/>
      </w:pPr>
      <w:rPr>
        <w:rFonts w:ascii="Wingdings" w:hAnsi="Wingdings" w:hint="default"/>
      </w:rPr>
    </w:lvl>
  </w:abstractNum>
  <w:abstractNum w:abstractNumId="44" w15:restartNumberingAfterBreak="0">
    <w:nsid w:val="56071348"/>
    <w:multiLevelType w:val="hybridMultilevel"/>
    <w:tmpl w:val="4F40C84E"/>
    <w:lvl w:ilvl="0" w:tplc="2B8044DE">
      <w:start w:val="1"/>
      <w:numFmt w:val="decimal"/>
      <w:lvlText w:val="9.%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967887"/>
    <w:multiLevelType w:val="hybridMultilevel"/>
    <w:tmpl w:val="BB5A2274"/>
    <w:styleLink w:val="Section3Para"/>
    <w:lvl w:ilvl="0" w:tplc="3BB29664">
      <w:start w:val="1"/>
      <w:numFmt w:val="bullet"/>
      <w:lvlText w:val=""/>
      <w:lvlJc w:val="left"/>
      <w:pPr>
        <w:ind w:left="1040" w:hanging="360"/>
      </w:pPr>
      <w:rPr>
        <w:rFonts w:ascii="Wingdings" w:hAnsi="Wingdings" w:hint="default"/>
      </w:rPr>
    </w:lvl>
    <w:lvl w:ilvl="1" w:tplc="FDFE83C6">
      <w:start w:val="1"/>
      <w:numFmt w:val="bullet"/>
      <w:lvlText w:val="o"/>
      <w:lvlJc w:val="left"/>
      <w:pPr>
        <w:ind w:left="1760" w:hanging="360"/>
      </w:pPr>
      <w:rPr>
        <w:rFonts w:ascii="Courier New" w:hAnsi="Courier New" w:hint="default"/>
      </w:rPr>
    </w:lvl>
    <w:lvl w:ilvl="2" w:tplc="A1E66F0E">
      <w:start w:val="1"/>
      <w:numFmt w:val="bullet"/>
      <w:lvlText w:val=""/>
      <w:lvlJc w:val="left"/>
      <w:pPr>
        <w:ind w:left="2480" w:hanging="360"/>
      </w:pPr>
      <w:rPr>
        <w:rFonts w:ascii="Wingdings" w:hAnsi="Wingdings" w:hint="default"/>
      </w:rPr>
    </w:lvl>
    <w:lvl w:ilvl="3" w:tplc="0D060E7A">
      <w:start w:val="1"/>
      <w:numFmt w:val="bullet"/>
      <w:lvlText w:val=""/>
      <w:lvlJc w:val="left"/>
      <w:pPr>
        <w:ind w:left="3200" w:hanging="360"/>
      </w:pPr>
      <w:rPr>
        <w:rFonts w:ascii="Symbol" w:hAnsi="Symbol" w:hint="default"/>
      </w:rPr>
    </w:lvl>
    <w:lvl w:ilvl="4" w:tplc="9B58F400">
      <w:start w:val="1"/>
      <w:numFmt w:val="bullet"/>
      <w:lvlText w:val="o"/>
      <w:lvlJc w:val="left"/>
      <w:pPr>
        <w:ind w:left="3920" w:hanging="360"/>
      </w:pPr>
      <w:rPr>
        <w:rFonts w:ascii="Courier New" w:hAnsi="Courier New" w:hint="default"/>
      </w:rPr>
    </w:lvl>
    <w:lvl w:ilvl="5" w:tplc="4A84F858">
      <w:start w:val="1"/>
      <w:numFmt w:val="bullet"/>
      <w:lvlText w:val=""/>
      <w:lvlJc w:val="left"/>
      <w:pPr>
        <w:ind w:left="4640" w:hanging="360"/>
      </w:pPr>
      <w:rPr>
        <w:rFonts w:ascii="Wingdings" w:hAnsi="Wingdings" w:hint="default"/>
      </w:rPr>
    </w:lvl>
    <w:lvl w:ilvl="6" w:tplc="1534E2B4">
      <w:start w:val="1"/>
      <w:numFmt w:val="bullet"/>
      <w:lvlText w:val=""/>
      <w:lvlJc w:val="left"/>
      <w:pPr>
        <w:ind w:left="5360" w:hanging="360"/>
      </w:pPr>
      <w:rPr>
        <w:rFonts w:ascii="Symbol" w:hAnsi="Symbol" w:hint="default"/>
      </w:rPr>
    </w:lvl>
    <w:lvl w:ilvl="7" w:tplc="A1EC46DE">
      <w:start w:val="1"/>
      <w:numFmt w:val="bullet"/>
      <w:lvlText w:val="o"/>
      <w:lvlJc w:val="left"/>
      <w:pPr>
        <w:ind w:left="6080" w:hanging="360"/>
      </w:pPr>
      <w:rPr>
        <w:rFonts w:ascii="Courier New" w:hAnsi="Courier New" w:hint="default"/>
      </w:rPr>
    </w:lvl>
    <w:lvl w:ilvl="8" w:tplc="34146112">
      <w:start w:val="1"/>
      <w:numFmt w:val="bullet"/>
      <w:lvlText w:val=""/>
      <w:lvlJc w:val="left"/>
      <w:pPr>
        <w:ind w:left="6800" w:hanging="360"/>
      </w:pPr>
      <w:rPr>
        <w:rFonts w:ascii="Wingdings" w:hAnsi="Wingdings" w:hint="default"/>
      </w:rPr>
    </w:lvl>
  </w:abstractNum>
  <w:abstractNum w:abstractNumId="46" w15:restartNumberingAfterBreak="0">
    <w:nsid w:val="60542FFD"/>
    <w:multiLevelType w:val="hybridMultilevel"/>
    <w:tmpl w:val="FFFFFFFF"/>
    <w:lvl w:ilvl="0" w:tplc="FFFFFFFF">
      <w:start w:val="1"/>
      <w:numFmt w:val="decimal"/>
      <w:lvlText w:val="%1."/>
      <w:lvlJc w:val="left"/>
      <w:pPr>
        <w:ind w:left="1040" w:hanging="360"/>
      </w:pPr>
    </w:lvl>
    <w:lvl w:ilvl="1" w:tplc="E9DAFBAC">
      <w:start w:val="1"/>
      <w:numFmt w:val="lowerLetter"/>
      <w:lvlText w:val="%2."/>
      <w:lvlJc w:val="left"/>
      <w:pPr>
        <w:ind w:left="1760" w:hanging="360"/>
      </w:pPr>
    </w:lvl>
    <w:lvl w:ilvl="2" w:tplc="B742078E">
      <w:start w:val="1"/>
      <w:numFmt w:val="lowerRoman"/>
      <w:lvlText w:val="%3."/>
      <w:lvlJc w:val="right"/>
      <w:pPr>
        <w:ind w:left="2480" w:hanging="180"/>
      </w:pPr>
    </w:lvl>
    <w:lvl w:ilvl="3" w:tplc="178CA09C">
      <w:start w:val="1"/>
      <w:numFmt w:val="decimal"/>
      <w:lvlText w:val="%4."/>
      <w:lvlJc w:val="left"/>
      <w:pPr>
        <w:ind w:left="3200" w:hanging="360"/>
      </w:pPr>
    </w:lvl>
    <w:lvl w:ilvl="4" w:tplc="FE20DD7A">
      <w:start w:val="1"/>
      <w:numFmt w:val="lowerLetter"/>
      <w:lvlText w:val="%5."/>
      <w:lvlJc w:val="left"/>
      <w:pPr>
        <w:ind w:left="3920" w:hanging="360"/>
      </w:pPr>
    </w:lvl>
    <w:lvl w:ilvl="5" w:tplc="1C1CAD92">
      <w:start w:val="1"/>
      <w:numFmt w:val="lowerRoman"/>
      <w:lvlText w:val="%6."/>
      <w:lvlJc w:val="right"/>
      <w:pPr>
        <w:ind w:left="4640" w:hanging="180"/>
      </w:pPr>
    </w:lvl>
    <w:lvl w:ilvl="6" w:tplc="5066E942">
      <w:start w:val="1"/>
      <w:numFmt w:val="decimal"/>
      <w:lvlText w:val="%7."/>
      <w:lvlJc w:val="left"/>
      <w:pPr>
        <w:ind w:left="5360" w:hanging="360"/>
      </w:pPr>
    </w:lvl>
    <w:lvl w:ilvl="7" w:tplc="433A89D2">
      <w:start w:val="1"/>
      <w:numFmt w:val="lowerLetter"/>
      <w:lvlText w:val="%8."/>
      <w:lvlJc w:val="left"/>
      <w:pPr>
        <w:ind w:left="6080" w:hanging="360"/>
      </w:pPr>
    </w:lvl>
    <w:lvl w:ilvl="8" w:tplc="9F864BB8">
      <w:start w:val="1"/>
      <w:numFmt w:val="lowerRoman"/>
      <w:lvlText w:val="%9."/>
      <w:lvlJc w:val="right"/>
      <w:pPr>
        <w:ind w:left="6800" w:hanging="180"/>
      </w:pPr>
    </w:lvl>
  </w:abstractNum>
  <w:abstractNum w:abstractNumId="47" w15:restartNumberingAfterBreak="0">
    <w:nsid w:val="615C41A9"/>
    <w:multiLevelType w:val="hybridMultilevel"/>
    <w:tmpl w:val="0660CB5A"/>
    <w:lvl w:ilvl="0" w:tplc="0F3855A0">
      <w:start w:val="1"/>
      <w:numFmt w:val="decimal"/>
      <w:lvlText w:val="10.%1"/>
      <w:lvlJc w:val="left"/>
      <w:pPr>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5F4415C"/>
    <w:multiLevelType w:val="hybridMultilevel"/>
    <w:tmpl w:val="FFFFFFFF"/>
    <w:lvl w:ilvl="0" w:tplc="5D3E8250">
      <w:start w:val="1"/>
      <w:numFmt w:val="bullet"/>
      <w:lvlText w:val=""/>
      <w:lvlJc w:val="left"/>
      <w:pPr>
        <w:ind w:left="1040" w:hanging="360"/>
      </w:pPr>
      <w:rPr>
        <w:rFonts w:ascii="Wingdings" w:hAnsi="Wingdings" w:hint="default"/>
      </w:rPr>
    </w:lvl>
    <w:lvl w:ilvl="1" w:tplc="A68008FC">
      <w:start w:val="1"/>
      <w:numFmt w:val="bullet"/>
      <w:lvlText w:val="o"/>
      <w:lvlJc w:val="left"/>
      <w:pPr>
        <w:ind w:left="1760" w:hanging="360"/>
      </w:pPr>
      <w:rPr>
        <w:rFonts w:ascii="Courier New" w:hAnsi="Courier New" w:hint="default"/>
      </w:rPr>
    </w:lvl>
    <w:lvl w:ilvl="2" w:tplc="FBBA96D4">
      <w:start w:val="1"/>
      <w:numFmt w:val="bullet"/>
      <w:lvlText w:val=""/>
      <w:lvlJc w:val="left"/>
      <w:pPr>
        <w:ind w:left="2480" w:hanging="360"/>
      </w:pPr>
      <w:rPr>
        <w:rFonts w:ascii="Wingdings" w:hAnsi="Wingdings" w:hint="default"/>
      </w:rPr>
    </w:lvl>
    <w:lvl w:ilvl="3" w:tplc="BD90F09A">
      <w:start w:val="1"/>
      <w:numFmt w:val="bullet"/>
      <w:lvlText w:val=""/>
      <w:lvlJc w:val="left"/>
      <w:pPr>
        <w:ind w:left="3200" w:hanging="360"/>
      </w:pPr>
      <w:rPr>
        <w:rFonts w:ascii="Symbol" w:hAnsi="Symbol" w:hint="default"/>
      </w:rPr>
    </w:lvl>
    <w:lvl w:ilvl="4" w:tplc="E1BC96CA">
      <w:start w:val="1"/>
      <w:numFmt w:val="bullet"/>
      <w:lvlText w:val="o"/>
      <w:lvlJc w:val="left"/>
      <w:pPr>
        <w:ind w:left="3920" w:hanging="360"/>
      </w:pPr>
      <w:rPr>
        <w:rFonts w:ascii="Courier New" w:hAnsi="Courier New" w:hint="default"/>
      </w:rPr>
    </w:lvl>
    <w:lvl w:ilvl="5" w:tplc="5AB8C8D6">
      <w:start w:val="1"/>
      <w:numFmt w:val="bullet"/>
      <w:lvlText w:val=""/>
      <w:lvlJc w:val="left"/>
      <w:pPr>
        <w:ind w:left="4640" w:hanging="360"/>
      </w:pPr>
      <w:rPr>
        <w:rFonts w:ascii="Wingdings" w:hAnsi="Wingdings" w:hint="default"/>
      </w:rPr>
    </w:lvl>
    <w:lvl w:ilvl="6" w:tplc="32D0A34A">
      <w:start w:val="1"/>
      <w:numFmt w:val="bullet"/>
      <w:lvlText w:val=""/>
      <w:lvlJc w:val="left"/>
      <w:pPr>
        <w:ind w:left="5360" w:hanging="360"/>
      </w:pPr>
      <w:rPr>
        <w:rFonts w:ascii="Symbol" w:hAnsi="Symbol" w:hint="default"/>
      </w:rPr>
    </w:lvl>
    <w:lvl w:ilvl="7" w:tplc="EB825CFA">
      <w:start w:val="1"/>
      <w:numFmt w:val="bullet"/>
      <w:lvlText w:val="o"/>
      <w:lvlJc w:val="left"/>
      <w:pPr>
        <w:ind w:left="6080" w:hanging="360"/>
      </w:pPr>
      <w:rPr>
        <w:rFonts w:ascii="Courier New" w:hAnsi="Courier New" w:hint="default"/>
      </w:rPr>
    </w:lvl>
    <w:lvl w:ilvl="8" w:tplc="63B0DECE">
      <w:start w:val="1"/>
      <w:numFmt w:val="bullet"/>
      <w:lvlText w:val=""/>
      <w:lvlJc w:val="left"/>
      <w:pPr>
        <w:ind w:left="6800" w:hanging="360"/>
      </w:pPr>
      <w:rPr>
        <w:rFonts w:ascii="Wingdings" w:hAnsi="Wingdings" w:hint="default"/>
      </w:rPr>
    </w:lvl>
  </w:abstractNum>
  <w:abstractNum w:abstractNumId="49" w15:restartNumberingAfterBreak="0">
    <w:nsid w:val="664A0A82"/>
    <w:multiLevelType w:val="hybridMultilevel"/>
    <w:tmpl w:val="FFFFFFFF"/>
    <w:lvl w:ilvl="0" w:tplc="5BF8B462">
      <w:start w:val="1"/>
      <w:numFmt w:val="bullet"/>
      <w:lvlText w:val=""/>
      <w:lvlJc w:val="left"/>
      <w:pPr>
        <w:ind w:left="400" w:hanging="360"/>
      </w:pPr>
      <w:rPr>
        <w:rFonts w:ascii="Wingdings" w:hAnsi="Wingdings" w:hint="default"/>
      </w:rPr>
    </w:lvl>
    <w:lvl w:ilvl="1" w:tplc="832A5440">
      <w:start w:val="1"/>
      <w:numFmt w:val="bullet"/>
      <w:lvlText w:val="o"/>
      <w:lvlJc w:val="left"/>
      <w:pPr>
        <w:ind w:left="1120" w:hanging="360"/>
      </w:pPr>
      <w:rPr>
        <w:rFonts w:ascii="Courier New" w:hAnsi="Courier New" w:hint="default"/>
      </w:rPr>
    </w:lvl>
    <w:lvl w:ilvl="2" w:tplc="7D14D9BE">
      <w:start w:val="1"/>
      <w:numFmt w:val="bullet"/>
      <w:lvlText w:val=""/>
      <w:lvlJc w:val="left"/>
      <w:pPr>
        <w:ind w:left="1840" w:hanging="360"/>
      </w:pPr>
      <w:rPr>
        <w:rFonts w:ascii="Wingdings" w:hAnsi="Wingdings" w:hint="default"/>
      </w:rPr>
    </w:lvl>
    <w:lvl w:ilvl="3" w:tplc="01463F30">
      <w:start w:val="1"/>
      <w:numFmt w:val="bullet"/>
      <w:lvlText w:val=""/>
      <w:lvlJc w:val="left"/>
      <w:pPr>
        <w:ind w:left="2560" w:hanging="360"/>
      </w:pPr>
      <w:rPr>
        <w:rFonts w:ascii="Symbol" w:hAnsi="Symbol" w:hint="default"/>
      </w:rPr>
    </w:lvl>
    <w:lvl w:ilvl="4" w:tplc="64F81D9E">
      <w:start w:val="1"/>
      <w:numFmt w:val="bullet"/>
      <w:lvlText w:val="o"/>
      <w:lvlJc w:val="left"/>
      <w:pPr>
        <w:ind w:left="3280" w:hanging="360"/>
      </w:pPr>
      <w:rPr>
        <w:rFonts w:ascii="Courier New" w:hAnsi="Courier New" w:hint="default"/>
      </w:rPr>
    </w:lvl>
    <w:lvl w:ilvl="5" w:tplc="AF2A8EB4">
      <w:start w:val="1"/>
      <w:numFmt w:val="bullet"/>
      <w:lvlText w:val=""/>
      <w:lvlJc w:val="left"/>
      <w:pPr>
        <w:ind w:left="4000" w:hanging="360"/>
      </w:pPr>
      <w:rPr>
        <w:rFonts w:ascii="Wingdings" w:hAnsi="Wingdings" w:hint="default"/>
      </w:rPr>
    </w:lvl>
    <w:lvl w:ilvl="6" w:tplc="2F5E8250">
      <w:start w:val="1"/>
      <w:numFmt w:val="bullet"/>
      <w:lvlText w:val=""/>
      <w:lvlJc w:val="left"/>
      <w:pPr>
        <w:ind w:left="4720" w:hanging="360"/>
      </w:pPr>
      <w:rPr>
        <w:rFonts w:ascii="Symbol" w:hAnsi="Symbol" w:hint="default"/>
      </w:rPr>
    </w:lvl>
    <w:lvl w:ilvl="7" w:tplc="CDDC1402">
      <w:start w:val="1"/>
      <w:numFmt w:val="bullet"/>
      <w:lvlText w:val="o"/>
      <w:lvlJc w:val="left"/>
      <w:pPr>
        <w:ind w:left="5440" w:hanging="360"/>
      </w:pPr>
      <w:rPr>
        <w:rFonts w:ascii="Courier New" w:hAnsi="Courier New" w:hint="default"/>
      </w:rPr>
    </w:lvl>
    <w:lvl w:ilvl="8" w:tplc="E4E8323A">
      <w:start w:val="1"/>
      <w:numFmt w:val="bullet"/>
      <w:lvlText w:val=""/>
      <w:lvlJc w:val="left"/>
      <w:pPr>
        <w:ind w:left="6160" w:hanging="360"/>
      </w:pPr>
      <w:rPr>
        <w:rFonts w:ascii="Wingdings" w:hAnsi="Wingdings" w:hint="default"/>
      </w:rPr>
    </w:lvl>
  </w:abstractNum>
  <w:abstractNum w:abstractNumId="50" w15:restartNumberingAfterBreak="0">
    <w:nsid w:val="672C44E3"/>
    <w:multiLevelType w:val="hybridMultilevel"/>
    <w:tmpl w:val="1B920BDE"/>
    <w:lvl w:ilvl="0" w:tplc="08090005">
      <w:start w:val="1"/>
      <w:numFmt w:val="bullet"/>
      <w:lvlText w:val=""/>
      <w:lvlJc w:val="left"/>
      <w:pPr>
        <w:ind w:left="1040" w:hanging="360"/>
      </w:pPr>
      <w:rPr>
        <w:rFonts w:ascii="Wingdings" w:hAnsi="Wingdings"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1" w15:restartNumberingAfterBreak="0">
    <w:nsid w:val="676C1DFB"/>
    <w:multiLevelType w:val="hybridMultilevel"/>
    <w:tmpl w:val="455E978A"/>
    <w:lvl w:ilvl="0" w:tplc="2F869BFA">
      <w:start w:val="1"/>
      <w:numFmt w:val="lowerLetter"/>
      <w:lvlText w:val="%1)"/>
      <w:lvlJc w:val="left"/>
      <w:pPr>
        <w:ind w:left="1040" w:hanging="360"/>
      </w:pPr>
      <w:rPr>
        <w:rFonts w:ascii="Foundry Form Sans" w:hAnsi="Foundry Form Sans" w:hint="default"/>
      </w:rPr>
    </w:lvl>
    <w:lvl w:ilvl="1" w:tplc="5FF80918">
      <w:start w:val="1"/>
      <w:numFmt w:val="lowerLetter"/>
      <w:lvlText w:val="%2."/>
      <w:lvlJc w:val="left"/>
      <w:pPr>
        <w:ind w:left="1760" w:hanging="360"/>
      </w:pPr>
    </w:lvl>
    <w:lvl w:ilvl="2" w:tplc="2B500E16">
      <w:start w:val="1"/>
      <w:numFmt w:val="lowerRoman"/>
      <w:lvlText w:val="%3."/>
      <w:lvlJc w:val="right"/>
      <w:pPr>
        <w:ind w:left="2480" w:hanging="180"/>
      </w:pPr>
    </w:lvl>
    <w:lvl w:ilvl="3" w:tplc="B0CAB24E">
      <w:start w:val="1"/>
      <w:numFmt w:val="decimal"/>
      <w:lvlText w:val="%4."/>
      <w:lvlJc w:val="left"/>
      <w:pPr>
        <w:ind w:left="3200" w:hanging="360"/>
      </w:pPr>
    </w:lvl>
    <w:lvl w:ilvl="4" w:tplc="DEF2A25E">
      <w:start w:val="1"/>
      <w:numFmt w:val="lowerLetter"/>
      <w:lvlText w:val="%5."/>
      <w:lvlJc w:val="left"/>
      <w:pPr>
        <w:ind w:left="3920" w:hanging="360"/>
      </w:pPr>
    </w:lvl>
    <w:lvl w:ilvl="5" w:tplc="61FA265A">
      <w:start w:val="1"/>
      <w:numFmt w:val="lowerRoman"/>
      <w:lvlText w:val="%6."/>
      <w:lvlJc w:val="right"/>
      <w:pPr>
        <w:ind w:left="4640" w:hanging="180"/>
      </w:pPr>
    </w:lvl>
    <w:lvl w:ilvl="6" w:tplc="9572DBB6">
      <w:start w:val="1"/>
      <w:numFmt w:val="decimal"/>
      <w:lvlText w:val="%7."/>
      <w:lvlJc w:val="left"/>
      <w:pPr>
        <w:ind w:left="5360" w:hanging="360"/>
      </w:pPr>
    </w:lvl>
    <w:lvl w:ilvl="7" w:tplc="6F64C9F0">
      <w:start w:val="1"/>
      <w:numFmt w:val="lowerLetter"/>
      <w:lvlText w:val="%8."/>
      <w:lvlJc w:val="left"/>
      <w:pPr>
        <w:ind w:left="6080" w:hanging="360"/>
      </w:pPr>
    </w:lvl>
    <w:lvl w:ilvl="8" w:tplc="87728BC6">
      <w:start w:val="1"/>
      <w:numFmt w:val="lowerRoman"/>
      <w:lvlText w:val="%9."/>
      <w:lvlJc w:val="right"/>
      <w:pPr>
        <w:ind w:left="6800" w:hanging="180"/>
      </w:pPr>
    </w:lvl>
  </w:abstractNum>
  <w:abstractNum w:abstractNumId="52" w15:restartNumberingAfterBreak="0">
    <w:nsid w:val="68AB4096"/>
    <w:multiLevelType w:val="multilevel"/>
    <w:tmpl w:val="EFEA72CA"/>
    <w:lvl w:ilvl="0">
      <w:start w:val="1"/>
      <w:numFmt w:val="decimal"/>
      <w:lvlText w:val="%1."/>
      <w:lvlJc w:val="left"/>
      <w:pPr>
        <w:ind w:left="680" w:hanging="680"/>
      </w:pPr>
      <w:rPr>
        <w:rFonts w:hint="default"/>
      </w:rPr>
    </w:lvl>
    <w:lvl w:ilvl="1">
      <w:start w:val="1"/>
      <w:numFmt w:val="decimal"/>
      <w:lvlText w:val="5.%2"/>
      <w:lvlJc w:val="left"/>
      <w:pPr>
        <w:ind w:left="680" w:hanging="6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1AF239B"/>
    <w:multiLevelType w:val="hybridMultilevel"/>
    <w:tmpl w:val="D6F89300"/>
    <w:lvl w:ilvl="0" w:tplc="EFE85518">
      <w:start w:val="1"/>
      <w:numFmt w:val="bullet"/>
      <w:lvlText w:val=""/>
      <w:lvlJc w:val="left"/>
      <w:pPr>
        <w:ind w:left="720" w:hanging="360"/>
      </w:pPr>
      <w:rPr>
        <w:rFonts w:ascii="Wingdings" w:hAnsi="Wingdings" w:hint="default"/>
      </w:rPr>
    </w:lvl>
    <w:lvl w:ilvl="1" w:tplc="0E9CC6F6">
      <w:start w:val="1"/>
      <w:numFmt w:val="bullet"/>
      <w:lvlText w:val="o"/>
      <w:lvlJc w:val="left"/>
      <w:pPr>
        <w:ind w:left="1440" w:hanging="360"/>
      </w:pPr>
      <w:rPr>
        <w:rFonts w:ascii="Courier New" w:hAnsi="Courier New" w:hint="default"/>
      </w:rPr>
    </w:lvl>
    <w:lvl w:ilvl="2" w:tplc="76449734">
      <w:start w:val="1"/>
      <w:numFmt w:val="bullet"/>
      <w:lvlText w:val=""/>
      <w:lvlJc w:val="left"/>
      <w:pPr>
        <w:ind w:left="2160" w:hanging="360"/>
      </w:pPr>
      <w:rPr>
        <w:rFonts w:ascii="Wingdings" w:hAnsi="Wingdings" w:hint="default"/>
      </w:rPr>
    </w:lvl>
    <w:lvl w:ilvl="3" w:tplc="1F72AD08">
      <w:start w:val="1"/>
      <w:numFmt w:val="bullet"/>
      <w:lvlText w:val=""/>
      <w:lvlJc w:val="left"/>
      <w:pPr>
        <w:ind w:left="2880" w:hanging="360"/>
      </w:pPr>
      <w:rPr>
        <w:rFonts w:ascii="Symbol" w:hAnsi="Symbol" w:hint="default"/>
      </w:rPr>
    </w:lvl>
    <w:lvl w:ilvl="4" w:tplc="9CBEA4B0">
      <w:start w:val="1"/>
      <w:numFmt w:val="bullet"/>
      <w:lvlText w:val="o"/>
      <w:lvlJc w:val="left"/>
      <w:pPr>
        <w:ind w:left="3600" w:hanging="360"/>
      </w:pPr>
      <w:rPr>
        <w:rFonts w:ascii="Courier New" w:hAnsi="Courier New" w:hint="default"/>
      </w:rPr>
    </w:lvl>
    <w:lvl w:ilvl="5" w:tplc="9CFCED00">
      <w:start w:val="1"/>
      <w:numFmt w:val="bullet"/>
      <w:lvlText w:val=""/>
      <w:lvlJc w:val="left"/>
      <w:pPr>
        <w:ind w:left="4320" w:hanging="360"/>
      </w:pPr>
      <w:rPr>
        <w:rFonts w:ascii="Wingdings" w:hAnsi="Wingdings" w:hint="default"/>
      </w:rPr>
    </w:lvl>
    <w:lvl w:ilvl="6" w:tplc="BD76ED16">
      <w:start w:val="1"/>
      <w:numFmt w:val="bullet"/>
      <w:lvlText w:val=""/>
      <w:lvlJc w:val="left"/>
      <w:pPr>
        <w:ind w:left="5040" w:hanging="360"/>
      </w:pPr>
      <w:rPr>
        <w:rFonts w:ascii="Symbol" w:hAnsi="Symbol" w:hint="default"/>
      </w:rPr>
    </w:lvl>
    <w:lvl w:ilvl="7" w:tplc="2638A13A">
      <w:start w:val="1"/>
      <w:numFmt w:val="bullet"/>
      <w:lvlText w:val="o"/>
      <w:lvlJc w:val="left"/>
      <w:pPr>
        <w:ind w:left="5760" w:hanging="360"/>
      </w:pPr>
      <w:rPr>
        <w:rFonts w:ascii="Courier New" w:hAnsi="Courier New" w:hint="default"/>
      </w:rPr>
    </w:lvl>
    <w:lvl w:ilvl="8" w:tplc="98CAF828">
      <w:start w:val="1"/>
      <w:numFmt w:val="bullet"/>
      <w:lvlText w:val=""/>
      <w:lvlJc w:val="left"/>
      <w:pPr>
        <w:ind w:left="6480" w:hanging="360"/>
      </w:pPr>
      <w:rPr>
        <w:rFonts w:ascii="Wingdings" w:hAnsi="Wingdings" w:hint="default"/>
      </w:rPr>
    </w:lvl>
  </w:abstractNum>
  <w:abstractNum w:abstractNumId="54" w15:restartNumberingAfterBreak="0">
    <w:nsid w:val="793A78B7"/>
    <w:multiLevelType w:val="hybridMultilevel"/>
    <w:tmpl w:val="28523126"/>
    <w:lvl w:ilvl="0" w:tplc="FC5048E2">
      <w:start w:val="1"/>
      <w:numFmt w:val="decimal"/>
      <w:lvlText w:val="7.%1"/>
      <w:lvlJc w:val="left"/>
      <w:pPr>
        <w:ind w:left="680" w:hanging="68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14902E"/>
    <w:multiLevelType w:val="hybridMultilevel"/>
    <w:tmpl w:val="FFFFFFFF"/>
    <w:lvl w:ilvl="0" w:tplc="15F0E866">
      <w:start w:val="1"/>
      <w:numFmt w:val="bullet"/>
      <w:lvlText w:val=""/>
      <w:lvlJc w:val="left"/>
      <w:pPr>
        <w:ind w:left="400" w:hanging="360"/>
      </w:pPr>
      <w:rPr>
        <w:rFonts w:ascii="Wingdings" w:hAnsi="Wingdings" w:hint="default"/>
      </w:rPr>
    </w:lvl>
    <w:lvl w:ilvl="1" w:tplc="527AA4A8">
      <w:start w:val="1"/>
      <w:numFmt w:val="bullet"/>
      <w:lvlText w:val="o"/>
      <w:lvlJc w:val="left"/>
      <w:pPr>
        <w:ind w:left="1120" w:hanging="360"/>
      </w:pPr>
      <w:rPr>
        <w:rFonts w:ascii="Courier New" w:hAnsi="Courier New" w:hint="default"/>
      </w:rPr>
    </w:lvl>
    <w:lvl w:ilvl="2" w:tplc="695E932E">
      <w:start w:val="1"/>
      <w:numFmt w:val="bullet"/>
      <w:lvlText w:val=""/>
      <w:lvlJc w:val="left"/>
      <w:pPr>
        <w:ind w:left="1840" w:hanging="360"/>
      </w:pPr>
      <w:rPr>
        <w:rFonts w:ascii="Wingdings" w:hAnsi="Wingdings" w:hint="default"/>
      </w:rPr>
    </w:lvl>
    <w:lvl w:ilvl="3" w:tplc="F2A8B2E8">
      <w:start w:val="1"/>
      <w:numFmt w:val="bullet"/>
      <w:lvlText w:val=""/>
      <w:lvlJc w:val="left"/>
      <w:pPr>
        <w:ind w:left="2560" w:hanging="360"/>
      </w:pPr>
      <w:rPr>
        <w:rFonts w:ascii="Symbol" w:hAnsi="Symbol" w:hint="default"/>
      </w:rPr>
    </w:lvl>
    <w:lvl w:ilvl="4" w:tplc="EB1C38E4">
      <w:start w:val="1"/>
      <w:numFmt w:val="bullet"/>
      <w:lvlText w:val="o"/>
      <w:lvlJc w:val="left"/>
      <w:pPr>
        <w:ind w:left="3280" w:hanging="360"/>
      </w:pPr>
      <w:rPr>
        <w:rFonts w:ascii="Courier New" w:hAnsi="Courier New" w:hint="default"/>
      </w:rPr>
    </w:lvl>
    <w:lvl w:ilvl="5" w:tplc="0EF40EDE">
      <w:start w:val="1"/>
      <w:numFmt w:val="bullet"/>
      <w:lvlText w:val=""/>
      <w:lvlJc w:val="left"/>
      <w:pPr>
        <w:ind w:left="4000" w:hanging="360"/>
      </w:pPr>
      <w:rPr>
        <w:rFonts w:ascii="Wingdings" w:hAnsi="Wingdings" w:hint="default"/>
      </w:rPr>
    </w:lvl>
    <w:lvl w:ilvl="6" w:tplc="BB0088F0">
      <w:start w:val="1"/>
      <w:numFmt w:val="bullet"/>
      <w:lvlText w:val=""/>
      <w:lvlJc w:val="left"/>
      <w:pPr>
        <w:ind w:left="4720" w:hanging="360"/>
      </w:pPr>
      <w:rPr>
        <w:rFonts w:ascii="Symbol" w:hAnsi="Symbol" w:hint="default"/>
      </w:rPr>
    </w:lvl>
    <w:lvl w:ilvl="7" w:tplc="DCF64316">
      <w:start w:val="1"/>
      <w:numFmt w:val="bullet"/>
      <w:lvlText w:val="o"/>
      <w:lvlJc w:val="left"/>
      <w:pPr>
        <w:ind w:left="5440" w:hanging="360"/>
      </w:pPr>
      <w:rPr>
        <w:rFonts w:ascii="Courier New" w:hAnsi="Courier New" w:hint="default"/>
      </w:rPr>
    </w:lvl>
    <w:lvl w:ilvl="8" w:tplc="F0EC473E">
      <w:start w:val="1"/>
      <w:numFmt w:val="bullet"/>
      <w:lvlText w:val=""/>
      <w:lvlJc w:val="left"/>
      <w:pPr>
        <w:ind w:left="6160" w:hanging="360"/>
      </w:pPr>
      <w:rPr>
        <w:rFonts w:ascii="Wingdings" w:hAnsi="Wingdings" w:hint="default"/>
      </w:rPr>
    </w:lvl>
  </w:abstractNum>
  <w:abstractNum w:abstractNumId="56" w15:restartNumberingAfterBreak="0">
    <w:nsid w:val="7EB70E3B"/>
    <w:multiLevelType w:val="hybridMultilevel"/>
    <w:tmpl w:val="884665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8" w15:restartNumberingAfterBreak="0">
    <w:nsid w:val="7FF2FCAA"/>
    <w:multiLevelType w:val="hybridMultilevel"/>
    <w:tmpl w:val="6608CCDC"/>
    <w:lvl w:ilvl="0" w:tplc="C7E63776">
      <w:start w:val="1"/>
      <w:numFmt w:val="bullet"/>
      <w:lvlText w:val=""/>
      <w:lvlJc w:val="left"/>
      <w:pPr>
        <w:ind w:left="1040" w:hanging="360"/>
      </w:pPr>
      <w:rPr>
        <w:rFonts w:ascii="Wingdings" w:hAnsi="Wingdings" w:hint="default"/>
      </w:rPr>
    </w:lvl>
    <w:lvl w:ilvl="1" w:tplc="0D1E736E">
      <w:start w:val="1"/>
      <w:numFmt w:val="bullet"/>
      <w:lvlText w:val="o"/>
      <w:lvlJc w:val="left"/>
      <w:pPr>
        <w:ind w:left="1760" w:hanging="360"/>
      </w:pPr>
      <w:rPr>
        <w:rFonts w:ascii="Courier New" w:hAnsi="Courier New" w:hint="default"/>
      </w:rPr>
    </w:lvl>
    <w:lvl w:ilvl="2" w:tplc="DFC2AA62">
      <w:start w:val="1"/>
      <w:numFmt w:val="bullet"/>
      <w:lvlText w:val=""/>
      <w:lvlJc w:val="left"/>
      <w:pPr>
        <w:ind w:left="2480" w:hanging="360"/>
      </w:pPr>
      <w:rPr>
        <w:rFonts w:ascii="Wingdings" w:hAnsi="Wingdings" w:hint="default"/>
      </w:rPr>
    </w:lvl>
    <w:lvl w:ilvl="3" w:tplc="12DA919E">
      <w:start w:val="1"/>
      <w:numFmt w:val="bullet"/>
      <w:lvlText w:val=""/>
      <w:lvlJc w:val="left"/>
      <w:pPr>
        <w:ind w:left="3200" w:hanging="360"/>
      </w:pPr>
      <w:rPr>
        <w:rFonts w:ascii="Symbol" w:hAnsi="Symbol" w:hint="default"/>
      </w:rPr>
    </w:lvl>
    <w:lvl w:ilvl="4" w:tplc="01A8E186">
      <w:start w:val="1"/>
      <w:numFmt w:val="bullet"/>
      <w:lvlText w:val="o"/>
      <w:lvlJc w:val="left"/>
      <w:pPr>
        <w:ind w:left="3920" w:hanging="360"/>
      </w:pPr>
      <w:rPr>
        <w:rFonts w:ascii="Courier New" w:hAnsi="Courier New" w:hint="default"/>
      </w:rPr>
    </w:lvl>
    <w:lvl w:ilvl="5" w:tplc="57FCE3A2">
      <w:start w:val="1"/>
      <w:numFmt w:val="bullet"/>
      <w:lvlText w:val=""/>
      <w:lvlJc w:val="left"/>
      <w:pPr>
        <w:ind w:left="4640" w:hanging="360"/>
      </w:pPr>
      <w:rPr>
        <w:rFonts w:ascii="Wingdings" w:hAnsi="Wingdings" w:hint="default"/>
      </w:rPr>
    </w:lvl>
    <w:lvl w:ilvl="6" w:tplc="458A18E6">
      <w:start w:val="1"/>
      <w:numFmt w:val="bullet"/>
      <w:lvlText w:val=""/>
      <w:lvlJc w:val="left"/>
      <w:pPr>
        <w:ind w:left="5360" w:hanging="360"/>
      </w:pPr>
      <w:rPr>
        <w:rFonts w:ascii="Symbol" w:hAnsi="Symbol" w:hint="default"/>
      </w:rPr>
    </w:lvl>
    <w:lvl w:ilvl="7" w:tplc="81D07CDC">
      <w:start w:val="1"/>
      <w:numFmt w:val="bullet"/>
      <w:lvlText w:val="o"/>
      <w:lvlJc w:val="left"/>
      <w:pPr>
        <w:ind w:left="6080" w:hanging="360"/>
      </w:pPr>
      <w:rPr>
        <w:rFonts w:ascii="Courier New" w:hAnsi="Courier New" w:hint="default"/>
      </w:rPr>
    </w:lvl>
    <w:lvl w:ilvl="8" w:tplc="A1B4167E">
      <w:start w:val="1"/>
      <w:numFmt w:val="bullet"/>
      <w:lvlText w:val=""/>
      <w:lvlJc w:val="left"/>
      <w:pPr>
        <w:ind w:left="6800" w:hanging="360"/>
      </w:pPr>
      <w:rPr>
        <w:rFonts w:ascii="Wingdings" w:hAnsi="Wingdings" w:hint="default"/>
      </w:rPr>
    </w:lvl>
  </w:abstractNum>
  <w:num w:numId="1" w16cid:durableId="85813412">
    <w:abstractNumId w:val="31"/>
  </w:num>
  <w:num w:numId="2" w16cid:durableId="1494488980">
    <w:abstractNumId w:val="55"/>
  </w:num>
  <w:num w:numId="3" w16cid:durableId="1076779690">
    <w:abstractNumId w:val="49"/>
  </w:num>
  <w:num w:numId="4" w16cid:durableId="164786532">
    <w:abstractNumId w:val="18"/>
  </w:num>
  <w:num w:numId="5" w16cid:durableId="762455213">
    <w:abstractNumId w:val="21"/>
  </w:num>
  <w:num w:numId="6" w16cid:durableId="213783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24185">
    <w:abstractNumId w:val="9"/>
  </w:num>
  <w:num w:numId="8" w16cid:durableId="1987659960">
    <w:abstractNumId w:val="8"/>
    <w:lvlOverride w:ilvl="0">
      <w:startOverride w:val="1"/>
    </w:lvlOverride>
  </w:num>
  <w:num w:numId="9" w16cid:durableId="1526940283">
    <w:abstractNumId w:val="7"/>
  </w:num>
  <w:num w:numId="10" w16cid:durableId="1944875051">
    <w:abstractNumId w:val="6"/>
  </w:num>
  <w:num w:numId="11" w16cid:durableId="1820801454">
    <w:abstractNumId w:val="5"/>
  </w:num>
  <w:num w:numId="12" w16cid:durableId="1336229870">
    <w:abstractNumId w:val="4"/>
  </w:num>
  <w:num w:numId="13" w16cid:durableId="392512026">
    <w:abstractNumId w:val="3"/>
    <w:lvlOverride w:ilvl="0">
      <w:startOverride w:val="1"/>
    </w:lvlOverride>
  </w:num>
  <w:num w:numId="14" w16cid:durableId="1794251987">
    <w:abstractNumId w:val="2"/>
    <w:lvlOverride w:ilvl="0">
      <w:startOverride w:val="1"/>
    </w:lvlOverride>
  </w:num>
  <w:num w:numId="15" w16cid:durableId="1438407881">
    <w:abstractNumId w:val="1"/>
    <w:lvlOverride w:ilvl="0">
      <w:startOverride w:val="1"/>
    </w:lvlOverride>
  </w:num>
  <w:num w:numId="16" w16cid:durableId="1765372339">
    <w:abstractNumId w:val="0"/>
    <w:lvlOverride w:ilvl="0">
      <w:startOverride w:val="1"/>
    </w:lvlOverride>
  </w:num>
  <w:num w:numId="17" w16cid:durableId="214237355">
    <w:abstractNumId w:val="23"/>
  </w:num>
  <w:num w:numId="18" w16cid:durableId="856582643">
    <w:abstractNumId w:val="30"/>
  </w:num>
  <w:num w:numId="19" w16cid:durableId="11976202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4217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9041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1681366">
    <w:abstractNumId w:val="38"/>
  </w:num>
  <w:num w:numId="23" w16cid:durableId="1572882384">
    <w:abstractNumId w:val="45"/>
  </w:num>
  <w:num w:numId="24" w16cid:durableId="566958804">
    <w:abstractNumId w:val="53"/>
  </w:num>
  <w:num w:numId="25" w16cid:durableId="1068112767">
    <w:abstractNumId w:val="25"/>
  </w:num>
  <w:num w:numId="26" w16cid:durableId="2105421231">
    <w:abstractNumId w:val="43"/>
  </w:num>
  <w:num w:numId="27" w16cid:durableId="1010832183">
    <w:abstractNumId w:val="48"/>
  </w:num>
  <w:num w:numId="28" w16cid:durableId="565341456">
    <w:abstractNumId w:val="36"/>
  </w:num>
  <w:num w:numId="29" w16cid:durableId="967660465">
    <w:abstractNumId w:val="52"/>
  </w:num>
  <w:num w:numId="30" w16cid:durableId="235171899">
    <w:abstractNumId w:val="16"/>
  </w:num>
  <w:num w:numId="31" w16cid:durableId="1436092132">
    <w:abstractNumId w:val="12"/>
  </w:num>
  <w:num w:numId="32" w16cid:durableId="1947038816">
    <w:abstractNumId w:val="37"/>
  </w:num>
  <w:num w:numId="33" w16cid:durableId="496119565">
    <w:abstractNumId w:val="26"/>
  </w:num>
  <w:num w:numId="34" w16cid:durableId="1831023193">
    <w:abstractNumId w:val="40"/>
  </w:num>
  <w:num w:numId="35" w16cid:durableId="258368887">
    <w:abstractNumId w:val="34"/>
  </w:num>
  <w:num w:numId="36" w16cid:durableId="588925409">
    <w:abstractNumId w:val="54"/>
  </w:num>
  <w:num w:numId="37" w16cid:durableId="1917548870">
    <w:abstractNumId w:val="44"/>
  </w:num>
  <w:num w:numId="38" w16cid:durableId="766314051">
    <w:abstractNumId w:val="47"/>
  </w:num>
  <w:num w:numId="39" w16cid:durableId="1726640363">
    <w:abstractNumId w:val="32"/>
  </w:num>
  <w:num w:numId="40" w16cid:durableId="175190551">
    <w:abstractNumId w:val="50"/>
  </w:num>
  <w:num w:numId="41" w16cid:durableId="1192568984">
    <w:abstractNumId w:val="51"/>
  </w:num>
  <w:num w:numId="42" w16cid:durableId="573010374">
    <w:abstractNumId w:val="13"/>
  </w:num>
  <w:num w:numId="43" w16cid:durableId="253633049">
    <w:abstractNumId w:val="41"/>
  </w:num>
  <w:num w:numId="44" w16cid:durableId="149761913">
    <w:abstractNumId w:val="56"/>
  </w:num>
  <w:num w:numId="45" w16cid:durableId="1795712867">
    <w:abstractNumId w:val="14"/>
  </w:num>
  <w:num w:numId="46" w16cid:durableId="408314027">
    <w:abstractNumId w:val="35"/>
  </w:num>
  <w:num w:numId="47" w16cid:durableId="1134569157">
    <w:abstractNumId w:val="17"/>
  </w:num>
  <w:num w:numId="48" w16cid:durableId="1810391891">
    <w:abstractNumId w:val="58"/>
  </w:num>
  <w:num w:numId="49" w16cid:durableId="2049524473">
    <w:abstractNumId w:val="15"/>
  </w:num>
  <w:num w:numId="50" w16cid:durableId="1586694036">
    <w:abstractNumId w:val="22"/>
  </w:num>
  <w:num w:numId="51" w16cid:durableId="1743141871">
    <w:abstractNumId w:val="10"/>
  </w:num>
  <w:num w:numId="52" w16cid:durableId="1534997757">
    <w:abstractNumId w:val="20"/>
  </w:num>
  <w:num w:numId="53" w16cid:durableId="759064472">
    <w:abstractNumId w:val="46"/>
  </w:num>
  <w:num w:numId="54" w16cid:durableId="1320694054">
    <w:abstractNumId w:val="28"/>
  </w:num>
  <w:num w:numId="55" w16cid:durableId="809248459">
    <w:abstractNumId w:val="11"/>
  </w:num>
  <w:num w:numId="56" w16cid:durableId="1226835425">
    <w:abstractNumId w:val="27"/>
  </w:num>
  <w:num w:numId="57" w16cid:durableId="910237239">
    <w:abstractNumId w:val="39"/>
  </w:num>
  <w:num w:numId="58" w16cid:durableId="463933394">
    <w:abstractNumId w:val="24"/>
  </w:num>
  <w:num w:numId="59" w16cid:durableId="1835607883">
    <w:abstractNumId w:val="19"/>
  </w:num>
  <w:num w:numId="60" w16cid:durableId="437993096">
    <w:abstractNumId w:val="19"/>
    <w:lvlOverride w:ilvl="0">
      <w:startOverride w:val="5"/>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B7"/>
    <w:rsid w:val="000006B3"/>
    <w:rsid w:val="00001AC3"/>
    <w:rsid w:val="00002E44"/>
    <w:rsid w:val="00005E9D"/>
    <w:rsid w:val="00006608"/>
    <w:rsid w:val="0000727E"/>
    <w:rsid w:val="0000756F"/>
    <w:rsid w:val="00007E58"/>
    <w:rsid w:val="0001130B"/>
    <w:rsid w:val="0001222D"/>
    <w:rsid w:val="000124D4"/>
    <w:rsid w:val="00013E8C"/>
    <w:rsid w:val="00014798"/>
    <w:rsid w:val="00014E3D"/>
    <w:rsid w:val="00014FAC"/>
    <w:rsid w:val="000151E8"/>
    <w:rsid w:val="0001560C"/>
    <w:rsid w:val="00015AB0"/>
    <w:rsid w:val="00015FB5"/>
    <w:rsid w:val="0001613E"/>
    <w:rsid w:val="00016490"/>
    <w:rsid w:val="000171C5"/>
    <w:rsid w:val="00017252"/>
    <w:rsid w:val="00017A7B"/>
    <w:rsid w:val="00020120"/>
    <w:rsid w:val="00020468"/>
    <w:rsid w:val="000204EE"/>
    <w:rsid w:val="00020C2E"/>
    <w:rsid w:val="00021C04"/>
    <w:rsid w:val="00021E9F"/>
    <w:rsid w:val="0002354C"/>
    <w:rsid w:val="00023C2C"/>
    <w:rsid w:val="00024D5B"/>
    <w:rsid w:val="000250AA"/>
    <w:rsid w:val="00025462"/>
    <w:rsid w:val="00026343"/>
    <w:rsid w:val="000265BF"/>
    <w:rsid w:val="0002698A"/>
    <w:rsid w:val="0003057D"/>
    <w:rsid w:val="0003073D"/>
    <w:rsid w:val="00030B1B"/>
    <w:rsid w:val="00030FD7"/>
    <w:rsid w:val="000325AB"/>
    <w:rsid w:val="000326AB"/>
    <w:rsid w:val="00032CAD"/>
    <w:rsid w:val="0003334B"/>
    <w:rsid w:val="00033B45"/>
    <w:rsid w:val="00033ECC"/>
    <w:rsid w:val="000340A7"/>
    <w:rsid w:val="0003512E"/>
    <w:rsid w:val="00035899"/>
    <w:rsid w:val="00036563"/>
    <w:rsid w:val="00037718"/>
    <w:rsid w:val="00040B36"/>
    <w:rsid w:val="00041676"/>
    <w:rsid w:val="000416E9"/>
    <w:rsid w:val="00041FA0"/>
    <w:rsid w:val="00042690"/>
    <w:rsid w:val="00043481"/>
    <w:rsid w:val="00043BFF"/>
    <w:rsid w:val="00044E1D"/>
    <w:rsid w:val="00044F7F"/>
    <w:rsid w:val="00045055"/>
    <w:rsid w:val="00045302"/>
    <w:rsid w:val="00046BA1"/>
    <w:rsid w:val="00047098"/>
    <w:rsid w:val="00050268"/>
    <w:rsid w:val="00050433"/>
    <w:rsid w:val="0005062C"/>
    <w:rsid w:val="00050794"/>
    <w:rsid w:val="00050836"/>
    <w:rsid w:val="000522EC"/>
    <w:rsid w:val="00052943"/>
    <w:rsid w:val="00052E17"/>
    <w:rsid w:val="00053898"/>
    <w:rsid w:val="00053D2C"/>
    <w:rsid w:val="000555F6"/>
    <w:rsid w:val="00055910"/>
    <w:rsid w:val="000559FF"/>
    <w:rsid w:val="00055D96"/>
    <w:rsid w:val="00056201"/>
    <w:rsid w:val="000563DE"/>
    <w:rsid w:val="00056910"/>
    <w:rsid w:val="000569C9"/>
    <w:rsid w:val="000573CC"/>
    <w:rsid w:val="00057E1D"/>
    <w:rsid w:val="0006140A"/>
    <w:rsid w:val="000621DF"/>
    <w:rsid w:val="000621F7"/>
    <w:rsid w:val="00062D85"/>
    <w:rsid w:val="00062E02"/>
    <w:rsid w:val="00063573"/>
    <w:rsid w:val="0006444A"/>
    <w:rsid w:val="0006484E"/>
    <w:rsid w:val="00064AFD"/>
    <w:rsid w:val="00065914"/>
    <w:rsid w:val="0006633C"/>
    <w:rsid w:val="00066BEF"/>
    <w:rsid w:val="000670C3"/>
    <w:rsid w:val="00067A24"/>
    <w:rsid w:val="00067B73"/>
    <w:rsid w:val="00071025"/>
    <w:rsid w:val="00071628"/>
    <w:rsid w:val="00071BFC"/>
    <w:rsid w:val="000727CD"/>
    <w:rsid w:val="000738C2"/>
    <w:rsid w:val="00074DEE"/>
    <w:rsid w:val="00076922"/>
    <w:rsid w:val="00076AEF"/>
    <w:rsid w:val="00077BA3"/>
    <w:rsid w:val="0007E026"/>
    <w:rsid w:val="00080038"/>
    <w:rsid w:val="00080876"/>
    <w:rsid w:val="00080D36"/>
    <w:rsid w:val="00081564"/>
    <w:rsid w:val="0008169B"/>
    <w:rsid w:val="00081AD8"/>
    <w:rsid w:val="00082370"/>
    <w:rsid w:val="00082D8C"/>
    <w:rsid w:val="0008362B"/>
    <w:rsid w:val="00085105"/>
    <w:rsid w:val="00085BF6"/>
    <w:rsid w:val="000867E8"/>
    <w:rsid w:val="0008709D"/>
    <w:rsid w:val="000871C3"/>
    <w:rsid w:val="00087C2F"/>
    <w:rsid w:val="00087F01"/>
    <w:rsid w:val="00091059"/>
    <w:rsid w:val="000915A0"/>
    <w:rsid w:val="000919DF"/>
    <w:rsid w:val="00091F23"/>
    <w:rsid w:val="000928EB"/>
    <w:rsid w:val="000929E8"/>
    <w:rsid w:val="00092E73"/>
    <w:rsid w:val="00093577"/>
    <w:rsid w:val="00093722"/>
    <w:rsid w:val="00093AFF"/>
    <w:rsid w:val="00094392"/>
    <w:rsid w:val="000944AB"/>
    <w:rsid w:val="00094DC4"/>
    <w:rsid w:val="0009515D"/>
    <w:rsid w:val="000954C3"/>
    <w:rsid w:val="0009563C"/>
    <w:rsid w:val="00095929"/>
    <w:rsid w:val="00095A8D"/>
    <w:rsid w:val="00096438"/>
    <w:rsid w:val="0009722B"/>
    <w:rsid w:val="00097AE9"/>
    <w:rsid w:val="00097D7B"/>
    <w:rsid w:val="000A10EF"/>
    <w:rsid w:val="000A1AE0"/>
    <w:rsid w:val="000A1CC0"/>
    <w:rsid w:val="000A2551"/>
    <w:rsid w:val="000A2BBD"/>
    <w:rsid w:val="000A2C16"/>
    <w:rsid w:val="000A2DB3"/>
    <w:rsid w:val="000A3739"/>
    <w:rsid w:val="000A3CD5"/>
    <w:rsid w:val="000A63FB"/>
    <w:rsid w:val="000A6953"/>
    <w:rsid w:val="000A6A2D"/>
    <w:rsid w:val="000A774D"/>
    <w:rsid w:val="000A7942"/>
    <w:rsid w:val="000B038A"/>
    <w:rsid w:val="000B12F0"/>
    <w:rsid w:val="000B1A18"/>
    <w:rsid w:val="000B2EE9"/>
    <w:rsid w:val="000B30A0"/>
    <w:rsid w:val="000B37D7"/>
    <w:rsid w:val="000B3EC8"/>
    <w:rsid w:val="000B477C"/>
    <w:rsid w:val="000B5504"/>
    <w:rsid w:val="000B5E25"/>
    <w:rsid w:val="000B6323"/>
    <w:rsid w:val="000B65FA"/>
    <w:rsid w:val="000B662E"/>
    <w:rsid w:val="000B66F2"/>
    <w:rsid w:val="000B7300"/>
    <w:rsid w:val="000B73CF"/>
    <w:rsid w:val="000B7654"/>
    <w:rsid w:val="000C0142"/>
    <w:rsid w:val="000C0AA7"/>
    <w:rsid w:val="000C1957"/>
    <w:rsid w:val="000C2554"/>
    <w:rsid w:val="000C2BB2"/>
    <w:rsid w:val="000C3909"/>
    <w:rsid w:val="000C3DDE"/>
    <w:rsid w:val="000C5F20"/>
    <w:rsid w:val="000C62CE"/>
    <w:rsid w:val="000D0469"/>
    <w:rsid w:val="000D0B87"/>
    <w:rsid w:val="000D143B"/>
    <w:rsid w:val="000D2315"/>
    <w:rsid w:val="000D2FA9"/>
    <w:rsid w:val="000D38A4"/>
    <w:rsid w:val="000D40C1"/>
    <w:rsid w:val="000D474E"/>
    <w:rsid w:val="000D6949"/>
    <w:rsid w:val="000D79E3"/>
    <w:rsid w:val="000D7ADD"/>
    <w:rsid w:val="000E0592"/>
    <w:rsid w:val="000E0829"/>
    <w:rsid w:val="000E0951"/>
    <w:rsid w:val="000E09DF"/>
    <w:rsid w:val="000E2764"/>
    <w:rsid w:val="000E316A"/>
    <w:rsid w:val="000E331D"/>
    <w:rsid w:val="000E3647"/>
    <w:rsid w:val="000E3AAD"/>
    <w:rsid w:val="000E59F9"/>
    <w:rsid w:val="000E5B61"/>
    <w:rsid w:val="000E5CE9"/>
    <w:rsid w:val="000E5F22"/>
    <w:rsid w:val="000E5FD1"/>
    <w:rsid w:val="000E624D"/>
    <w:rsid w:val="000E705D"/>
    <w:rsid w:val="000E79B2"/>
    <w:rsid w:val="000F0F33"/>
    <w:rsid w:val="000F2A98"/>
    <w:rsid w:val="000F2F7A"/>
    <w:rsid w:val="000F3667"/>
    <w:rsid w:val="000F55C6"/>
    <w:rsid w:val="000F59E1"/>
    <w:rsid w:val="000F63EF"/>
    <w:rsid w:val="000F6438"/>
    <w:rsid w:val="000F6DC2"/>
    <w:rsid w:val="000F71D8"/>
    <w:rsid w:val="000F754E"/>
    <w:rsid w:val="000F7BB5"/>
    <w:rsid w:val="0010038F"/>
    <w:rsid w:val="0010066E"/>
    <w:rsid w:val="00100F7C"/>
    <w:rsid w:val="001012DF"/>
    <w:rsid w:val="00101396"/>
    <w:rsid w:val="00102283"/>
    <w:rsid w:val="00103979"/>
    <w:rsid w:val="00105A53"/>
    <w:rsid w:val="00106393"/>
    <w:rsid w:val="00106BF5"/>
    <w:rsid w:val="00107388"/>
    <w:rsid w:val="001077AB"/>
    <w:rsid w:val="00110105"/>
    <w:rsid w:val="00110B5A"/>
    <w:rsid w:val="00111C93"/>
    <w:rsid w:val="0011213F"/>
    <w:rsid w:val="0011295D"/>
    <w:rsid w:val="00114B01"/>
    <w:rsid w:val="001152B5"/>
    <w:rsid w:val="001158A7"/>
    <w:rsid w:val="001171C3"/>
    <w:rsid w:val="001175D1"/>
    <w:rsid w:val="0011FAE2"/>
    <w:rsid w:val="00120CF9"/>
    <w:rsid w:val="00121298"/>
    <w:rsid w:val="00122B2A"/>
    <w:rsid w:val="001240F8"/>
    <w:rsid w:val="00125BE8"/>
    <w:rsid w:val="00126A7E"/>
    <w:rsid w:val="00127CA7"/>
    <w:rsid w:val="00130347"/>
    <w:rsid w:val="00130545"/>
    <w:rsid w:val="001319D4"/>
    <w:rsid w:val="00133154"/>
    <w:rsid w:val="00133BB7"/>
    <w:rsid w:val="00133C59"/>
    <w:rsid w:val="001344A4"/>
    <w:rsid w:val="00134C80"/>
    <w:rsid w:val="0013575D"/>
    <w:rsid w:val="00137B82"/>
    <w:rsid w:val="00137E5C"/>
    <w:rsid w:val="001421F9"/>
    <w:rsid w:val="00142691"/>
    <w:rsid w:val="0014392E"/>
    <w:rsid w:val="00144135"/>
    <w:rsid w:val="001441DB"/>
    <w:rsid w:val="0014457A"/>
    <w:rsid w:val="001447DB"/>
    <w:rsid w:val="001449F4"/>
    <w:rsid w:val="001455CC"/>
    <w:rsid w:val="0014572D"/>
    <w:rsid w:val="00145C49"/>
    <w:rsid w:val="00146910"/>
    <w:rsid w:val="00146D09"/>
    <w:rsid w:val="00146EB9"/>
    <w:rsid w:val="00147D19"/>
    <w:rsid w:val="001510A2"/>
    <w:rsid w:val="0015182F"/>
    <w:rsid w:val="00151BA8"/>
    <w:rsid w:val="00151F78"/>
    <w:rsid w:val="00152ADA"/>
    <w:rsid w:val="0015375A"/>
    <w:rsid w:val="001544C6"/>
    <w:rsid w:val="001546BA"/>
    <w:rsid w:val="00155D9A"/>
    <w:rsid w:val="00155FAF"/>
    <w:rsid w:val="0015678D"/>
    <w:rsid w:val="001569C7"/>
    <w:rsid w:val="00156C5B"/>
    <w:rsid w:val="00156CD0"/>
    <w:rsid w:val="00156D65"/>
    <w:rsid w:val="0015739D"/>
    <w:rsid w:val="0015793F"/>
    <w:rsid w:val="00157946"/>
    <w:rsid w:val="00160198"/>
    <w:rsid w:val="00161765"/>
    <w:rsid w:val="00161FDD"/>
    <w:rsid w:val="00162AA3"/>
    <w:rsid w:val="00162D95"/>
    <w:rsid w:val="00163304"/>
    <w:rsid w:val="001640A9"/>
    <w:rsid w:val="00164D93"/>
    <w:rsid w:val="00165267"/>
    <w:rsid w:val="00165C28"/>
    <w:rsid w:val="00166871"/>
    <w:rsid w:val="001673E7"/>
    <w:rsid w:val="00167A5D"/>
    <w:rsid w:val="00167BD2"/>
    <w:rsid w:val="001700D7"/>
    <w:rsid w:val="001701B0"/>
    <w:rsid w:val="00170AD6"/>
    <w:rsid w:val="00171068"/>
    <w:rsid w:val="00171E89"/>
    <w:rsid w:val="00172924"/>
    <w:rsid w:val="00172F7B"/>
    <w:rsid w:val="00173B9B"/>
    <w:rsid w:val="001745E9"/>
    <w:rsid w:val="00174638"/>
    <w:rsid w:val="001752F1"/>
    <w:rsid w:val="00175429"/>
    <w:rsid w:val="0017545B"/>
    <w:rsid w:val="001759CB"/>
    <w:rsid w:val="00175EC6"/>
    <w:rsid w:val="00176559"/>
    <w:rsid w:val="001773C1"/>
    <w:rsid w:val="00177E64"/>
    <w:rsid w:val="00180C6A"/>
    <w:rsid w:val="001817B3"/>
    <w:rsid w:val="00181FD7"/>
    <w:rsid w:val="00183604"/>
    <w:rsid w:val="00183AEF"/>
    <w:rsid w:val="00186024"/>
    <w:rsid w:val="00186983"/>
    <w:rsid w:val="00186DCE"/>
    <w:rsid w:val="00187DF4"/>
    <w:rsid w:val="001910C4"/>
    <w:rsid w:val="001913A1"/>
    <w:rsid w:val="00191681"/>
    <w:rsid w:val="001925F2"/>
    <w:rsid w:val="00192C5A"/>
    <w:rsid w:val="001930C5"/>
    <w:rsid w:val="0019328F"/>
    <w:rsid w:val="00193B2B"/>
    <w:rsid w:val="00194B82"/>
    <w:rsid w:val="00194F68"/>
    <w:rsid w:val="00195E47"/>
    <w:rsid w:val="001967B6"/>
    <w:rsid w:val="00197532"/>
    <w:rsid w:val="0019764D"/>
    <w:rsid w:val="00197C61"/>
    <w:rsid w:val="0019AE2F"/>
    <w:rsid w:val="001A0DCF"/>
    <w:rsid w:val="001A0E7A"/>
    <w:rsid w:val="001A0FB4"/>
    <w:rsid w:val="001A1DA4"/>
    <w:rsid w:val="001A2B23"/>
    <w:rsid w:val="001A317B"/>
    <w:rsid w:val="001A3480"/>
    <w:rsid w:val="001A3A32"/>
    <w:rsid w:val="001A41F8"/>
    <w:rsid w:val="001A58A1"/>
    <w:rsid w:val="001A6223"/>
    <w:rsid w:val="001A6600"/>
    <w:rsid w:val="001A669D"/>
    <w:rsid w:val="001A6DE1"/>
    <w:rsid w:val="001A7332"/>
    <w:rsid w:val="001A7ACB"/>
    <w:rsid w:val="001B02AE"/>
    <w:rsid w:val="001B09C7"/>
    <w:rsid w:val="001B1693"/>
    <w:rsid w:val="001B3FE1"/>
    <w:rsid w:val="001B559D"/>
    <w:rsid w:val="001C0801"/>
    <w:rsid w:val="001C0F86"/>
    <w:rsid w:val="001C11A6"/>
    <w:rsid w:val="001C14C7"/>
    <w:rsid w:val="001C1BE9"/>
    <w:rsid w:val="001C21BE"/>
    <w:rsid w:val="001C269D"/>
    <w:rsid w:val="001C324C"/>
    <w:rsid w:val="001C4D7A"/>
    <w:rsid w:val="001C5315"/>
    <w:rsid w:val="001C64B6"/>
    <w:rsid w:val="001C77CD"/>
    <w:rsid w:val="001C787E"/>
    <w:rsid w:val="001C7B49"/>
    <w:rsid w:val="001D01A9"/>
    <w:rsid w:val="001D04CE"/>
    <w:rsid w:val="001D08C5"/>
    <w:rsid w:val="001D16DC"/>
    <w:rsid w:val="001D186B"/>
    <w:rsid w:val="001D1985"/>
    <w:rsid w:val="001D1DE9"/>
    <w:rsid w:val="001D230B"/>
    <w:rsid w:val="001D32C4"/>
    <w:rsid w:val="001D35BA"/>
    <w:rsid w:val="001D57E5"/>
    <w:rsid w:val="001D5A24"/>
    <w:rsid w:val="001D5AE7"/>
    <w:rsid w:val="001D71EB"/>
    <w:rsid w:val="001D75DB"/>
    <w:rsid w:val="001D7E20"/>
    <w:rsid w:val="001E0201"/>
    <w:rsid w:val="001E11C7"/>
    <w:rsid w:val="001E11FA"/>
    <w:rsid w:val="001E1206"/>
    <w:rsid w:val="001E2024"/>
    <w:rsid w:val="001E343E"/>
    <w:rsid w:val="001E36E1"/>
    <w:rsid w:val="001E48B3"/>
    <w:rsid w:val="001E58D0"/>
    <w:rsid w:val="001E71E9"/>
    <w:rsid w:val="001E71F8"/>
    <w:rsid w:val="001E77EF"/>
    <w:rsid w:val="001E7879"/>
    <w:rsid w:val="001E7C2C"/>
    <w:rsid w:val="001F067A"/>
    <w:rsid w:val="001F06F4"/>
    <w:rsid w:val="001F0C3C"/>
    <w:rsid w:val="001F241C"/>
    <w:rsid w:val="001F2F69"/>
    <w:rsid w:val="001F3066"/>
    <w:rsid w:val="001F348F"/>
    <w:rsid w:val="001F37B7"/>
    <w:rsid w:val="001F3C72"/>
    <w:rsid w:val="001F437E"/>
    <w:rsid w:val="001F4830"/>
    <w:rsid w:val="001F4CB0"/>
    <w:rsid w:val="001F6281"/>
    <w:rsid w:val="001F6F27"/>
    <w:rsid w:val="001F70E2"/>
    <w:rsid w:val="00200E08"/>
    <w:rsid w:val="00200FB1"/>
    <w:rsid w:val="00202606"/>
    <w:rsid w:val="0020271B"/>
    <w:rsid w:val="00202814"/>
    <w:rsid w:val="0020451E"/>
    <w:rsid w:val="002056AC"/>
    <w:rsid w:val="0020579E"/>
    <w:rsid w:val="002074D6"/>
    <w:rsid w:val="00207993"/>
    <w:rsid w:val="0021168C"/>
    <w:rsid w:val="00212542"/>
    <w:rsid w:val="00212B81"/>
    <w:rsid w:val="00213C85"/>
    <w:rsid w:val="00214109"/>
    <w:rsid w:val="002153C5"/>
    <w:rsid w:val="00215B75"/>
    <w:rsid w:val="00216088"/>
    <w:rsid w:val="00216678"/>
    <w:rsid w:val="00216FED"/>
    <w:rsid w:val="00217F45"/>
    <w:rsid w:val="0022110B"/>
    <w:rsid w:val="0022236B"/>
    <w:rsid w:val="00222710"/>
    <w:rsid w:val="002241E7"/>
    <w:rsid w:val="002242BD"/>
    <w:rsid w:val="00224C24"/>
    <w:rsid w:val="00225069"/>
    <w:rsid w:val="002251A2"/>
    <w:rsid w:val="00225244"/>
    <w:rsid w:val="00225A29"/>
    <w:rsid w:val="00225DA2"/>
    <w:rsid w:val="002265BB"/>
    <w:rsid w:val="002272F7"/>
    <w:rsid w:val="0022731F"/>
    <w:rsid w:val="002276C3"/>
    <w:rsid w:val="0022784E"/>
    <w:rsid w:val="00227BCF"/>
    <w:rsid w:val="00231233"/>
    <w:rsid w:val="00231597"/>
    <w:rsid w:val="0023169B"/>
    <w:rsid w:val="00231806"/>
    <w:rsid w:val="00231D31"/>
    <w:rsid w:val="00231DF3"/>
    <w:rsid w:val="00231F1B"/>
    <w:rsid w:val="002327E7"/>
    <w:rsid w:val="00233A9A"/>
    <w:rsid w:val="00234213"/>
    <w:rsid w:val="002359B6"/>
    <w:rsid w:val="002361CF"/>
    <w:rsid w:val="0024053E"/>
    <w:rsid w:val="0024070A"/>
    <w:rsid w:val="0024088C"/>
    <w:rsid w:val="0024090E"/>
    <w:rsid w:val="0024166A"/>
    <w:rsid w:val="0024175E"/>
    <w:rsid w:val="0024192A"/>
    <w:rsid w:val="00242897"/>
    <w:rsid w:val="002429F0"/>
    <w:rsid w:val="00242C41"/>
    <w:rsid w:val="00242F41"/>
    <w:rsid w:val="00243C5F"/>
    <w:rsid w:val="00243C72"/>
    <w:rsid w:val="00244A1D"/>
    <w:rsid w:val="00245C3B"/>
    <w:rsid w:val="0024608A"/>
    <w:rsid w:val="0024668B"/>
    <w:rsid w:val="00247179"/>
    <w:rsid w:val="002472E3"/>
    <w:rsid w:val="00247455"/>
    <w:rsid w:val="00247735"/>
    <w:rsid w:val="00247924"/>
    <w:rsid w:val="00247A27"/>
    <w:rsid w:val="002506E2"/>
    <w:rsid w:val="00250FE7"/>
    <w:rsid w:val="00251389"/>
    <w:rsid w:val="00251AA3"/>
    <w:rsid w:val="00252034"/>
    <w:rsid w:val="00252483"/>
    <w:rsid w:val="00252CAA"/>
    <w:rsid w:val="00252CAB"/>
    <w:rsid w:val="00253725"/>
    <w:rsid w:val="00256104"/>
    <w:rsid w:val="002568D8"/>
    <w:rsid w:val="00257F3E"/>
    <w:rsid w:val="00260207"/>
    <w:rsid w:val="00260BB8"/>
    <w:rsid w:val="00261812"/>
    <w:rsid w:val="00261AD8"/>
    <w:rsid w:val="00261B5F"/>
    <w:rsid w:val="00261F8A"/>
    <w:rsid w:val="002621FE"/>
    <w:rsid w:val="0026251D"/>
    <w:rsid w:val="00262CE2"/>
    <w:rsid w:val="00262F70"/>
    <w:rsid w:val="002634F5"/>
    <w:rsid w:val="0026393C"/>
    <w:rsid w:val="00264FF9"/>
    <w:rsid w:val="002658FC"/>
    <w:rsid w:val="00265E4C"/>
    <w:rsid w:val="00266393"/>
    <w:rsid w:val="002663D4"/>
    <w:rsid w:val="002664D0"/>
    <w:rsid w:val="00267273"/>
    <w:rsid w:val="002674F2"/>
    <w:rsid w:val="00267973"/>
    <w:rsid w:val="00267F3F"/>
    <w:rsid w:val="00270F99"/>
    <w:rsid w:val="0027127A"/>
    <w:rsid w:val="00271E36"/>
    <w:rsid w:val="00271F66"/>
    <w:rsid w:val="00272DB6"/>
    <w:rsid w:val="002740F9"/>
    <w:rsid w:val="00274B2A"/>
    <w:rsid w:val="00274B88"/>
    <w:rsid w:val="0027550B"/>
    <w:rsid w:val="002759C8"/>
    <w:rsid w:val="00275E5D"/>
    <w:rsid w:val="00277A69"/>
    <w:rsid w:val="0027E4E7"/>
    <w:rsid w:val="00280138"/>
    <w:rsid w:val="0028080C"/>
    <w:rsid w:val="00280C58"/>
    <w:rsid w:val="002820A7"/>
    <w:rsid w:val="002820A8"/>
    <w:rsid w:val="002824F0"/>
    <w:rsid w:val="00282798"/>
    <w:rsid w:val="00282A4C"/>
    <w:rsid w:val="00282C3C"/>
    <w:rsid w:val="00282EDF"/>
    <w:rsid w:val="00285647"/>
    <w:rsid w:val="0028580C"/>
    <w:rsid w:val="00286A43"/>
    <w:rsid w:val="00286FB7"/>
    <w:rsid w:val="002873A2"/>
    <w:rsid w:val="0029083A"/>
    <w:rsid w:val="00290F2D"/>
    <w:rsid w:val="00290F32"/>
    <w:rsid w:val="0029107F"/>
    <w:rsid w:val="0029122B"/>
    <w:rsid w:val="00291471"/>
    <w:rsid w:val="00291558"/>
    <w:rsid w:val="002916E0"/>
    <w:rsid w:val="00292E54"/>
    <w:rsid w:val="00293053"/>
    <w:rsid w:val="00293ACD"/>
    <w:rsid w:val="002940D7"/>
    <w:rsid w:val="0029534A"/>
    <w:rsid w:val="002954A5"/>
    <w:rsid w:val="002964B5"/>
    <w:rsid w:val="00296AE2"/>
    <w:rsid w:val="00297191"/>
    <w:rsid w:val="00297224"/>
    <w:rsid w:val="00297A60"/>
    <w:rsid w:val="002A0171"/>
    <w:rsid w:val="002A17EB"/>
    <w:rsid w:val="002A32B0"/>
    <w:rsid w:val="002A3C96"/>
    <w:rsid w:val="002A40AD"/>
    <w:rsid w:val="002A54E3"/>
    <w:rsid w:val="002A6877"/>
    <w:rsid w:val="002A6D58"/>
    <w:rsid w:val="002A71B2"/>
    <w:rsid w:val="002A72DA"/>
    <w:rsid w:val="002A7AFE"/>
    <w:rsid w:val="002A7EBA"/>
    <w:rsid w:val="002B09FD"/>
    <w:rsid w:val="002B0EF9"/>
    <w:rsid w:val="002B12E4"/>
    <w:rsid w:val="002B3447"/>
    <w:rsid w:val="002B3BB0"/>
    <w:rsid w:val="002B41D7"/>
    <w:rsid w:val="002B50E9"/>
    <w:rsid w:val="002B518E"/>
    <w:rsid w:val="002B5441"/>
    <w:rsid w:val="002B6AB3"/>
    <w:rsid w:val="002B6C16"/>
    <w:rsid w:val="002B6E6A"/>
    <w:rsid w:val="002C0A62"/>
    <w:rsid w:val="002C155C"/>
    <w:rsid w:val="002C1798"/>
    <w:rsid w:val="002C207D"/>
    <w:rsid w:val="002C27A1"/>
    <w:rsid w:val="002C332F"/>
    <w:rsid w:val="002C4ECD"/>
    <w:rsid w:val="002C5D2E"/>
    <w:rsid w:val="002C7E9F"/>
    <w:rsid w:val="002CD46A"/>
    <w:rsid w:val="002D0660"/>
    <w:rsid w:val="002D0E27"/>
    <w:rsid w:val="002D2342"/>
    <w:rsid w:val="002D26A4"/>
    <w:rsid w:val="002D27F2"/>
    <w:rsid w:val="002D2E4E"/>
    <w:rsid w:val="002D30B2"/>
    <w:rsid w:val="002D3666"/>
    <w:rsid w:val="002D39B4"/>
    <w:rsid w:val="002D39D2"/>
    <w:rsid w:val="002D5C3E"/>
    <w:rsid w:val="002D65C7"/>
    <w:rsid w:val="002D6DD4"/>
    <w:rsid w:val="002D70A9"/>
    <w:rsid w:val="002D7414"/>
    <w:rsid w:val="002D77D3"/>
    <w:rsid w:val="002D77D4"/>
    <w:rsid w:val="002E05EC"/>
    <w:rsid w:val="002E0820"/>
    <w:rsid w:val="002E1D59"/>
    <w:rsid w:val="002E28C7"/>
    <w:rsid w:val="002E396A"/>
    <w:rsid w:val="002E48F9"/>
    <w:rsid w:val="002E5244"/>
    <w:rsid w:val="002E60E5"/>
    <w:rsid w:val="002E67E9"/>
    <w:rsid w:val="002E6D3D"/>
    <w:rsid w:val="002E7E9E"/>
    <w:rsid w:val="002F0360"/>
    <w:rsid w:val="002F05B6"/>
    <w:rsid w:val="002F085C"/>
    <w:rsid w:val="002F0A8B"/>
    <w:rsid w:val="002F0AC1"/>
    <w:rsid w:val="002F0BA2"/>
    <w:rsid w:val="002F1191"/>
    <w:rsid w:val="002F1438"/>
    <w:rsid w:val="002F16ED"/>
    <w:rsid w:val="002F1D27"/>
    <w:rsid w:val="002F1FAE"/>
    <w:rsid w:val="002F27DF"/>
    <w:rsid w:val="002F3427"/>
    <w:rsid w:val="002F3C83"/>
    <w:rsid w:val="002F4648"/>
    <w:rsid w:val="002F49C8"/>
    <w:rsid w:val="002F5799"/>
    <w:rsid w:val="002F5BFF"/>
    <w:rsid w:val="002F5F24"/>
    <w:rsid w:val="002F6182"/>
    <w:rsid w:val="002F6702"/>
    <w:rsid w:val="002F674A"/>
    <w:rsid w:val="002F740B"/>
    <w:rsid w:val="003004B2"/>
    <w:rsid w:val="0030106A"/>
    <w:rsid w:val="00302380"/>
    <w:rsid w:val="00302E59"/>
    <w:rsid w:val="00303281"/>
    <w:rsid w:val="00303336"/>
    <w:rsid w:val="0030339D"/>
    <w:rsid w:val="0030343D"/>
    <w:rsid w:val="00305345"/>
    <w:rsid w:val="00307285"/>
    <w:rsid w:val="003072F3"/>
    <w:rsid w:val="00307B87"/>
    <w:rsid w:val="00312745"/>
    <w:rsid w:val="0031385E"/>
    <w:rsid w:val="003139C1"/>
    <w:rsid w:val="00315CF1"/>
    <w:rsid w:val="003168C5"/>
    <w:rsid w:val="00316A89"/>
    <w:rsid w:val="003178D3"/>
    <w:rsid w:val="00317DB0"/>
    <w:rsid w:val="00317DC2"/>
    <w:rsid w:val="00320E26"/>
    <w:rsid w:val="00321347"/>
    <w:rsid w:val="003220C9"/>
    <w:rsid w:val="00322246"/>
    <w:rsid w:val="00322414"/>
    <w:rsid w:val="00323B7D"/>
    <w:rsid w:val="00325BAE"/>
    <w:rsid w:val="00325DB1"/>
    <w:rsid w:val="00326B80"/>
    <w:rsid w:val="00330138"/>
    <w:rsid w:val="00330AEB"/>
    <w:rsid w:val="00331192"/>
    <w:rsid w:val="003318DE"/>
    <w:rsid w:val="00331A33"/>
    <w:rsid w:val="00332E89"/>
    <w:rsid w:val="00333796"/>
    <w:rsid w:val="00333898"/>
    <w:rsid w:val="00333C1A"/>
    <w:rsid w:val="003359EE"/>
    <w:rsid w:val="00336022"/>
    <w:rsid w:val="003375FF"/>
    <w:rsid w:val="003408ED"/>
    <w:rsid w:val="00341AA5"/>
    <w:rsid w:val="0034201C"/>
    <w:rsid w:val="0034248F"/>
    <w:rsid w:val="003429F6"/>
    <w:rsid w:val="00343C12"/>
    <w:rsid w:val="00343F5F"/>
    <w:rsid w:val="0034466C"/>
    <w:rsid w:val="0034471D"/>
    <w:rsid w:val="003452A3"/>
    <w:rsid w:val="0034546F"/>
    <w:rsid w:val="00345917"/>
    <w:rsid w:val="00345BB9"/>
    <w:rsid w:val="00345C5D"/>
    <w:rsid w:val="0034617A"/>
    <w:rsid w:val="003468CB"/>
    <w:rsid w:val="00346C9A"/>
    <w:rsid w:val="00347D6C"/>
    <w:rsid w:val="0034979C"/>
    <w:rsid w:val="00350944"/>
    <w:rsid w:val="00350B9F"/>
    <w:rsid w:val="0035168D"/>
    <w:rsid w:val="003516FC"/>
    <w:rsid w:val="00351B1B"/>
    <w:rsid w:val="00352569"/>
    <w:rsid w:val="003526EB"/>
    <w:rsid w:val="00353038"/>
    <w:rsid w:val="00353217"/>
    <w:rsid w:val="00353A64"/>
    <w:rsid w:val="0035523B"/>
    <w:rsid w:val="00356229"/>
    <w:rsid w:val="00356771"/>
    <w:rsid w:val="003601DA"/>
    <w:rsid w:val="00360449"/>
    <w:rsid w:val="00360EBF"/>
    <w:rsid w:val="003613F6"/>
    <w:rsid w:val="0036163B"/>
    <w:rsid w:val="00361A30"/>
    <w:rsid w:val="00361F73"/>
    <w:rsid w:val="00363209"/>
    <w:rsid w:val="00363593"/>
    <w:rsid w:val="00363DAF"/>
    <w:rsid w:val="00364885"/>
    <w:rsid w:val="00365D52"/>
    <w:rsid w:val="00366BA2"/>
    <w:rsid w:val="00367E23"/>
    <w:rsid w:val="0037169D"/>
    <w:rsid w:val="00371AE4"/>
    <w:rsid w:val="003726B5"/>
    <w:rsid w:val="00373588"/>
    <w:rsid w:val="003735AE"/>
    <w:rsid w:val="0037392E"/>
    <w:rsid w:val="0037412A"/>
    <w:rsid w:val="00374162"/>
    <w:rsid w:val="00374905"/>
    <w:rsid w:val="00375046"/>
    <w:rsid w:val="00376874"/>
    <w:rsid w:val="00376E92"/>
    <w:rsid w:val="00377CAA"/>
    <w:rsid w:val="003801E6"/>
    <w:rsid w:val="00380657"/>
    <w:rsid w:val="003825E6"/>
    <w:rsid w:val="00382777"/>
    <w:rsid w:val="00382970"/>
    <w:rsid w:val="003832F9"/>
    <w:rsid w:val="003833AA"/>
    <w:rsid w:val="00384932"/>
    <w:rsid w:val="00385412"/>
    <w:rsid w:val="00385EFC"/>
    <w:rsid w:val="00386F06"/>
    <w:rsid w:val="0038955D"/>
    <w:rsid w:val="003907AD"/>
    <w:rsid w:val="00390BF0"/>
    <w:rsid w:val="003910AC"/>
    <w:rsid w:val="00391122"/>
    <w:rsid w:val="003915F3"/>
    <w:rsid w:val="00391DF6"/>
    <w:rsid w:val="00393E52"/>
    <w:rsid w:val="00394218"/>
    <w:rsid w:val="00394361"/>
    <w:rsid w:val="00394549"/>
    <w:rsid w:val="003947F3"/>
    <w:rsid w:val="0039494B"/>
    <w:rsid w:val="00394C00"/>
    <w:rsid w:val="00394D04"/>
    <w:rsid w:val="003958C8"/>
    <w:rsid w:val="00396BF3"/>
    <w:rsid w:val="00397043"/>
    <w:rsid w:val="00397BFE"/>
    <w:rsid w:val="00397C0C"/>
    <w:rsid w:val="003A0132"/>
    <w:rsid w:val="003A13E9"/>
    <w:rsid w:val="003A158F"/>
    <w:rsid w:val="003A1CE2"/>
    <w:rsid w:val="003A206C"/>
    <w:rsid w:val="003A2183"/>
    <w:rsid w:val="003A2387"/>
    <w:rsid w:val="003A24AB"/>
    <w:rsid w:val="003A2826"/>
    <w:rsid w:val="003A284A"/>
    <w:rsid w:val="003A3065"/>
    <w:rsid w:val="003A31C6"/>
    <w:rsid w:val="003A3C04"/>
    <w:rsid w:val="003A484B"/>
    <w:rsid w:val="003A5A11"/>
    <w:rsid w:val="003A68B8"/>
    <w:rsid w:val="003A6E05"/>
    <w:rsid w:val="003A79B1"/>
    <w:rsid w:val="003AD3FB"/>
    <w:rsid w:val="003B1BC1"/>
    <w:rsid w:val="003B1E29"/>
    <w:rsid w:val="003B1EC2"/>
    <w:rsid w:val="003B22A3"/>
    <w:rsid w:val="003B2AF7"/>
    <w:rsid w:val="003B3064"/>
    <w:rsid w:val="003B3066"/>
    <w:rsid w:val="003B362A"/>
    <w:rsid w:val="003B372D"/>
    <w:rsid w:val="003B3BEF"/>
    <w:rsid w:val="003B4760"/>
    <w:rsid w:val="003B47E5"/>
    <w:rsid w:val="003B5568"/>
    <w:rsid w:val="003B5D49"/>
    <w:rsid w:val="003B6A3E"/>
    <w:rsid w:val="003B6CFF"/>
    <w:rsid w:val="003C0A5B"/>
    <w:rsid w:val="003C1DE8"/>
    <w:rsid w:val="003C2074"/>
    <w:rsid w:val="003C2363"/>
    <w:rsid w:val="003C28A2"/>
    <w:rsid w:val="003C2BDD"/>
    <w:rsid w:val="003C2BF4"/>
    <w:rsid w:val="003C2CA5"/>
    <w:rsid w:val="003C4743"/>
    <w:rsid w:val="003C584D"/>
    <w:rsid w:val="003C62CC"/>
    <w:rsid w:val="003D19D2"/>
    <w:rsid w:val="003D1B35"/>
    <w:rsid w:val="003D1CB3"/>
    <w:rsid w:val="003D2962"/>
    <w:rsid w:val="003D3810"/>
    <w:rsid w:val="003D3D4C"/>
    <w:rsid w:val="003D4617"/>
    <w:rsid w:val="003D47CD"/>
    <w:rsid w:val="003D4B4A"/>
    <w:rsid w:val="003D500D"/>
    <w:rsid w:val="003D5CEF"/>
    <w:rsid w:val="003D64C1"/>
    <w:rsid w:val="003E03C8"/>
    <w:rsid w:val="003E0A72"/>
    <w:rsid w:val="003E1011"/>
    <w:rsid w:val="003E2F7C"/>
    <w:rsid w:val="003E309D"/>
    <w:rsid w:val="003E343F"/>
    <w:rsid w:val="003E3448"/>
    <w:rsid w:val="003E41D6"/>
    <w:rsid w:val="003E4518"/>
    <w:rsid w:val="003E4E40"/>
    <w:rsid w:val="003E50FF"/>
    <w:rsid w:val="003E52DA"/>
    <w:rsid w:val="003E58D0"/>
    <w:rsid w:val="003E6020"/>
    <w:rsid w:val="003E6474"/>
    <w:rsid w:val="003E6714"/>
    <w:rsid w:val="003E78B2"/>
    <w:rsid w:val="003F165F"/>
    <w:rsid w:val="003F1CA7"/>
    <w:rsid w:val="003F2151"/>
    <w:rsid w:val="003F25CE"/>
    <w:rsid w:val="003F3A3D"/>
    <w:rsid w:val="003F4636"/>
    <w:rsid w:val="003F4CE8"/>
    <w:rsid w:val="003F5203"/>
    <w:rsid w:val="003F7042"/>
    <w:rsid w:val="003F743E"/>
    <w:rsid w:val="003F783F"/>
    <w:rsid w:val="003FDFD2"/>
    <w:rsid w:val="00400D80"/>
    <w:rsid w:val="004012D2"/>
    <w:rsid w:val="00401379"/>
    <w:rsid w:val="00401895"/>
    <w:rsid w:val="00402AA0"/>
    <w:rsid w:val="00403BA2"/>
    <w:rsid w:val="004040D6"/>
    <w:rsid w:val="00404AFA"/>
    <w:rsid w:val="004054D2"/>
    <w:rsid w:val="004054D8"/>
    <w:rsid w:val="00405BBE"/>
    <w:rsid w:val="0040642E"/>
    <w:rsid w:val="00407077"/>
    <w:rsid w:val="004073C6"/>
    <w:rsid w:val="00410412"/>
    <w:rsid w:val="00410901"/>
    <w:rsid w:val="00410906"/>
    <w:rsid w:val="00410ED6"/>
    <w:rsid w:val="0041124C"/>
    <w:rsid w:val="004116FF"/>
    <w:rsid w:val="00411839"/>
    <w:rsid w:val="004118B6"/>
    <w:rsid w:val="004129D9"/>
    <w:rsid w:val="00412C74"/>
    <w:rsid w:val="00413529"/>
    <w:rsid w:val="00413965"/>
    <w:rsid w:val="00414232"/>
    <w:rsid w:val="00414C42"/>
    <w:rsid w:val="00415369"/>
    <w:rsid w:val="0041670C"/>
    <w:rsid w:val="004169B6"/>
    <w:rsid w:val="00417222"/>
    <w:rsid w:val="0041794D"/>
    <w:rsid w:val="0042042A"/>
    <w:rsid w:val="00421971"/>
    <w:rsid w:val="00422E28"/>
    <w:rsid w:val="004241D8"/>
    <w:rsid w:val="00424E0C"/>
    <w:rsid w:val="00425F56"/>
    <w:rsid w:val="00426EE2"/>
    <w:rsid w:val="00427142"/>
    <w:rsid w:val="004272B0"/>
    <w:rsid w:val="00427C96"/>
    <w:rsid w:val="0043099D"/>
    <w:rsid w:val="0043193B"/>
    <w:rsid w:val="00432657"/>
    <w:rsid w:val="00433DCB"/>
    <w:rsid w:val="0043473D"/>
    <w:rsid w:val="004355ED"/>
    <w:rsid w:val="00435FE5"/>
    <w:rsid w:val="00436466"/>
    <w:rsid w:val="0043748A"/>
    <w:rsid w:val="004374DF"/>
    <w:rsid w:val="004375EF"/>
    <w:rsid w:val="0044066E"/>
    <w:rsid w:val="0044097B"/>
    <w:rsid w:val="004417ED"/>
    <w:rsid w:val="00441945"/>
    <w:rsid w:val="00442134"/>
    <w:rsid w:val="004421E9"/>
    <w:rsid w:val="00442325"/>
    <w:rsid w:val="00444987"/>
    <w:rsid w:val="0044526B"/>
    <w:rsid w:val="004457C6"/>
    <w:rsid w:val="004458B2"/>
    <w:rsid w:val="00445DB1"/>
    <w:rsid w:val="00445F64"/>
    <w:rsid w:val="0044696E"/>
    <w:rsid w:val="00447FFD"/>
    <w:rsid w:val="00450F4C"/>
    <w:rsid w:val="004510BB"/>
    <w:rsid w:val="004516DE"/>
    <w:rsid w:val="0045215C"/>
    <w:rsid w:val="00452595"/>
    <w:rsid w:val="00453AD8"/>
    <w:rsid w:val="00454357"/>
    <w:rsid w:val="004547B6"/>
    <w:rsid w:val="004551AC"/>
    <w:rsid w:val="00455995"/>
    <w:rsid w:val="00455B03"/>
    <w:rsid w:val="00457317"/>
    <w:rsid w:val="004600F8"/>
    <w:rsid w:val="004601EF"/>
    <w:rsid w:val="004609CE"/>
    <w:rsid w:val="00461060"/>
    <w:rsid w:val="004617CE"/>
    <w:rsid w:val="004618F6"/>
    <w:rsid w:val="00461A84"/>
    <w:rsid w:val="00462F2D"/>
    <w:rsid w:val="00463BED"/>
    <w:rsid w:val="00464958"/>
    <w:rsid w:val="00465484"/>
    <w:rsid w:val="00465B35"/>
    <w:rsid w:val="00465EC3"/>
    <w:rsid w:val="00466296"/>
    <w:rsid w:val="004662AE"/>
    <w:rsid w:val="00467237"/>
    <w:rsid w:val="004673DC"/>
    <w:rsid w:val="00467B3B"/>
    <w:rsid w:val="00470008"/>
    <w:rsid w:val="004704BD"/>
    <w:rsid w:val="004714F2"/>
    <w:rsid w:val="00471C4A"/>
    <w:rsid w:val="00472F50"/>
    <w:rsid w:val="00473DAD"/>
    <w:rsid w:val="0047454A"/>
    <w:rsid w:val="00475FCF"/>
    <w:rsid w:val="00476428"/>
    <w:rsid w:val="00476F48"/>
    <w:rsid w:val="0047723B"/>
    <w:rsid w:val="0048001C"/>
    <w:rsid w:val="00480691"/>
    <w:rsid w:val="0048136C"/>
    <w:rsid w:val="00481834"/>
    <w:rsid w:val="0048323F"/>
    <w:rsid w:val="00484AAC"/>
    <w:rsid w:val="00484E1C"/>
    <w:rsid w:val="00484FF1"/>
    <w:rsid w:val="00485F20"/>
    <w:rsid w:val="004869F5"/>
    <w:rsid w:val="00486A5A"/>
    <w:rsid w:val="004876B6"/>
    <w:rsid w:val="00487BBA"/>
    <w:rsid w:val="00490130"/>
    <w:rsid w:val="004914CD"/>
    <w:rsid w:val="00491806"/>
    <w:rsid w:val="004920DA"/>
    <w:rsid w:val="004929DB"/>
    <w:rsid w:val="00492E39"/>
    <w:rsid w:val="004935DA"/>
    <w:rsid w:val="00493B42"/>
    <w:rsid w:val="00493DBC"/>
    <w:rsid w:val="004947B4"/>
    <w:rsid w:val="004948A7"/>
    <w:rsid w:val="004966A3"/>
    <w:rsid w:val="0049699E"/>
    <w:rsid w:val="00497141"/>
    <w:rsid w:val="0049716A"/>
    <w:rsid w:val="00497D0A"/>
    <w:rsid w:val="004A000A"/>
    <w:rsid w:val="004A0331"/>
    <w:rsid w:val="004A0801"/>
    <w:rsid w:val="004A0BA6"/>
    <w:rsid w:val="004A1328"/>
    <w:rsid w:val="004A1BFF"/>
    <w:rsid w:val="004A37B1"/>
    <w:rsid w:val="004A44B5"/>
    <w:rsid w:val="004A5734"/>
    <w:rsid w:val="004A59AB"/>
    <w:rsid w:val="004A68C6"/>
    <w:rsid w:val="004B06C6"/>
    <w:rsid w:val="004B1754"/>
    <w:rsid w:val="004B1E45"/>
    <w:rsid w:val="004B2E59"/>
    <w:rsid w:val="004B3152"/>
    <w:rsid w:val="004B329B"/>
    <w:rsid w:val="004B34CB"/>
    <w:rsid w:val="004B3604"/>
    <w:rsid w:val="004B3B71"/>
    <w:rsid w:val="004B537C"/>
    <w:rsid w:val="004B5A36"/>
    <w:rsid w:val="004B6448"/>
    <w:rsid w:val="004B73CE"/>
    <w:rsid w:val="004B7428"/>
    <w:rsid w:val="004C0826"/>
    <w:rsid w:val="004C1342"/>
    <w:rsid w:val="004C227F"/>
    <w:rsid w:val="004C28A3"/>
    <w:rsid w:val="004C30E4"/>
    <w:rsid w:val="004C3223"/>
    <w:rsid w:val="004C337B"/>
    <w:rsid w:val="004C45EC"/>
    <w:rsid w:val="004C471F"/>
    <w:rsid w:val="004C4A0D"/>
    <w:rsid w:val="004C54CC"/>
    <w:rsid w:val="004C582E"/>
    <w:rsid w:val="004C5B43"/>
    <w:rsid w:val="004C5C3F"/>
    <w:rsid w:val="004C6B93"/>
    <w:rsid w:val="004D05FB"/>
    <w:rsid w:val="004D0EB4"/>
    <w:rsid w:val="004D119E"/>
    <w:rsid w:val="004D1B38"/>
    <w:rsid w:val="004D1B75"/>
    <w:rsid w:val="004D2087"/>
    <w:rsid w:val="004D2151"/>
    <w:rsid w:val="004D2188"/>
    <w:rsid w:val="004D2C3E"/>
    <w:rsid w:val="004D31A1"/>
    <w:rsid w:val="004D4376"/>
    <w:rsid w:val="004D469C"/>
    <w:rsid w:val="004D52EA"/>
    <w:rsid w:val="004D5493"/>
    <w:rsid w:val="004D6061"/>
    <w:rsid w:val="004D621D"/>
    <w:rsid w:val="004D70A8"/>
    <w:rsid w:val="004E1269"/>
    <w:rsid w:val="004E18CC"/>
    <w:rsid w:val="004E24A0"/>
    <w:rsid w:val="004E2908"/>
    <w:rsid w:val="004E3125"/>
    <w:rsid w:val="004E3B49"/>
    <w:rsid w:val="004E43D9"/>
    <w:rsid w:val="004E4A3C"/>
    <w:rsid w:val="004E4DD0"/>
    <w:rsid w:val="004E76FC"/>
    <w:rsid w:val="004E77D3"/>
    <w:rsid w:val="004E7BA7"/>
    <w:rsid w:val="004F01ED"/>
    <w:rsid w:val="004F0C7A"/>
    <w:rsid w:val="004F39F1"/>
    <w:rsid w:val="004F47E1"/>
    <w:rsid w:val="004F5582"/>
    <w:rsid w:val="004F55BD"/>
    <w:rsid w:val="004F5B4A"/>
    <w:rsid w:val="004F64E1"/>
    <w:rsid w:val="0050232C"/>
    <w:rsid w:val="00502347"/>
    <w:rsid w:val="00502771"/>
    <w:rsid w:val="00502D99"/>
    <w:rsid w:val="0050301A"/>
    <w:rsid w:val="00503402"/>
    <w:rsid w:val="0050363F"/>
    <w:rsid w:val="005041BA"/>
    <w:rsid w:val="005048F3"/>
    <w:rsid w:val="005053F5"/>
    <w:rsid w:val="005057DF"/>
    <w:rsid w:val="00506C69"/>
    <w:rsid w:val="00507DDB"/>
    <w:rsid w:val="00511601"/>
    <w:rsid w:val="0051289C"/>
    <w:rsid w:val="005128C9"/>
    <w:rsid w:val="005134FA"/>
    <w:rsid w:val="005143B9"/>
    <w:rsid w:val="00514609"/>
    <w:rsid w:val="005146FB"/>
    <w:rsid w:val="00514F96"/>
    <w:rsid w:val="00515454"/>
    <w:rsid w:val="00515F8E"/>
    <w:rsid w:val="0051643C"/>
    <w:rsid w:val="00516BB7"/>
    <w:rsid w:val="00517270"/>
    <w:rsid w:val="00517B14"/>
    <w:rsid w:val="00520060"/>
    <w:rsid w:val="005210D7"/>
    <w:rsid w:val="005217ED"/>
    <w:rsid w:val="00521F7A"/>
    <w:rsid w:val="0052384B"/>
    <w:rsid w:val="00524E5C"/>
    <w:rsid w:val="005254EC"/>
    <w:rsid w:val="00526426"/>
    <w:rsid w:val="00527128"/>
    <w:rsid w:val="00527D1D"/>
    <w:rsid w:val="00530090"/>
    <w:rsid w:val="005301C2"/>
    <w:rsid w:val="005304D9"/>
    <w:rsid w:val="005330CD"/>
    <w:rsid w:val="00533CC8"/>
    <w:rsid w:val="00533F50"/>
    <w:rsid w:val="00533F90"/>
    <w:rsid w:val="005345FD"/>
    <w:rsid w:val="00534CB4"/>
    <w:rsid w:val="00536B7A"/>
    <w:rsid w:val="0053708A"/>
    <w:rsid w:val="00540B04"/>
    <w:rsid w:val="00541001"/>
    <w:rsid w:val="00542283"/>
    <w:rsid w:val="005423A9"/>
    <w:rsid w:val="005440E5"/>
    <w:rsid w:val="005457E1"/>
    <w:rsid w:val="00545C06"/>
    <w:rsid w:val="00546725"/>
    <w:rsid w:val="0054686C"/>
    <w:rsid w:val="00546E0A"/>
    <w:rsid w:val="00547025"/>
    <w:rsid w:val="005470E7"/>
    <w:rsid w:val="00547697"/>
    <w:rsid w:val="00547C81"/>
    <w:rsid w:val="0055042B"/>
    <w:rsid w:val="00550521"/>
    <w:rsid w:val="00550A2C"/>
    <w:rsid w:val="00550E5E"/>
    <w:rsid w:val="0055120A"/>
    <w:rsid w:val="005524F7"/>
    <w:rsid w:val="00552B20"/>
    <w:rsid w:val="00553E55"/>
    <w:rsid w:val="005542EE"/>
    <w:rsid w:val="005544E0"/>
    <w:rsid w:val="00554CEA"/>
    <w:rsid w:val="00555085"/>
    <w:rsid w:val="00555397"/>
    <w:rsid w:val="00555A60"/>
    <w:rsid w:val="00555EBB"/>
    <w:rsid w:val="005568C0"/>
    <w:rsid w:val="00556B79"/>
    <w:rsid w:val="00556CEA"/>
    <w:rsid w:val="0056010E"/>
    <w:rsid w:val="00560DF0"/>
    <w:rsid w:val="005617BA"/>
    <w:rsid w:val="005619FB"/>
    <w:rsid w:val="005623DB"/>
    <w:rsid w:val="005638FC"/>
    <w:rsid w:val="0056497C"/>
    <w:rsid w:val="005651B1"/>
    <w:rsid w:val="00565226"/>
    <w:rsid w:val="005657F7"/>
    <w:rsid w:val="005663E7"/>
    <w:rsid w:val="005667A1"/>
    <w:rsid w:val="005674DD"/>
    <w:rsid w:val="005679BC"/>
    <w:rsid w:val="00570EFB"/>
    <w:rsid w:val="0057137E"/>
    <w:rsid w:val="00571606"/>
    <w:rsid w:val="00571625"/>
    <w:rsid w:val="005716A3"/>
    <w:rsid w:val="005716B2"/>
    <w:rsid w:val="00571AF5"/>
    <w:rsid w:val="0057229B"/>
    <w:rsid w:val="005731CA"/>
    <w:rsid w:val="005733A0"/>
    <w:rsid w:val="00573BC3"/>
    <w:rsid w:val="00573C29"/>
    <w:rsid w:val="00574C16"/>
    <w:rsid w:val="005755A0"/>
    <w:rsid w:val="00576D4F"/>
    <w:rsid w:val="00576FAB"/>
    <w:rsid w:val="005800EA"/>
    <w:rsid w:val="00580212"/>
    <w:rsid w:val="0058207B"/>
    <w:rsid w:val="00582922"/>
    <w:rsid w:val="0058299A"/>
    <w:rsid w:val="00583288"/>
    <w:rsid w:val="005834A2"/>
    <w:rsid w:val="00583930"/>
    <w:rsid w:val="00583BFE"/>
    <w:rsid w:val="00584802"/>
    <w:rsid w:val="00585B37"/>
    <w:rsid w:val="00586E54"/>
    <w:rsid w:val="00587103"/>
    <w:rsid w:val="00587E59"/>
    <w:rsid w:val="005907AD"/>
    <w:rsid w:val="0059086B"/>
    <w:rsid w:val="005908C4"/>
    <w:rsid w:val="00590943"/>
    <w:rsid w:val="00591475"/>
    <w:rsid w:val="00591514"/>
    <w:rsid w:val="00591777"/>
    <w:rsid w:val="00593088"/>
    <w:rsid w:val="00593144"/>
    <w:rsid w:val="0059405E"/>
    <w:rsid w:val="00594C94"/>
    <w:rsid w:val="0059501F"/>
    <w:rsid w:val="0059528A"/>
    <w:rsid w:val="00595BDE"/>
    <w:rsid w:val="005960D6"/>
    <w:rsid w:val="00597807"/>
    <w:rsid w:val="00597866"/>
    <w:rsid w:val="005A093F"/>
    <w:rsid w:val="005A132F"/>
    <w:rsid w:val="005A1614"/>
    <w:rsid w:val="005A21F9"/>
    <w:rsid w:val="005A27FF"/>
    <w:rsid w:val="005A283D"/>
    <w:rsid w:val="005A28DD"/>
    <w:rsid w:val="005A3EE4"/>
    <w:rsid w:val="005A4D04"/>
    <w:rsid w:val="005A59D4"/>
    <w:rsid w:val="005A5F91"/>
    <w:rsid w:val="005A6619"/>
    <w:rsid w:val="005A6F4E"/>
    <w:rsid w:val="005A73E2"/>
    <w:rsid w:val="005A750F"/>
    <w:rsid w:val="005A78A1"/>
    <w:rsid w:val="005A78B1"/>
    <w:rsid w:val="005B0790"/>
    <w:rsid w:val="005B1291"/>
    <w:rsid w:val="005B13C3"/>
    <w:rsid w:val="005B2218"/>
    <w:rsid w:val="005B3225"/>
    <w:rsid w:val="005B3707"/>
    <w:rsid w:val="005B50C7"/>
    <w:rsid w:val="005B5E87"/>
    <w:rsid w:val="005B6444"/>
    <w:rsid w:val="005B656A"/>
    <w:rsid w:val="005B75FD"/>
    <w:rsid w:val="005B7AE0"/>
    <w:rsid w:val="005C08BC"/>
    <w:rsid w:val="005C2008"/>
    <w:rsid w:val="005C2997"/>
    <w:rsid w:val="005C31A4"/>
    <w:rsid w:val="005C3715"/>
    <w:rsid w:val="005C374E"/>
    <w:rsid w:val="005C3F2B"/>
    <w:rsid w:val="005C450B"/>
    <w:rsid w:val="005C49CF"/>
    <w:rsid w:val="005C5A76"/>
    <w:rsid w:val="005C61B7"/>
    <w:rsid w:val="005C6522"/>
    <w:rsid w:val="005C6B51"/>
    <w:rsid w:val="005C75A8"/>
    <w:rsid w:val="005D0912"/>
    <w:rsid w:val="005D0B5F"/>
    <w:rsid w:val="005D0C72"/>
    <w:rsid w:val="005D2579"/>
    <w:rsid w:val="005D3E41"/>
    <w:rsid w:val="005D493C"/>
    <w:rsid w:val="005D52AD"/>
    <w:rsid w:val="005D55D1"/>
    <w:rsid w:val="005D5AB1"/>
    <w:rsid w:val="005D5F39"/>
    <w:rsid w:val="005D619D"/>
    <w:rsid w:val="005D6366"/>
    <w:rsid w:val="005D664C"/>
    <w:rsid w:val="005E08DE"/>
    <w:rsid w:val="005E11D6"/>
    <w:rsid w:val="005E26D9"/>
    <w:rsid w:val="005F010C"/>
    <w:rsid w:val="005F01DA"/>
    <w:rsid w:val="005F0D7C"/>
    <w:rsid w:val="005F1F23"/>
    <w:rsid w:val="005F1F9D"/>
    <w:rsid w:val="005F2D39"/>
    <w:rsid w:val="005F3597"/>
    <w:rsid w:val="005F3932"/>
    <w:rsid w:val="005F43EA"/>
    <w:rsid w:val="005F4C36"/>
    <w:rsid w:val="005F54CA"/>
    <w:rsid w:val="005F5D5E"/>
    <w:rsid w:val="005F639C"/>
    <w:rsid w:val="005F7645"/>
    <w:rsid w:val="00600C6D"/>
    <w:rsid w:val="00600DD0"/>
    <w:rsid w:val="006011F8"/>
    <w:rsid w:val="00602845"/>
    <w:rsid w:val="00602AEF"/>
    <w:rsid w:val="00602D5D"/>
    <w:rsid w:val="00605B0A"/>
    <w:rsid w:val="00605D2B"/>
    <w:rsid w:val="00606800"/>
    <w:rsid w:val="00606FDD"/>
    <w:rsid w:val="00607020"/>
    <w:rsid w:val="00607202"/>
    <w:rsid w:val="00607635"/>
    <w:rsid w:val="00607D32"/>
    <w:rsid w:val="0060E676"/>
    <w:rsid w:val="006101D8"/>
    <w:rsid w:val="00610D43"/>
    <w:rsid w:val="0061102B"/>
    <w:rsid w:val="0061316F"/>
    <w:rsid w:val="00613B70"/>
    <w:rsid w:val="00614009"/>
    <w:rsid w:val="00614933"/>
    <w:rsid w:val="00615401"/>
    <w:rsid w:val="00615E8A"/>
    <w:rsid w:val="00616A64"/>
    <w:rsid w:val="0061747A"/>
    <w:rsid w:val="00617B48"/>
    <w:rsid w:val="006207BD"/>
    <w:rsid w:val="00621DD1"/>
    <w:rsid w:val="0062348C"/>
    <w:rsid w:val="006240E9"/>
    <w:rsid w:val="00624149"/>
    <w:rsid w:val="006245C1"/>
    <w:rsid w:val="00624771"/>
    <w:rsid w:val="00626250"/>
    <w:rsid w:val="00627930"/>
    <w:rsid w:val="00627B09"/>
    <w:rsid w:val="00630B9E"/>
    <w:rsid w:val="00631143"/>
    <w:rsid w:val="00633D54"/>
    <w:rsid w:val="00633EB2"/>
    <w:rsid w:val="00634876"/>
    <w:rsid w:val="00635A98"/>
    <w:rsid w:val="0063637A"/>
    <w:rsid w:val="006364D9"/>
    <w:rsid w:val="00637851"/>
    <w:rsid w:val="006403F2"/>
    <w:rsid w:val="00640BAC"/>
    <w:rsid w:val="006410E8"/>
    <w:rsid w:val="006411C6"/>
    <w:rsid w:val="00641F96"/>
    <w:rsid w:val="00642169"/>
    <w:rsid w:val="006423E8"/>
    <w:rsid w:val="00642D2A"/>
    <w:rsid w:val="0064305B"/>
    <w:rsid w:val="00643D2C"/>
    <w:rsid w:val="0064441C"/>
    <w:rsid w:val="00644F64"/>
    <w:rsid w:val="00645582"/>
    <w:rsid w:val="00646916"/>
    <w:rsid w:val="00646D4C"/>
    <w:rsid w:val="00646E6E"/>
    <w:rsid w:val="00650A6E"/>
    <w:rsid w:val="00650C75"/>
    <w:rsid w:val="006513D0"/>
    <w:rsid w:val="00651A31"/>
    <w:rsid w:val="00651B04"/>
    <w:rsid w:val="00651DBB"/>
    <w:rsid w:val="00652696"/>
    <w:rsid w:val="00652D0B"/>
    <w:rsid w:val="00653470"/>
    <w:rsid w:val="0065452C"/>
    <w:rsid w:val="00654C05"/>
    <w:rsid w:val="00654C42"/>
    <w:rsid w:val="00654D7E"/>
    <w:rsid w:val="00655375"/>
    <w:rsid w:val="00655A6C"/>
    <w:rsid w:val="00655E3D"/>
    <w:rsid w:val="00656290"/>
    <w:rsid w:val="00656C8D"/>
    <w:rsid w:val="00656D48"/>
    <w:rsid w:val="00657B5E"/>
    <w:rsid w:val="00657FD6"/>
    <w:rsid w:val="00660165"/>
    <w:rsid w:val="00660E6D"/>
    <w:rsid w:val="0066115A"/>
    <w:rsid w:val="00662771"/>
    <w:rsid w:val="0066354A"/>
    <w:rsid w:val="006639C9"/>
    <w:rsid w:val="00664640"/>
    <w:rsid w:val="00664656"/>
    <w:rsid w:val="00664A7B"/>
    <w:rsid w:val="0066573D"/>
    <w:rsid w:val="0066624F"/>
    <w:rsid w:val="00667479"/>
    <w:rsid w:val="00667F45"/>
    <w:rsid w:val="00670F95"/>
    <w:rsid w:val="00671033"/>
    <w:rsid w:val="00671AB6"/>
    <w:rsid w:val="006721A5"/>
    <w:rsid w:val="00672414"/>
    <w:rsid w:val="00672602"/>
    <w:rsid w:val="00675889"/>
    <w:rsid w:val="00676368"/>
    <w:rsid w:val="00676ED5"/>
    <w:rsid w:val="00676EEC"/>
    <w:rsid w:val="00677021"/>
    <w:rsid w:val="006807DD"/>
    <w:rsid w:val="006809AC"/>
    <w:rsid w:val="00680DC2"/>
    <w:rsid w:val="00681931"/>
    <w:rsid w:val="00682D5E"/>
    <w:rsid w:val="00684296"/>
    <w:rsid w:val="00684DE8"/>
    <w:rsid w:val="00687399"/>
    <w:rsid w:val="00687665"/>
    <w:rsid w:val="00690A33"/>
    <w:rsid w:val="00690F01"/>
    <w:rsid w:val="0069174D"/>
    <w:rsid w:val="0069215F"/>
    <w:rsid w:val="00693CB1"/>
    <w:rsid w:val="0069415A"/>
    <w:rsid w:val="00694732"/>
    <w:rsid w:val="00695BC9"/>
    <w:rsid w:val="006967BD"/>
    <w:rsid w:val="00696930"/>
    <w:rsid w:val="00696AF2"/>
    <w:rsid w:val="00696B92"/>
    <w:rsid w:val="0069787B"/>
    <w:rsid w:val="006A0074"/>
    <w:rsid w:val="006A0222"/>
    <w:rsid w:val="006A0EFE"/>
    <w:rsid w:val="006A0FF2"/>
    <w:rsid w:val="006A108C"/>
    <w:rsid w:val="006A1F02"/>
    <w:rsid w:val="006A2864"/>
    <w:rsid w:val="006A3F3B"/>
    <w:rsid w:val="006A4921"/>
    <w:rsid w:val="006A49CF"/>
    <w:rsid w:val="006A4F82"/>
    <w:rsid w:val="006A50ED"/>
    <w:rsid w:val="006A513C"/>
    <w:rsid w:val="006A5CB9"/>
    <w:rsid w:val="006A61B3"/>
    <w:rsid w:val="006A62C8"/>
    <w:rsid w:val="006A7757"/>
    <w:rsid w:val="006A7C10"/>
    <w:rsid w:val="006B0888"/>
    <w:rsid w:val="006B1428"/>
    <w:rsid w:val="006B1430"/>
    <w:rsid w:val="006B1567"/>
    <w:rsid w:val="006B19EE"/>
    <w:rsid w:val="006B3C3D"/>
    <w:rsid w:val="006B3CBF"/>
    <w:rsid w:val="006B3E7C"/>
    <w:rsid w:val="006B408D"/>
    <w:rsid w:val="006B421A"/>
    <w:rsid w:val="006B44D8"/>
    <w:rsid w:val="006B547C"/>
    <w:rsid w:val="006B5A04"/>
    <w:rsid w:val="006B5D21"/>
    <w:rsid w:val="006B6419"/>
    <w:rsid w:val="006B6C4B"/>
    <w:rsid w:val="006B7342"/>
    <w:rsid w:val="006C035E"/>
    <w:rsid w:val="006C052D"/>
    <w:rsid w:val="006C06EE"/>
    <w:rsid w:val="006C1609"/>
    <w:rsid w:val="006C18D2"/>
    <w:rsid w:val="006C28C0"/>
    <w:rsid w:val="006C3985"/>
    <w:rsid w:val="006C3E9D"/>
    <w:rsid w:val="006C489E"/>
    <w:rsid w:val="006C4C6D"/>
    <w:rsid w:val="006C51D3"/>
    <w:rsid w:val="006C6BC9"/>
    <w:rsid w:val="006C6DEB"/>
    <w:rsid w:val="006C7391"/>
    <w:rsid w:val="006C7489"/>
    <w:rsid w:val="006C789B"/>
    <w:rsid w:val="006D2370"/>
    <w:rsid w:val="006D2A08"/>
    <w:rsid w:val="006D2AAB"/>
    <w:rsid w:val="006D2C74"/>
    <w:rsid w:val="006D3016"/>
    <w:rsid w:val="006D47EE"/>
    <w:rsid w:val="006D4B51"/>
    <w:rsid w:val="006D4C01"/>
    <w:rsid w:val="006D4E9F"/>
    <w:rsid w:val="006D52EF"/>
    <w:rsid w:val="006D56F9"/>
    <w:rsid w:val="006D6EFC"/>
    <w:rsid w:val="006D74A9"/>
    <w:rsid w:val="006E0DC4"/>
    <w:rsid w:val="006E0E05"/>
    <w:rsid w:val="006E1289"/>
    <w:rsid w:val="006E1842"/>
    <w:rsid w:val="006E25F0"/>
    <w:rsid w:val="006E37A0"/>
    <w:rsid w:val="006E462F"/>
    <w:rsid w:val="006E476D"/>
    <w:rsid w:val="006E6E21"/>
    <w:rsid w:val="006E8F35"/>
    <w:rsid w:val="006F0C4A"/>
    <w:rsid w:val="006F0CCA"/>
    <w:rsid w:val="006F0EFF"/>
    <w:rsid w:val="006F1006"/>
    <w:rsid w:val="006F114D"/>
    <w:rsid w:val="006F25AE"/>
    <w:rsid w:val="006F2C71"/>
    <w:rsid w:val="006F2F1F"/>
    <w:rsid w:val="006F3A48"/>
    <w:rsid w:val="006F4172"/>
    <w:rsid w:val="006F42A4"/>
    <w:rsid w:val="006F45B1"/>
    <w:rsid w:val="006F5274"/>
    <w:rsid w:val="006F5745"/>
    <w:rsid w:val="006F5F01"/>
    <w:rsid w:val="006F6692"/>
    <w:rsid w:val="006F702A"/>
    <w:rsid w:val="006F7305"/>
    <w:rsid w:val="00700144"/>
    <w:rsid w:val="0070071F"/>
    <w:rsid w:val="00700B82"/>
    <w:rsid w:val="007011B2"/>
    <w:rsid w:val="007028DD"/>
    <w:rsid w:val="00702BA9"/>
    <w:rsid w:val="0070350A"/>
    <w:rsid w:val="0070387E"/>
    <w:rsid w:val="007046BB"/>
    <w:rsid w:val="00705F49"/>
    <w:rsid w:val="007067C4"/>
    <w:rsid w:val="00706F42"/>
    <w:rsid w:val="00707DD3"/>
    <w:rsid w:val="00707E4D"/>
    <w:rsid w:val="00707EF2"/>
    <w:rsid w:val="007107A3"/>
    <w:rsid w:val="007109EC"/>
    <w:rsid w:val="00710C18"/>
    <w:rsid w:val="00711229"/>
    <w:rsid w:val="0071188B"/>
    <w:rsid w:val="00711D66"/>
    <w:rsid w:val="00711E75"/>
    <w:rsid w:val="00712B20"/>
    <w:rsid w:val="007133CA"/>
    <w:rsid w:val="00714B0C"/>
    <w:rsid w:val="00714D57"/>
    <w:rsid w:val="0071552E"/>
    <w:rsid w:val="007159B5"/>
    <w:rsid w:val="00715D79"/>
    <w:rsid w:val="007164F1"/>
    <w:rsid w:val="007177F6"/>
    <w:rsid w:val="00717BDF"/>
    <w:rsid w:val="00717ED6"/>
    <w:rsid w:val="00717F4A"/>
    <w:rsid w:val="00720736"/>
    <w:rsid w:val="00722417"/>
    <w:rsid w:val="00723838"/>
    <w:rsid w:val="007251F0"/>
    <w:rsid w:val="00725BA8"/>
    <w:rsid w:val="00725F47"/>
    <w:rsid w:val="0072655B"/>
    <w:rsid w:val="00726DE0"/>
    <w:rsid w:val="00727829"/>
    <w:rsid w:val="00727D63"/>
    <w:rsid w:val="007316AD"/>
    <w:rsid w:val="00732831"/>
    <w:rsid w:val="00733CD8"/>
    <w:rsid w:val="00734B9E"/>
    <w:rsid w:val="00734F36"/>
    <w:rsid w:val="0073511B"/>
    <w:rsid w:val="00735E75"/>
    <w:rsid w:val="00736232"/>
    <w:rsid w:val="00736713"/>
    <w:rsid w:val="00736D00"/>
    <w:rsid w:val="0073772F"/>
    <w:rsid w:val="0074058F"/>
    <w:rsid w:val="007405F3"/>
    <w:rsid w:val="00740E9B"/>
    <w:rsid w:val="007411E7"/>
    <w:rsid w:val="0074226C"/>
    <w:rsid w:val="0074229D"/>
    <w:rsid w:val="00742585"/>
    <w:rsid w:val="00742717"/>
    <w:rsid w:val="00743C88"/>
    <w:rsid w:val="007441A4"/>
    <w:rsid w:val="00745191"/>
    <w:rsid w:val="0074574E"/>
    <w:rsid w:val="00745A07"/>
    <w:rsid w:val="00745A46"/>
    <w:rsid w:val="00746789"/>
    <w:rsid w:val="0074754B"/>
    <w:rsid w:val="007475C2"/>
    <w:rsid w:val="007504DF"/>
    <w:rsid w:val="00750B90"/>
    <w:rsid w:val="00752BC3"/>
    <w:rsid w:val="007530D3"/>
    <w:rsid w:val="007547CA"/>
    <w:rsid w:val="00755399"/>
    <w:rsid w:val="007569AB"/>
    <w:rsid w:val="00756FDB"/>
    <w:rsid w:val="007573E9"/>
    <w:rsid w:val="00757D91"/>
    <w:rsid w:val="00760759"/>
    <w:rsid w:val="00760A1F"/>
    <w:rsid w:val="00760C22"/>
    <w:rsid w:val="007613B7"/>
    <w:rsid w:val="0076173F"/>
    <w:rsid w:val="007619FE"/>
    <w:rsid w:val="007625BA"/>
    <w:rsid w:val="007636E6"/>
    <w:rsid w:val="007638E2"/>
    <w:rsid w:val="007642BC"/>
    <w:rsid w:val="007647A3"/>
    <w:rsid w:val="00764E2D"/>
    <w:rsid w:val="0076522B"/>
    <w:rsid w:val="00765485"/>
    <w:rsid w:val="00766849"/>
    <w:rsid w:val="007675CF"/>
    <w:rsid w:val="007676DF"/>
    <w:rsid w:val="007704CB"/>
    <w:rsid w:val="007706A1"/>
    <w:rsid w:val="00771F53"/>
    <w:rsid w:val="007729F2"/>
    <w:rsid w:val="007742D9"/>
    <w:rsid w:val="007751FB"/>
    <w:rsid w:val="0077609E"/>
    <w:rsid w:val="00776302"/>
    <w:rsid w:val="00776BC9"/>
    <w:rsid w:val="00777FD5"/>
    <w:rsid w:val="00780894"/>
    <w:rsid w:val="007817BB"/>
    <w:rsid w:val="007817E5"/>
    <w:rsid w:val="00781F4A"/>
    <w:rsid w:val="007827B0"/>
    <w:rsid w:val="0078302D"/>
    <w:rsid w:val="00783F9D"/>
    <w:rsid w:val="007848D2"/>
    <w:rsid w:val="00784909"/>
    <w:rsid w:val="00784C08"/>
    <w:rsid w:val="007851E2"/>
    <w:rsid w:val="0078534A"/>
    <w:rsid w:val="00786173"/>
    <w:rsid w:val="0078664F"/>
    <w:rsid w:val="007866D4"/>
    <w:rsid w:val="00786B08"/>
    <w:rsid w:val="007874D7"/>
    <w:rsid w:val="0078FF26"/>
    <w:rsid w:val="00791B7F"/>
    <w:rsid w:val="00791E2C"/>
    <w:rsid w:val="00793790"/>
    <w:rsid w:val="00793ADE"/>
    <w:rsid w:val="00793E1D"/>
    <w:rsid w:val="0079495F"/>
    <w:rsid w:val="00795A69"/>
    <w:rsid w:val="0079606B"/>
    <w:rsid w:val="00797098"/>
    <w:rsid w:val="00797A4E"/>
    <w:rsid w:val="00797FC8"/>
    <w:rsid w:val="0079D224"/>
    <w:rsid w:val="007A0842"/>
    <w:rsid w:val="007A08C1"/>
    <w:rsid w:val="007A1689"/>
    <w:rsid w:val="007A20B2"/>
    <w:rsid w:val="007A37FB"/>
    <w:rsid w:val="007A43BF"/>
    <w:rsid w:val="007A4456"/>
    <w:rsid w:val="007A5E97"/>
    <w:rsid w:val="007A6EDC"/>
    <w:rsid w:val="007B01C6"/>
    <w:rsid w:val="007B0B38"/>
    <w:rsid w:val="007B0B9E"/>
    <w:rsid w:val="007B0CA5"/>
    <w:rsid w:val="007B166A"/>
    <w:rsid w:val="007B171B"/>
    <w:rsid w:val="007B1881"/>
    <w:rsid w:val="007B23B6"/>
    <w:rsid w:val="007B2964"/>
    <w:rsid w:val="007B2B93"/>
    <w:rsid w:val="007B30FC"/>
    <w:rsid w:val="007B3E19"/>
    <w:rsid w:val="007B408B"/>
    <w:rsid w:val="007B565E"/>
    <w:rsid w:val="007B589D"/>
    <w:rsid w:val="007B593C"/>
    <w:rsid w:val="007B6EB8"/>
    <w:rsid w:val="007B7737"/>
    <w:rsid w:val="007BBB99"/>
    <w:rsid w:val="007C0469"/>
    <w:rsid w:val="007C078C"/>
    <w:rsid w:val="007C0A8D"/>
    <w:rsid w:val="007C16EC"/>
    <w:rsid w:val="007C1962"/>
    <w:rsid w:val="007C2AA1"/>
    <w:rsid w:val="007C301D"/>
    <w:rsid w:val="007C4C79"/>
    <w:rsid w:val="007C6268"/>
    <w:rsid w:val="007C6D33"/>
    <w:rsid w:val="007C7162"/>
    <w:rsid w:val="007C76C8"/>
    <w:rsid w:val="007C7E5A"/>
    <w:rsid w:val="007D085A"/>
    <w:rsid w:val="007D1805"/>
    <w:rsid w:val="007D226D"/>
    <w:rsid w:val="007D32DB"/>
    <w:rsid w:val="007D505A"/>
    <w:rsid w:val="007D706B"/>
    <w:rsid w:val="007D7A2C"/>
    <w:rsid w:val="007E00D5"/>
    <w:rsid w:val="007E10D6"/>
    <w:rsid w:val="007E1A44"/>
    <w:rsid w:val="007E24B3"/>
    <w:rsid w:val="007E2668"/>
    <w:rsid w:val="007E2F63"/>
    <w:rsid w:val="007E2F6E"/>
    <w:rsid w:val="007E3CEB"/>
    <w:rsid w:val="007E3DF0"/>
    <w:rsid w:val="007E536B"/>
    <w:rsid w:val="007E6EB4"/>
    <w:rsid w:val="007E7AB7"/>
    <w:rsid w:val="007F05A9"/>
    <w:rsid w:val="007F0724"/>
    <w:rsid w:val="007F0FC4"/>
    <w:rsid w:val="007F1939"/>
    <w:rsid w:val="007F1F0D"/>
    <w:rsid w:val="007F27D1"/>
    <w:rsid w:val="007F37B5"/>
    <w:rsid w:val="007F3FF1"/>
    <w:rsid w:val="007F47B4"/>
    <w:rsid w:val="007F6E99"/>
    <w:rsid w:val="008002F4"/>
    <w:rsid w:val="008007DD"/>
    <w:rsid w:val="008009BF"/>
    <w:rsid w:val="00801EEE"/>
    <w:rsid w:val="00802095"/>
    <w:rsid w:val="00803B5E"/>
    <w:rsid w:val="00803FCE"/>
    <w:rsid w:val="00804025"/>
    <w:rsid w:val="00804652"/>
    <w:rsid w:val="0080508B"/>
    <w:rsid w:val="00806CFA"/>
    <w:rsid w:val="00807D6E"/>
    <w:rsid w:val="008101D3"/>
    <w:rsid w:val="00810C9C"/>
    <w:rsid w:val="00810EC0"/>
    <w:rsid w:val="00810FF6"/>
    <w:rsid w:val="00811D5C"/>
    <w:rsid w:val="00813226"/>
    <w:rsid w:val="00813A23"/>
    <w:rsid w:val="00813D99"/>
    <w:rsid w:val="00815E93"/>
    <w:rsid w:val="008162A9"/>
    <w:rsid w:val="00817595"/>
    <w:rsid w:val="00817827"/>
    <w:rsid w:val="00817DD8"/>
    <w:rsid w:val="00820608"/>
    <w:rsid w:val="0082144A"/>
    <w:rsid w:val="0082170E"/>
    <w:rsid w:val="00823410"/>
    <w:rsid w:val="008235C6"/>
    <w:rsid w:val="0082369A"/>
    <w:rsid w:val="0082426C"/>
    <w:rsid w:val="00824357"/>
    <w:rsid w:val="0082593B"/>
    <w:rsid w:val="00825A10"/>
    <w:rsid w:val="00825AAB"/>
    <w:rsid w:val="00826C90"/>
    <w:rsid w:val="00827121"/>
    <w:rsid w:val="00830391"/>
    <w:rsid w:val="00831BDD"/>
    <w:rsid w:val="00832144"/>
    <w:rsid w:val="0083339C"/>
    <w:rsid w:val="00833D90"/>
    <w:rsid w:val="00834A92"/>
    <w:rsid w:val="00835562"/>
    <w:rsid w:val="00835738"/>
    <w:rsid w:val="00835DC8"/>
    <w:rsid w:val="00836B04"/>
    <w:rsid w:val="00836B24"/>
    <w:rsid w:val="00836E2F"/>
    <w:rsid w:val="008374C0"/>
    <w:rsid w:val="00837F77"/>
    <w:rsid w:val="00840BE5"/>
    <w:rsid w:val="00840E80"/>
    <w:rsid w:val="008411E1"/>
    <w:rsid w:val="00845F3D"/>
    <w:rsid w:val="008466EA"/>
    <w:rsid w:val="0084694A"/>
    <w:rsid w:val="008474C2"/>
    <w:rsid w:val="00847B80"/>
    <w:rsid w:val="008524CF"/>
    <w:rsid w:val="00852547"/>
    <w:rsid w:val="00852ED7"/>
    <w:rsid w:val="008530BA"/>
    <w:rsid w:val="00853362"/>
    <w:rsid w:val="00853F01"/>
    <w:rsid w:val="00854954"/>
    <w:rsid w:val="00854A67"/>
    <w:rsid w:val="00854D5F"/>
    <w:rsid w:val="0085507B"/>
    <w:rsid w:val="0085557B"/>
    <w:rsid w:val="00855C07"/>
    <w:rsid w:val="00855E98"/>
    <w:rsid w:val="00856698"/>
    <w:rsid w:val="00856DEE"/>
    <w:rsid w:val="00856E3A"/>
    <w:rsid w:val="00859E6D"/>
    <w:rsid w:val="00860307"/>
    <w:rsid w:val="0086038F"/>
    <w:rsid w:val="00860BB3"/>
    <w:rsid w:val="00860C1F"/>
    <w:rsid w:val="00863883"/>
    <w:rsid w:val="00863C0E"/>
    <w:rsid w:val="0086436F"/>
    <w:rsid w:val="008649C6"/>
    <w:rsid w:val="00865957"/>
    <w:rsid w:val="00865F07"/>
    <w:rsid w:val="008671A1"/>
    <w:rsid w:val="0086736A"/>
    <w:rsid w:val="008700B1"/>
    <w:rsid w:val="008706F6"/>
    <w:rsid w:val="008719D5"/>
    <w:rsid w:val="00871B07"/>
    <w:rsid w:val="00872601"/>
    <w:rsid w:val="00872A01"/>
    <w:rsid w:val="00873C78"/>
    <w:rsid w:val="00874D8D"/>
    <w:rsid w:val="00874DDF"/>
    <w:rsid w:val="008754C4"/>
    <w:rsid w:val="00875B01"/>
    <w:rsid w:val="008769D5"/>
    <w:rsid w:val="00876E36"/>
    <w:rsid w:val="00880287"/>
    <w:rsid w:val="008803A0"/>
    <w:rsid w:val="00880D0B"/>
    <w:rsid w:val="00880EC7"/>
    <w:rsid w:val="0088350A"/>
    <w:rsid w:val="0088365F"/>
    <w:rsid w:val="00884560"/>
    <w:rsid w:val="008846B6"/>
    <w:rsid w:val="00884CA3"/>
    <w:rsid w:val="00884D15"/>
    <w:rsid w:val="00884EEA"/>
    <w:rsid w:val="00885840"/>
    <w:rsid w:val="008859E0"/>
    <w:rsid w:val="008868FA"/>
    <w:rsid w:val="00886A59"/>
    <w:rsid w:val="00886E75"/>
    <w:rsid w:val="00890116"/>
    <w:rsid w:val="00892200"/>
    <w:rsid w:val="00892489"/>
    <w:rsid w:val="00892E73"/>
    <w:rsid w:val="00893052"/>
    <w:rsid w:val="00893789"/>
    <w:rsid w:val="00893B34"/>
    <w:rsid w:val="00894129"/>
    <w:rsid w:val="0089460A"/>
    <w:rsid w:val="00894886"/>
    <w:rsid w:val="0089596B"/>
    <w:rsid w:val="00895999"/>
    <w:rsid w:val="00895DC0"/>
    <w:rsid w:val="0089613E"/>
    <w:rsid w:val="0089657B"/>
    <w:rsid w:val="00896636"/>
    <w:rsid w:val="0089669F"/>
    <w:rsid w:val="00896F5B"/>
    <w:rsid w:val="00897B93"/>
    <w:rsid w:val="008A0C6F"/>
    <w:rsid w:val="008A1EB8"/>
    <w:rsid w:val="008A3E34"/>
    <w:rsid w:val="008A4BF2"/>
    <w:rsid w:val="008A4E69"/>
    <w:rsid w:val="008A50D7"/>
    <w:rsid w:val="008A68E5"/>
    <w:rsid w:val="008A6B4F"/>
    <w:rsid w:val="008A6F16"/>
    <w:rsid w:val="008B0153"/>
    <w:rsid w:val="008B04A7"/>
    <w:rsid w:val="008B0B76"/>
    <w:rsid w:val="008B0F65"/>
    <w:rsid w:val="008B15F1"/>
    <w:rsid w:val="008B3911"/>
    <w:rsid w:val="008B39E0"/>
    <w:rsid w:val="008B3AE1"/>
    <w:rsid w:val="008B3D50"/>
    <w:rsid w:val="008B4996"/>
    <w:rsid w:val="008B571E"/>
    <w:rsid w:val="008B5C44"/>
    <w:rsid w:val="008B6560"/>
    <w:rsid w:val="008B67E9"/>
    <w:rsid w:val="008B7064"/>
    <w:rsid w:val="008B70E6"/>
    <w:rsid w:val="008B7BA4"/>
    <w:rsid w:val="008C057D"/>
    <w:rsid w:val="008C0D59"/>
    <w:rsid w:val="008C1365"/>
    <w:rsid w:val="008C1743"/>
    <w:rsid w:val="008C17CE"/>
    <w:rsid w:val="008C2457"/>
    <w:rsid w:val="008C2B9A"/>
    <w:rsid w:val="008C4144"/>
    <w:rsid w:val="008C51AE"/>
    <w:rsid w:val="008C6D65"/>
    <w:rsid w:val="008C740B"/>
    <w:rsid w:val="008C7F8E"/>
    <w:rsid w:val="008C7FB1"/>
    <w:rsid w:val="008C7FB9"/>
    <w:rsid w:val="008D08FA"/>
    <w:rsid w:val="008D115D"/>
    <w:rsid w:val="008D1C7B"/>
    <w:rsid w:val="008D32C0"/>
    <w:rsid w:val="008D349C"/>
    <w:rsid w:val="008D3A8C"/>
    <w:rsid w:val="008D4C9C"/>
    <w:rsid w:val="008D5363"/>
    <w:rsid w:val="008D5BF5"/>
    <w:rsid w:val="008D5E90"/>
    <w:rsid w:val="008D73F6"/>
    <w:rsid w:val="008D7409"/>
    <w:rsid w:val="008D7E49"/>
    <w:rsid w:val="008E06CC"/>
    <w:rsid w:val="008E17F2"/>
    <w:rsid w:val="008E1C91"/>
    <w:rsid w:val="008E1F33"/>
    <w:rsid w:val="008E20F4"/>
    <w:rsid w:val="008E2773"/>
    <w:rsid w:val="008E386B"/>
    <w:rsid w:val="008E434C"/>
    <w:rsid w:val="008E4F30"/>
    <w:rsid w:val="008F040E"/>
    <w:rsid w:val="008F0EC1"/>
    <w:rsid w:val="008F3B7C"/>
    <w:rsid w:val="008F3B9C"/>
    <w:rsid w:val="008F41D6"/>
    <w:rsid w:val="008F493B"/>
    <w:rsid w:val="008F5356"/>
    <w:rsid w:val="008F7011"/>
    <w:rsid w:val="008F7C43"/>
    <w:rsid w:val="00900926"/>
    <w:rsid w:val="00900D42"/>
    <w:rsid w:val="00901A3C"/>
    <w:rsid w:val="0090249E"/>
    <w:rsid w:val="00903AB5"/>
    <w:rsid w:val="00905536"/>
    <w:rsid w:val="009061C9"/>
    <w:rsid w:val="00906782"/>
    <w:rsid w:val="009071B7"/>
    <w:rsid w:val="009072C4"/>
    <w:rsid w:val="0090753F"/>
    <w:rsid w:val="00907815"/>
    <w:rsid w:val="00907C45"/>
    <w:rsid w:val="009104C4"/>
    <w:rsid w:val="00910879"/>
    <w:rsid w:val="00910A1A"/>
    <w:rsid w:val="0091186C"/>
    <w:rsid w:val="009118E2"/>
    <w:rsid w:val="009118F1"/>
    <w:rsid w:val="0091266C"/>
    <w:rsid w:val="00912DCB"/>
    <w:rsid w:val="009137CC"/>
    <w:rsid w:val="00913FF9"/>
    <w:rsid w:val="009158B5"/>
    <w:rsid w:val="00915CE8"/>
    <w:rsid w:val="00916B1E"/>
    <w:rsid w:val="00916C24"/>
    <w:rsid w:val="00916E89"/>
    <w:rsid w:val="0091781F"/>
    <w:rsid w:val="009178E3"/>
    <w:rsid w:val="00917B30"/>
    <w:rsid w:val="00917C43"/>
    <w:rsid w:val="00917EAF"/>
    <w:rsid w:val="009203DB"/>
    <w:rsid w:val="00922C1C"/>
    <w:rsid w:val="009242A4"/>
    <w:rsid w:val="00924D2A"/>
    <w:rsid w:val="00924FC4"/>
    <w:rsid w:val="009255B7"/>
    <w:rsid w:val="00925A82"/>
    <w:rsid w:val="00926658"/>
    <w:rsid w:val="00926C6C"/>
    <w:rsid w:val="00927141"/>
    <w:rsid w:val="009272F9"/>
    <w:rsid w:val="00927661"/>
    <w:rsid w:val="0093125D"/>
    <w:rsid w:val="00931ACB"/>
    <w:rsid w:val="0093357B"/>
    <w:rsid w:val="00933CE0"/>
    <w:rsid w:val="00934647"/>
    <w:rsid w:val="00935019"/>
    <w:rsid w:val="00935A8E"/>
    <w:rsid w:val="00935CD6"/>
    <w:rsid w:val="00935E6A"/>
    <w:rsid w:val="009371F7"/>
    <w:rsid w:val="009373C3"/>
    <w:rsid w:val="00937E53"/>
    <w:rsid w:val="0094075E"/>
    <w:rsid w:val="00941014"/>
    <w:rsid w:val="009414DA"/>
    <w:rsid w:val="00941867"/>
    <w:rsid w:val="00941F27"/>
    <w:rsid w:val="009424C6"/>
    <w:rsid w:val="00943FA8"/>
    <w:rsid w:val="00944ECD"/>
    <w:rsid w:val="0094525A"/>
    <w:rsid w:val="00945470"/>
    <w:rsid w:val="0094577A"/>
    <w:rsid w:val="00945F67"/>
    <w:rsid w:val="009469CB"/>
    <w:rsid w:val="00947764"/>
    <w:rsid w:val="00947982"/>
    <w:rsid w:val="00947F2D"/>
    <w:rsid w:val="00950828"/>
    <w:rsid w:val="00950C7A"/>
    <w:rsid w:val="009520B0"/>
    <w:rsid w:val="00952AE5"/>
    <w:rsid w:val="00952E92"/>
    <w:rsid w:val="00953092"/>
    <w:rsid w:val="00953419"/>
    <w:rsid w:val="009536CE"/>
    <w:rsid w:val="00953AF4"/>
    <w:rsid w:val="00955842"/>
    <w:rsid w:val="00957862"/>
    <w:rsid w:val="00961181"/>
    <w:rsid w:val="00962BBB"/>
    <w:rsid w:val="00963D1B"/>
    <w:rsid w:val="009652F3"/>
    <w:rsid w:val="00966CF8"/>
    <w:rsid w:val="00966DEC"/>
    <w:rsid w:val="00967A50"/>
    <w:rsid w:val="00967C2C"/>
    <w:rsid w:val="0097152B"/>
    <w:rsid w:val="00971EFB"/>
    <w:rsid w:val="00972CC5"/>
    <w:rsid w:val="00972D9D"/>
    <w:rsid w:val="00973306"/>
    <w:rsid w:val="00974AA2"/>
    <w:rsid w:val="009753F4"/>
    <w:rsid w:val="009754F0"/>
    <w:rsid w:val="00975837"/>
    <w:rsid w:val="009761CE"/>
    <w:rsid w:val="00977038"/>
    <w:rsid w:val="009774E3"/>
    <w:rsid w:val="009774EA"/>
    <w:rsid w:val="0097782D"/>
    <w:rsid w:val="009811B8"/>
    <w:rsid w:val="00981AA1"/>
    <w:rsid w:val="00982664"/>
    <w:rsid w:val="009833D5"/>
    <w:rsid w:val="009854C1"/>
    <w:rsid w:val="00985A1C"/>
    <w:rsid w:val="00986991"/>
    <w:rsid w:val="00987059"/>
    <w:rsid w:val="009875EE"/>
    <w:rsid w:val="00987E9B"/>
    <w:rsid w:val="00990548"/>
    <w:rsid w:val="00990B83"/>
    <w:rsid w:val="00990E3C"/>
    <w:rsid w:val="009916DC"/>
    <w:rsid w:val="00992029"/>
    <w:rsid w:val="009921B0"/>
    <w:rsid w:val="00992396"/>
    <w:rsid w:val="00993BA9"/>
    <w:rsid w:val="009942A2"/>
    <w:rsid w:val="009949FF"/>
    <w:rsid w:val="00994D09"/>
    <w:rsid w:val="0099529D"/>
    <w:rsid w:val="0099660A"/>
    <w:rsid w:val="0099726B"/>
    <w:rsid w:val="009A03C2"/>
    <w:rsid w:val="009A06DD"/>
    <w:rsid w:val="009A0DC7"/>
    <w:rsid w:val="009A16D9"/>
    <w:rsid w:val="009A1D1C"/>
    <w:rsid w:val="009A20EA"/>
    <w:rsid w:val="009A2A71"/>
    <w:rsid w:val="009A2B21"/>
    <w:rsid w:val="009A3636"/>
    <w:rsid w:val="009A397C"/>
    <w:rsid w:val="009A5142"/>
    <w:rsid w:val="009A54AC"/>
    <w:rsid w:val="009A5E84"/>
    <w:rsid w:val="009B0612"/>
    <w:rsid w:val="009B0799"/>
    <w:rsid w:val="009B0ACE"/>
    <w:rsid w:val="009B1A8D"/>
    <w:rsid w:val="009B2322"/>
    <w:rsid w:val="009B30A4"/>
    <w:rsid w:val="009B314A"/>
    <w:rsid w:val="009B3457"/>
    <w:rsid w:val="009B5CB2"/>
    <w:rsid w:val="009B60AF"/>
    <w:rsid w:val="009B7684"/>
    <w:rsid w:val="009C0758"/>
    <w:rsid w:val="009C0FAA"/>
    <w:rsid w:val="009C154D"/>
    <w:rsid w:val="009C23D7"/>
    <w:rsid w:val="009C320A"/>
    <w:rsid w:val="009C3535"/>
    <w:rsid w:val="009C36A5"/>
    <w:rsid w:val="009C36FE"/>
    <w:rsid w:val="009C3726"/>
    <w:rsid w:val="009C3BEB"/>
    <w:rsid w:val="009C4914"/>
    <w:rsid w:val="009C4E9D"/>
    <w:rsid w:val="009C5FCE"/>
    <w:rsid w:val="009C5FF4"/>
    <w:rsid w:val="009C6E43"/>
    <w:rsid w:val="009C73FA"/>
    <w:rsid w:val="009C7F06"/>
    <w:rsid w:val="009D059E"/>
    <w:rsid w:val="009D0734"/>
    <w:rsid w:val="009D0809"/>
    <w:rsid w:val="009D0A67"/>
    <w:rsid w:val="009D2AAB"/>
    <w:rsid w:val="009D3D36"/>
    <w:rsid w:val="009D485B"/>
    <w:rsid w:val="009D48DC"/>
    <w:rsid w:val="009D4D3C"/>
    <w:rsid w:val="009D5526"/>
    <w:rsid w:val="009D5D79"/>
    <w:rsid w:val="009D5F79"/>
    <w:rsid w:val="009D6549"/>
    <w:rsid w:val="009D65A4"/>
    <w:rsid w:val="009D71DB"/>
    <w:rsid w:val="009D7413"/>
    <w:rsid w:val="009D7AAB"/>
    <w:rsid w:val="009D7DDB"/>
    <w:rsid w:val="009D7F5A"/>
    <w:rsid w:val="009E1824"/>
    <w:rsid w:val="009E1E3D"/>
    <w:rsid w:val="009E29BF"/>
    <w:rsid w:val="009E3A12"/>
    <w:rsid w:val="009E3E35"/>
    <w:rsid w:val="009E3EDC"/>
    <w:rsid w:val="009E4722"/>
    <w:rsid w:val="009E4CED"/>
    <w:rsid w:val="009E4FB7"/>
    <w:rsid w:val="009E53AC"/>
    <w:rsid w:val="009E5A0F"/>
    <w:rsid w:val="009E68EB"/>
    <w:rsid w:val="009E7FF4"/>
    <w:rsid w:val="009F0ED2"/>
    <w:rsid w:val="009F0FCB"/>
    <w:rsid w:val="009F13F2"/>
    <w:rsid w:val="009F2342"/>
    <w:rsid w:val="009F23A8"/>
    <w:rsid w:val="009F2AEC"/>
    <w:rsid w:val="009F2FE8"/>
    <w:rsid w:val="009F335C"/>
    <w:rsid w:val="009F3DD1"/>
    <w:rsid w:val="009F4206"/>
    <w:rsid w:val="009F5A91"/>
    <w:rsid w:val="009F5AFB"/>
    <w:rsid w:val="009F5B4C"/>
    <w:rsid w:val="009F5FDA"/>
    <w:rsid w:val="009F6EE7"/>
    <w:rsid w:val="009F730F"/>
    <w:rsid w:val="00A0017B"/>
    <w:rsid w:val="00A00470"/>
    <w:rsid w:val="00A01289"/>
    <w:rsid w:val="00A01D2F"/>
    <w:rsid w:val="00A02080"/>
    <w:rsid w:val="00A033AC"/>
    <w:rsid w:val="00A03D31"/>
    <w:rsid w:val="00A03FEC"/>
    <w:rsid w:val="00A04B5C"/>
    <w:rsid w:val="00A05AC7"/>
    <w:rsid w:val="00A06D12"/>
    <w:rsid w:val="00A11039"/>
    <w:rsid w:val="00A11C21"/>
    <w:rsid w:val="00A120B1"/>
    <w:rsid w:val="00A12182"/>
    <w:rsid w:val="00A12502"/>
    <w:rsid w:val="00A12E22"/>
    <w:rsid w:val="00A13027"/>
    <w:rsid w:val="00A13508"/>
    <w:rsid w:val="00A13FF2"/>
    <w:rsid w:val="00A14347"/>
    <w:rsid w:val="00A14EF6"/>
    <w:rsid w:val="00A14F18"/>
    <w:rsid w:val="00A15F55"/>
    <w:rsid w:val="00A16349"/>
    <w:rsid w:val="00A166C8"/>
    <w:rsid w:val="00A1682E"/>
    <w:rsid w:val="00A16944"/>
    <w:rsid w:val="00A20CA1"/>
    <w:rsid w:val="00A20E98"/>
    <w:rsid w:val="00A20F5B"/>
    <w:rsid w:val="00A233C0"/>
    <w:rsid w:val="00A23690"/>
    <w:rsid w:val="00A236B7"/>
    <w:rsid w:val="00A24EA2"/>
    <w:rsid w:val="00A25356"/>
    <w:rsid w:val="00A25456"/>
    <w:rsid w:val="00A25573"/>
    <w:rsid w:val="00A25C8E"/>
    <w:rsid w:val="00A2624C"/>
    <w:rsid w:val="00A2755C"/>
    <w:rsid w:val="00A27741"/>
    <w:rsid w:val="00A27BC9"/>
    <w:rsid w:val="00A30255"/>
    <w:rsid w:val="00A30367"/>
    <w:rsid w:val="00A3049E"/>
    <w:rsid w:val="00A309C1"/>
    <w:rsid w:val="00A3117F"/>
    <w:rsid w:val="00A31B13"/>
    <w:rsid w:val="00A31EB2"/>
    <w:rsid w:val="00A3268F"/>
    <w:rsid w:val="00A3388C"/>
    <w:rsid w:val="00A33993"/>
    <w:rsid w:val="00A33A9F"/>
    <w:rsid w:val="00A34276"/>
    <w:rsid w:val="00A34875"/>
    <w:rsid w:val="00A35E43"/>
    <w:rsid w:val="00A3630C"/>
    <w:rsid w:val="00A36437"/>
    <w:rsid w:val="00A36A04"/>
    <w:rsid w:val="00A36EDE"/>
    <w:rsid w:val="00A37AFD"/>
    <w:rsid w:val="00A37C2B"/>
    <w:rsid w:val="00A40F80"/>
    <w:rsid w:val="00A411AB"/>
    <w:rsid w:val="00A412E3"/>
    <w:rsid w:val="00A414B9"/>
    <w:rsid w:val="00A41826"/>
    <w:rsid w:val="00A425C9"/>
    <w:rsid w:val="00A42CC5"/>
    <w:rsid w:val="00A42CD0"/>
    <w:rsid w:val="00A43332"/>
    <w:rsid w:val="00A43987"/>
    <w:rsid w:val="00A43A2A"/>
    <w:rsid w:val="00A43C1D"/>
    <w:rsid w:val="00A446E5"/>
    <w:rsid w:val="00A44AB4"/>
    <w:rsid w:val="00A460B8"/>
    <w:rsid w:val="00A46172"/>
    <w:rsid w:val="00A4634E"/>
    <w:rsid w:val="00A4716F"/>
    <w:rsid w:val="00A47777"/>
    <w:rsid w:val="00A478F5"/>
    <w:rsid w:val="00A50465"/>
    <w:rsid w:val="00A50E8B"/>
    <w:rsid w:val="00A5150D"/>
    <w:rsid w:val="00A51A5A"/>
    <w:rsid w:val="00A51AD8"/>
    <w:rsid w:val="00A52128"/>
    <w:rsid w:val="00A52D2A"/>
    <w:rsid w:val="00A5336A"/>
    <w:rsid w:val="00A536C5"/>
    <w:rsid w:val="00A53BA1"/>
    <w:rsid w:val="00A549AB"/>
    <w:rsid w:val="00A54B17"/>
    <w:rsid w:val="00A5589A"/>
    <w:rsid w:val="00A55EF1"/>
    <w:rsid w:val="00A564B4"/>
    <w:rsid w:val="00A56846"/>
    <w:rsid w:val="00A5702A"/>
    <w:rsid w:val="00A57D29"/>
    <w:rsid w:val="00A61081"/>
    <w:rsid w:val="00A620B6"/>
    <w:rsid w:val="00A620CD"/>
    <w:rsid w:val="00A621C5"/>
    <w:rsid w:val="00A623E9"/>
    <w:rsid w:val="00A62682"/>
    <w:rsid w:val="00A64DDD"/>
    <w:rsid w:val="00A64FB8"/>
    <w:rsid w:val="00A67570"/>
    <w:rsid w:val="00A67662"/>
    <w:rsid w:val="00A676DA"/>
    <w:rsid w:val="00A6771D"/>
    <w:rsid w:val="00A6EAA4"/>
    <w:rsid w:val="00A7159B"/>
    <w:rsid w:val="00A7163F"/>
    <w:rsid w:val="00A71F10"/>
    <w:rsid w:val="00A722BE"/>
    <w:rsid w:val="00A7401F"/>
    <w:rsid w:val="00A740F5"/>
    <w:rsid w:val="00A74A1B"/>
    <w:rsid w:val="00A74A93"/>
    <w:rsid w:val="00A74AC5"/>
    <w:rsid w:val="00A7653C"/>
    <w:rsid w:val="00A766D3"/>
    <w:rsid w:val="00A7674E"/>
    <w:rsid w:val="00A76CD4"/>
    <w:rsid w:val="00A76DA6"/>
    <w:rsid w:val="00A76DB4"/>
    <w:rsid w:val="00A774D5"/>
    <w:rsid w:val="00A80526"/>
    <w:rsid w:val="00A80FB2"/>
    <w:rsid w:val="00A8165F"/>
    <w:rsid w:val="00A81C96"/>
    <w:rsid w:val="00A822E8"/>
    <w:rsid w:val="00A82515"/>
    <w:rsid w:val="00A8259B"/>
    <w:rsid w:val="00A82B23"/>
    <w:rsid w:val="00A832A6"/>
    <w:rsid w:val="00A83473"/>
    <w:rsid w:val="00A83D9C"/>
    <w:rsid w:val="00A84199"/>
    <w:rsid w:val="00A84346"/>
    <w:rsid w:val="00A849D0"/>
    <w:rsid w:val="00A8505E"/>
    <w:rsid w:val="00A850F7"/>
    <w:rsid w:val="00A8548A"/>
    <w:rsid w:val="00A854DD"/>
    <w:rsid w:val="00A85769"/>
    <w:rsid w:val="00A85BA8"/>
    <w:rsid w:val="00A85CDC"/>
    <w:rsid w:val="00A861D5"/>
    <w:rsid w:val="00A86C26"/>
    <w:rsid w:val="00A90293"/>
    <w:rsid w:val="00A913CC"/>
    <w:rsid w:val="00A93135"/>
    <w:rsid w:val="00A93C23"/>
    <w:rsid w:val="00A93D33"/>
    <w:rsid w:val="00A96299"/>
    <w:rsid w:val="00A966A7"/>
    <w:rsid w:val="00A96CD0"/>
    <w:rsid w:val="00A96E64"/>
    <w:rsid w:val="00A9749D"/>
    <w:rsid w:val="00A97ADA"/>
    <w:rsid w:val="00A97F85"/>
    <w:rsid w:val="00A97FD7"/>
    <w:rsid w:val="00AA074C"/>
    <w:rsid w:val="00AA124C"/>
    <w:rsid w:val="00AA1370"/>
    <w:rsid w:val="00AA16BF"/>
    <w:rsid w:val="00AA17F9"/>
    <w:rsid w:val="00AA1B3F"/>
    <w:rsid w:val="00AA1C93"/>
    <w:rsid w:val="00AA2704"/>
    <w:rsid w:val="00AA2BA5"/>
    <w:rsid w:val="00AA2F90"/>
    <w:rsid w:val="00AA312A"/>
    <w:rsid w:val="00AA374B"/>
    <w:rsid w:val="00AA38D0"/>
    <w:rsid w:val="00AA429B"/>
    <w:rsid w:val="00AA4CD7"/>
    <w:rsid w:val="00AA5942"/>
    <w:rsid w:val="00AA633A"/>
    <w:rsid w:val="00AA789D"/>
    <w:rsid w:val="00AA7E49"/>
    <w:rsid w:val="00AB0232"/>
    <w:rsid w:val="00AB0719"/>
    <w:rsid w:val="00AB10C4"/>
    <w:rsid w:val="00AB1252"/>
    <w:rsid w:val="00AB1E3F"/>
    <w:rsid w:val="00AB26F2"/>
    <w:rsid w:val="00AB34A4"/>
    <w:rsid w:val="00AB497E"/>
    <w:rsid w:val="00AB4CF5"/>
    <w:rsid w:val="00AB5055"/>
    <w:rsid w:val="00AB5A42"/>
    <w:rsid w:val="00AB663E"/>
    <w:rsid w:val="00AB6864"/>
    <w:rsid w:val="00AB757C"/>
    <w:rsid w:val="00AB7925"/>
    <w:rsid w:val="00AC10D6"/>
    <w:rsid w:val="00AC12B1"/>
    <w:rsid w:val="00AC4403"/>
    <w:rsid w:val="00AC4E76"/>
    <w:rsid w:val="00AC5A48"/>
    <w:rsid w:val="00AC5BA3"/>
    <w:rsid w:val="00AC6B7F"/>
    <w:rsid w:val="00AC7346"/>
    <w:rsid w:val="00AD010D"/>
    <w:rsid w:val="00AD0B2C"/>
    <w:rsid w:val="00AD14E0"/>
    <w:rsid w:val="00AD1CC4"/>
    <w:rsid w:val="00AD29A3"/>
    <w:rsid w:val="00AD2C3F"/>
    <w:rsid w:val="00AD2D5B"/>
    <w:rsid w:val="00AD2D5E"/>
    <w:rsid w:val="00AD34D8"/>
    <w:rsid w:val="00AD38C1"/>
    <w:rsid w:val="00AD3B56"/>
    <w:rsid w:val="00AD5C55"/>
    <w:rsid w:val="00AD5D5C"/>
    <w:rsid w:val="00AD60EB"/>
    <w:rsid w:val="00AD6E40"/>
    <w:rsid w:val="00AD6F0B"/>
    <w:rsid w:val="00AD73A9"/>
    <w:rsid w:val="00AD7C76"/>
    <w:rsid w:val="00AD7DC3"/>
    <w:rsid w:val="00AE09F1"/>
    <w:rsid w:val="00AE0BEC"/>
    <w:rsid w:val="00AE125F"/>
    <w:rsid w:val="00AE221B"/>
    <w:rsid w:val="00AE2678"/>
    <w:rsid w:val="00AE30BD"/>
    <w:rsid w:val="00AE34F9"/>
    <w:rsid w:val="00AE44DA"/>
    <w:rsid w:val="00AE4AF6"/>
    <w:rsid w:val="00AE4FD1"/>
    <w:rsid w:val="00AE515D"/>
    <w:rsid w:val="00AE5A80"/>
    <w:rsid w:val="00AE5D4F"/>
    <w:rsid w:val="00AE5DDC"/>
    <w:rsid w:val="00AE5EBC"/>
    <w:rsid w:val="00AE697E"/>
    <w:rsid w:val="00AE732C"/>
    <w:rsid w:val="00AE7FF7"/>
    <w:rsid w:val="00AF0A8C"/>
    <w:rsid w:val="00AF10B4"/>
    <w:rsid w:val="00AF118E"/>
    <w:rsid w:val="00AF1F72"/>
    <w:rsid w:val="00AF2B4B"/>
    <w:rsid w:val="00AF2D1F"/>
    <w:rsid w:val="00AF35A7"/>
    <w:rsid w:val="00AF4D3F"/>
    <w:rsid w:val="00AF505E"/>
    <w:rsid w:val="00AF511A"/>
    <w:rsid w:val="00AF5D9B"/>
    <w:rsid w:val="00AF5ED7"/>
    <w:rsid w:val="00AF6DDA"/>
    <w:rsid w:val="00AFF4F7"/>
    <w:rsid w:val="00B00F9A"/>
    <w:rsid w:val="00B016E8"/>
    <w:rsid w:val="00B020FD"/>
    <w:rsid w:val="00B02326"/>
    <w:rsid w:val="00B03681"/>
    <w:rsid w:val="00B03B12"/>
    <w:rsid w:val="00B03E39"/>
    <w:rsid w:val="00B0445A"/>
    <w:rsid w:val="00B05C6F"/>
    <w:rsid w:val="00B06684"/>
    <w:rsid w:val="00B06828"/>
    <w:rsid w:val="00B06E5A"/>
    <w:rsid w:val="00B07114"/>
    <w:rsid w:val="00B078BE"/>
    <w:rsid w:val="00B078C3"/>
    <w:rsid w:val="00B07C83"/>
    <w:rsid w:val="00B100D4"/>
    <w:rsid w:val="00B11723"/>
    <w:rsid w:val="00B11EF6"/>
    <w:rsid w:val="00B1224C"/>
    <w:rsid w:val="00B12C25"/>
    <w:rsid w:val="00B145E4"/>
    <w:rsid w:val="00B14761"/>
    <w:rsid w:val="00B148B0"/>
    <w:rsid w:val="00B14F0D"/>
    <w:rsid w:val="00B16217"/>
    <w:rsid w:val="00B1672D"/>
    <w:rsid w:val="00B16A28"/>
    <w:rsid w:val="00B1786F"/>
    <w:rsid w:val="00B17B63"/>
    <w:rsid w:val="00B204F0"/>
    <w:rsid w:val="00B20B71"/>
    <w:rsid w:val="00B2121A"/>
    <w:rsid w:val="00B2202C"/>
    <w:rsid w:val="00B22D14"/>
    <w:rsid w:val="00B22EFE"/>
    <w:rsid w:val="00B230A7"/>
    <w:rsid w:val="00B2321D"/>
    <w:rsid w:val="00B23912"/>
    <w:rsid w:val="00B23FCA"/>
    <w:rsid w:val="00B2456D"/>
    <w:rsid w:val="00B25A17"/>
    <w:rsid w:val="00B25AB3"/>
    <w:rsid w:val="00B25DAB"/>
    <w:rsid w:val="00B25F6D"/>
    <w:rsid w:val="00B26073"/>
    <w:rsid w:val="00B27794"/>
    <w:rsid w:val="00B27D9C"/>
    <w:rsid w:val="00B27DB2"/>
    <w:rsid w:val="00B30379"/>
    <w:rsid w:val="00B32257"/>
    <w:rsid w:val="00B33811"/>
    <w:rsid w:val="00B364A3"/>
    <w:rsid w:val="00B37235"/>
    <w:rsid w:val="00B40148"/>
    <w:rsid w:val="00B40746"/>
    <w:rsid w:val="00B40ABF"/>
    <w:rsid w:val="00B4146E"/>
    <w:rsid w:val="00B414AB"/>
    <w:rsid w:val="00B415EC"/>
    <w:rsid w:val="00B41EBE"/>
    <w:rsid w:val="00B42315"/>
    <w:rsid w:val="00B42DB0"/>
    <w:rsid w:val="00B465F8"/>
    <w:rsid w:val="00B470BD"/>
    <w:rsid w:val="00B47CA3"/>
    <w:rsid w:val="00B505B0"/>
    <w:rsid w:val="00B50D1E"/>
    <w:rsid w:val="00B51A7F"/>
    <w:rsid w:val="00B54687"/>
    <w:rsid w:val="00B54A92"/>
    <w:rsid w:val="00B554E2"/>
    <w:rsid w:val="00B576D4"/>
    <w:rsid w:val="00B57AD3"/>
    <w:rsid w:val="00B607B4"/>
    <w:rsid w:val="00B60C4E"/>
    <w:rsid w:val="00B60CAE"/>
    <w:rsid w:val="00B60F05"/>
    <w:rsid w:val="00B6122C"/>
    <w:rsid w:val="00B6182F"/>
    <w:rsid w:val="00B6220B"/>
    <w:rsid w:val="00B627E1"/>
    <w:rsid w:val="00B6386D"/>
    <w:rsid w:val="00B64137"/>
    <w:rsid w:val="00B647F6"/>
    <w:rsid w:val="00B649F3"/>
    <w:rsid w:val="00B649FB"/>
    <w:rsid w:val="00B65E00"/>
    <w:rsid w:val="00B65F73"/>
    <w:rsid w:val="00B66D57"/>
    <w:rsid w:val="00B670E3"/>
    <w:rsid w:val="00B67A22"/>
    <w:rsid w:val="00B7021F"/>
    <w:rsid w:val="00B70303"/>
    <w:rsid w:val="00B704F4"/>
    <w:rsid w:val="00B71F3E"/>
    <w:rsid w:val="00B723FD"/>
    <w:rsid w:val="00B72CFF"/>
    <w:rsid w:val="00B73BC0"/>
    <w:rsid w:val="00B74963"/>
    <w:rsid w:val="00B74E79"/>
    <w:rsid w:val="00B754D9"/>
    <w:rsid w:val="00B7571B"/>
    <w:rsid w:val="00B7626D"/>
    <w:rsid w:val="00B77284"/>
    <w:rsid w:val="00B802F6"/>
    <w:rsid w:val="00B80941"/>
    <w:rsid w:val="00B8280D"/>
    <w:rsid w:val="00B83A0A"/>
    <w:rsid w:val="00B85236"/>
    <w:rsid w:val="00B85286"/>
    <w:rsid w:val="00B85332"/>
    <w:rsid w:val="00B85577"/>
    <w:rsid w:val="00B8569B"/>
    <w:rsid w:val="00B8616B"/>
    <w:rsid w:val="00B8626E"/>
    <w:rsid w:val="00B86E0F"/>
    <w:rsid w:val="00B87E55"/>
    <w:rsid w:val="00B909CA"/>
    <w:rsid w:val="00B91C30"/>
    <w:rsid w:val="00B91F43"/>
    <w:rsid w:val="00B92B24"/>
    <w:rsid w:val="00B92DE4"/>
    <w:rsid w:val="00B935D2"/>
    <w:rsid w:val="00B9402D"/>
    <w:rsid w:val="00B95151"/>
    <w:rsid w:val="00B95194"/>
    <w:rsid w:val="00B95D76"/>
    <w:rsid w:val="00B96398"/>
    <w:rsid w:val="00B96FEE"/>
    <w:rsid w:val="00B97A4A"/>
    <w:rsid w:val="00BA0D8A"/>
    <w:rsid w:val="00BA1E0D"/>
    <w:rsid w:val="00BA242C"/>
    <w:rsid w:val="00BA3202"/>
    <w:rsid w:val="00BA3AC2"/>
    <w:rsid w:val="00BA41B7"/>
    <w:rsid w:val="00BA4EA2"/>
    <w:rsid w:val="00BA5568"/>
    <w:rsid w:val="00BA5971"/>
    <w:rsid w:val="00BA6E39"/>
    <w:rsid w:val="00BA721B"/>
    <w:rsid w:val="00BA7B5D"/>
    <w:rsid w:val="00BB041E"/>
    <w:rsid w:val="00BB1550"/>
    <w:rsid w:val="00BB19CE"/>
    <w:rsid w:val="00BB24B6"/>
    <w:rsid w:val="00BB2D21"/>
    <w:rsid w:val="00BB2D98"/>
    <w:rsid w:val="00BB309E"/>
    <w:rsid w:val="00BB7640"/>
    <w:rsid w:val="00BB7D59"/>
    <w:rsid w:val="00BC0753"/>
    <w:rsid w:val="00BC12BA"/>
    <w:rsid w:val="00BC1370"/>
    <w:rsid w:val="00BC13B8"/>
    <w:rsid w:val="00BC1DED"/>
    <w:rsid w:val="00BC22CE"/>
    <w:rsid w:val="00BC25B8"/>
    <w:rsid w:val="00BC394C"/>
    <w:rsid w:val="00BC4CF0"/>
    <w:rsid w:val="00BC4D2C"/>
    <w:rsid w:val="00BC4D4B"/>
    <w:rsid w:val="00BC6288"/>
    <w:rsid w:val="00BC6A93"/>
    <w:rsid w:val="00BC743E"/>
    <w:rsid w:val="00BD0142"/>
    <w:rsid w:val="00BD0431"/>
    <w:rsid w:val="00BD0F86"/>
    <w:rsid w:val="00BD4401"/>
    <w:rsid w:val="00BD4514"/>
    <w:rsid w:val="00BD4EFF"/>
    <w:rsid w:val="00BD4F7D"/>
    <w:rsid w:val="00BD7622"/>
    <w:rsid w:val="00BD7D1F"/>
    <w:rsid w:val="00BE1B7A"/>
    <w:rsid w:val="00BE1E8B"/>
    <w:rsid w:val="00BE20D5"/>
    <w:rsid w:val="00BE21A4"/>
    <w:rsid w:val="00BE3A40"/>
    <w:rsid w:val="00BE4FE1"/>
    <w:rsid w:val="00BE52C7"/>
    <w:rsid w:val="00BE5526"/>
    <w:rsid w:val="00BE6222"/>
    <w:rsid w:val="00BE759B"/>
    <w:rsid w:val="00BF0D4A"/>
    <w:rsid w:val="00BF485A"/>
    <w:rsid w:val="00BF4E64"/>
    <w:rsid w:val="00BF5536"/>
    <w:rsid w:val="00BF56FA"/>
    <w:rsid w:val="00BF5B5A"/>
    <w:rsid w:val="00BF5F4C"/>
    <w:rsid w:val="00BF775D"/>
    <w:rsid w:val="00BF77F5"/>
    <w:rsid w:val="00C00186"/>
    <w:rsid w:val="00C01821"/>
    <w:rsid w:val="00C039B2"/>
    <w:rsid w:val="00C046D6"/>
    <w:rsid w:val="00C047EE"/>
    <w:rsid w:val="00C04DA5"/>
    <w:rsid w:val="00C05E5E"/>
    <w:rsid w:val="00C0662C"/>
    <w:rsid w:val="00C06910"/>
    <w:rsid w:val="00C06B14"/>
    <w:rsid w:val="00C070F7"/>
    <w:rsid w:val="00C07978"/>
    <w:rsid w:val="00C10BA8"/>
    <w:rsid w:val="00C116C8"/>
    <w:rsid w:val="00C12769"/>
    <w:rsid w:val="00C12833"/>
    <w:rsid w:val="00C12E87"/>
    <w:rsid w:val="00C136E9"/>
    <w:rsid w:val="00C147ED"/>
    <w:rsid w:val="00C14F4E"/>
    <w:rsid w:val="00C15469"/>
    <w:rsid w:val="00C15BC8"/>
    <w:rsid w:val="00C15DBE"/>
    <w:rsid w:val="00C16493"/>
    <w:rsid w:val="00C16595"/>
    <w:rsid w:val="00C166A3"/>
    <w:rsid w:val="00C17C58"/>
    <w:rsid w:val="00C17DE6"/>
    <w:rsid w:val="00C17F1F"/>
    <w:rsid w:val="00C20EBF"/>
    <w:rsid w:val="00C21003"/>
    <w:rsid w:val="00C227DD"/>
    <w:rsid w:val="00C22D47"/>
    <w:rsid w:val="00C232F8"/>
    <w:rsid w:val="00C23C0A"/>
    <w:rsid w:val="00C23D11"/>
    <w:rsid w:val="00C25423"/>
    <w:rsid w:val="00C25944"/>
    <w:rsid w:val="00C26226"/>
    <w:rsid w:val="00C2638E"/>
    <w:rsid w:val="00C26513"/>
    <w:rsid w:val="00C27621"/>
    <w:rsid w:val="00C27676"/>
    <w:rsid w:val="00C27ABD"/>
    <w:rsid w:val="00C27F6D"/>
    <w:rsid w:val="00C3009C"/>
    <w:rsid w:val="00C314DA"/>
    <w:rsid w:val="00C3154B"/>
    <w:rsid w:val="00C316FA"/>
    <w:rsid w:val="00C31C0C"/>
    <w:rsid w:val="00C31C6C"/>
    <w:rsid w:val="00C31E67"/>
    <w:rsid w:val="00C33DD8"/>
    <w:rsid w:val="00C344D3"/>
    <w:rsid w:val="00C3470B"/>
    <w:rsid w:val="00C34957"/>
    <w:rsid w:val="00C3563C"/>
    <w:rsid w:val="00C3680E"/>
    <w:rsid w:val="00C3736B"/>
    <w:rsid w:val="00C4009B"/>
    <w:rsid w:val="00C4075D"/>
    <w:rsid w:val="00C40AFD"/>
    <w:rsid w:val="00C426B0"/>
    <w:rsid w:val="00C42821"/>
    <w:rsid w:val="00C42E81"/>
    <w:rsid w:val="00C44CFD"/>
    <w:rsid w:val="00C4575D"/>
    <w:rsid w:val="00C46570"/>
    <w:rsid w:val="00C46895"/>
    <w:rsid w:val="00C46B5B"/>
    <w:rsid w:val="00C4716D"/>
    <w:rsid w:val="00C47910"/>
    <w:rsid w:val="00C508EF"/>
    <w:rsid w:val="00C50F17"/>
    <w:rsid w:val="00C52012"/>
    <w:rsid w:val="00C52974"/>
    <w:rsid w:val="00C52E61"/>
    <w:rsid w:val="00C53074"/>
    <w:rsid w:val="00C53798"/>
    <w:rsid w:val="00C53A4B"/>
    <w:rsid w:val="00C55F3A"/>
    <w:rsid w:val="00C5643F"/>
    <w:rsid w:val="00C5681E"/>
    <w:rsid w:val="00C56E94"/>
    <w:rsid w:val="00C5707D"/>
    <w:rsid w:val="00C57BE8"/>
    <w:rsid w:val="00C60A70"/>
    <w:rsid w:val="00C60F95"/>
    <w:rsid w:val="00C616A3"/>
    <w:rsid w:val="00C61B11"/>
    <w:rsid w:val="00C62A32"/>
    <w:rsid w:val="00C63156"/>
    <w:rsid w:val="00C6326C"/>
    <w:rsid w:val="00C63B88"/>
    <w:rsid w:val="00C63F0E"/>
    <w:rsid w:val="00C64169"/>
    <w:rsid w:val="00C64A18"/>
    <w:rsid w:val="00C65AA3"/>
    <w:rsid w:val="00C65AD8"/>
    <w:rsid w:val="00C65BFA"/>
    <w:rsid w:val="00C65EDA"/>
    <w:rsid w:val="00C66DF1"/>
    <w:rsid w:val="00C6C1AC"/>
    <w:rsid w:val="00C7006B"/>
    <w:rsid w:val="00C7082B"/>
    <w:rsid w:val="00C70E4B"/>
    <w:rsid w:val="00C71316"/>
    <w:rsid w:val="00C716AF"/>
    <w:rsid w:val="00C7221B"/>
    <w:rsid w:val="00C7291C"/>
    <w:rsid w:val="00C73714"/>
    <w:rsid w:val="00C73737"/>
    <w:rsid w:val="00C73FB2"/>
    <w:rsid w:val="00C7425A"/>
    <w:rsid w:val="00C749BF"/>
    <w:rsid w:val="00C7578C"/>
    <w:rsid w:val="00C758C8"/>
    <w:rsid w:val="00C75C4B"/>
    <w:rsid w:val="00C76721"/>
    <w:rsid w:val="00C769D3"/>
    <w:rsid w:val="00C76B93"/>
    <w:rsid w:val="00C7703E"/>
    <w:rsid w:val="00C77F5F"/>
    <w:rsid w:val="00C81BF7"/>
    <w:rsid w:val="00C829BF"/>
    <w:rsid w:val="00C835D6"/>
    <w:rsid w:val="00C836BB"/>
    <w:rsid w:val="00C838F4"/>
    <w:rsid w:val="00C83F05"/>
    <w:rsid w:val="00C8553A"/>
    <w:rsid w:val="00C85786"/>
    <w:rsid w:val="00C85B21"/>
    <w:rsid w:val="00C85F62"/>
    <w:rsid w:val="00C8690E"/>
    <w:rsid w:val="00C87923"/>
    <w:rsid w:val="00C90F6D"/>
    <w:rsid w:val="00C90FB5"/>
    <w:rsid w:val="00C915FF"/>
    <w:rsid w:val="00C928EA"/>
    <w:rsid w:val="00C94015"/>
    <w:rsid w:val="00C940AC"/>
    <w:rsid w:val="00C94129"/>
    <w:rsid w:val="00C949ED"/>
    <w:rsid w:val="00C95511"/>
    <w:rsid w:val="00C95DFF"/>
    <w:rsid w:val="00C9608A"/>
    <w:rsid w:val="00C96606"/>
    <w:rsid w:val="00C972F6"/>
    <w:rsid w:val="00CA0548"/>
    <w:rsid w:val="00CA1406"/>
    <w:rsid w:val="00CA41D8"/>
    <w:rsid w:val="00CA4782"/>
    <w:rsid w:val="00CA48C1"/>
    <w:rsid w:val="00CA6BD9"/>
    <w:rsid w:val="00CA7E70"/>
    <w:rsid w:val="00CA7FC5"/>
    <w:rsid w:val="00CB02D7"/>
    <w:rsid w:val="00CB064D"/>
    <w:rsid w:val="00CB2765"/>
    <w:rsid w:val="00CB2858"/>
    <w:rsid w:val="00CB2EDB"/>
    <w:rsid w:val="00CB3809"/>
    <w:rsid w:val="00CB3B52"/>
    <w:rsid w:val="00CB628B"/>
    <w:rsid w:val="00CB6881"/>
    <w:rsid w:val="00CB6CFB"/>
    <w:rsid w:val="00CB6DCD"/>
    <w:rsid w:val="00CB75F8"/>
    <w:rsid w:val="00CB7C74"/>
    <w:rsid w:val="00CB7DDC"/>
    <w:rsid w:val="00CC0041"/>
    <w:rsid w:val="00CC00D5"/>
    <w:rsid w:val="00CC03A2"/>
    <w:rsid w:val="00CC1216"/>
    <w:rsid w:val="00CC1CFD"/>
    <w:rsid w:val="00CC2A49"/>
    <w:rsid w:val="00CC348D"/>
    <w:rsid w:val="00CC3C7E"/>
    <w:rsid w:val="00CC3DDE"/>
    <w:rsid w:val="00CC43E6"/>
    <w:rsid w:val="00CC6334"/>
    <w:rsid w:val="00CC772F"/>
    <w:rsid w:val="00CD2538"/>
    <w:rsid w:val="00CD284F"/>
    <w:rsid w:val="00CD3CB1"/>
    <w:rsid w:val="00CD3DBD"/>
    <w:rsid w:val="00CD42D5"/>
    <w:rsid w:val="00CD430E"/>
    <w:rsid w:val="00CD45FF"/>
    <w:rsid w:val="00CD5920"/>
    <w:rsid w:val="00CD69A6"/>
    <w:rsid w:val="00CD7515"/>
    <w:rsid w:val="00CE1018"/>
    <w:rsid w:val="00CE1808"/>
    <w:rsid w:val="00CE18FD"/>
    <w:rsid w:val="00CE1A71"/>
    <w:rsid w:val="00CE1EF0"/>
    <w:rsid w:val="00CE33BB"/>
    <w:rsid w:val="00CE3417"/>
    <w:rsid w:val="00CE3934"/>
    <w:rsid w:val="00CE434B"/>
    <w:rsid w:val="00CE439F"/>
    <w:rsid w:val="00CE44E5"/>
    <w:rsid w:val="00CE4583"/>
    <w:rsid w:val="00CE4813"/>
    <w:rsid w:val="00CE4D87"/>
    <w:rsid w:val="00CE4FEB"/>
    <w:rsid w:val="00CE6A37"/>
    <w:rsid w:val="00CE6ED3"/>
    <w:rsid w:val="00CE7679"/>
    <w:rsid w:val="00CF1533"/>
    <w:rsid w:val="00CF2310"/>
    <w:rsid w:val="00CF3266"/>
    <w:rsid w:val="00CF57DE"/>
    <w:rsid w:val="00CF6A62"/>
    <w:rsid w:val="00CF9178"/>
    <w:rsid w:val="00D00BA0"/>
    <w:rsid w:val="00D00E14"/>
    <w:rsid w:val="00D00F58"/>
    <w:rsid w:val="00D01379"/>
    <w:rsid w:val="00D016CC"/>
    <w:rsid w:val="00D02F7C"/>
    <w:rsid w:val="00D0316D"/>
    <w:rsid w:val="00D03900"/>
    <w:rsid w:val="00D0428A"/>
    <w:rsid w:val="00D04545"/>
    <w:rsid w:val="00D04A18"/>
    <w:rsid w:val="00D04D96"/>
    <w:rsid w:val="00D055AE"/>
    <w:rsid w:val="00D06920"/>
    <w:rsid w:val="00D10070"/>
    <w:rsid w:val="00D10D07"/>
    <w:rsid w:val="00D110E1"/>
    <w:rsid w:val="00D11C4B"/>
    <w:rsid w:val="00D13C59"/>
    <w:rsid w:val="00D13C7B"/>
    <w:rsid w:val="00D14389"/>
    <w:rsid w:val="00D1513E"/>
    <w:rsid w:val="00D15250"/>
    <w:rsid w:val="00D15344"/>
    <w:rsid w:val="00D15F4E"/>
    <w:rsid w:val="00D173EF"/>
    <w:rsid w:val="00D17E25"/>
    <w:rsid w:val="00D2038A"/>
    <w:rsid w:val="00D2082E"/>
    <w:rsid w:val="00D21F37"/>
    <w:rsid w:val="00D24C38"/>
    <w:rsid w:val="00D25A32"/>
    <w:rsid w:val="00D25AD6"/>
    <w:rsid w:val="00D26033"/>
    <w:rsid w:val="00D26186"/>
    <w:rsid w:val="00D263EC"/>
    <w:rsid w:val="00D271D8"/>
    <w:rsid w:val="00D30004"/>
    <w:rsid w:val="00D3028D"/>
    <w:rsid w:val="00D30387"/>
    <w:rsid w:val="00D319F7"/>
    <w:rsid w:val="00D32757"/>
    <w:rsid w:val="00D32DB2"/>
    <w:rsid w:val="00D33742"/>
    <w:rsid w:val="00D33CEB"/>
    <w:rsid w:val="00D3426C"/>
    <w:rsid w:val="00D34BFC"/>
    <w:rsid w:val="00D35796"/>
    <w:rsid w:val="00D35B0B"/>
    <w:rsid w:val="00D35DE0"/>
    <w:rsid w:val="00D388F3"/>
    <w:rsid w:val="00D40146"/>
    <w:rsid w:val="00D404CC"/>
    <w:rsid w:val="00D405C4"/>
    <w:rsid w:val="00D40B75"/>
    <w:rsid w:val="00D41A1C"/>
    <w:rsid w:val="00D41B8A"/>
    <w:rsid w:val="00D41BEB"/>
    <w:rsid w:val="00D41C3A"/>
    <w:rsid w:val="00D42C32"/>
    <w:rsid w:val="00D43AE7"/>
    <w:rsid w:val="00D44AEB"/>
    <w:rsid w:val="00D479F3"/>
    <w:rsid w:val="00D47D15"/>
    <w:rsid w:val="00D506E9"/>
    <w:rsid w:val="00D534EA"/>
    <w:rsid w:val="00D543FD"/>
    <w:rsid w:val="00D55E21"/>
    <w:rsid w:val="00D55E32"/>
    <w:rsid w:val="00D56371"/>
    <w:rsid w:val="00D57639"/>
    <w:rsid w:val="00D579E9"/>
    <w:rsid w:val="00D60282"/>
    <w:rsid w:val="00D60492"/>
    <w:rsid w:val="00D60A0E"/>
    <w:rsid w:val="00D60BB6"/>
    <w:rsid w:val="00D6100B"/>
    <w:rsid w:val="00D6133C"/>
    <w:rsid w:val="00D61922"/>
    <w:rsid w:val="00D61C4D"/>
    <w:rsid w:val="00D61DA4"/>
    <w:rsid w:val="00D62618"/>
    <w:rsid w:val="00D62C8C"/>
    <w:rsid w:val="00D63B94"/>
    <w:rsid w:val="00D64041"/>
    <w:rsid w:val="00D642CB"/>
    <w:rsid w:val="00D643BC"/>
    <w:rsid w:val="00D654CE"/>
    <w:rsid w:val="00D655A9"/>
    <w:rsid w:val="00D65764"/>
    <w:rsid w:val="00D6597B"/>
    <w:rsid w:val="00D659FD"/>
    <w:rsid w:val="00D65A1D"/>
    <w:rsid w:val="00D65B55"/>
    <w:rsid w:val="00D6651A"/>
    <w:rsid w:val="00D66FD7"/>
    <w:rsid w:val="00D672DF"/>
    <w:rsid w:val="00D672F0"/>
    <w:rsid w:val="00D67BE9"/>
    <w:rsid w:val="00D70B12"/>
    <w:rsid w:val="00D70EBF"/>
    <w:rsid w:val="00D70FAD"/>
    <w:rsid w:val="00D71657"/>
    <w:rsid w:val="00D720DB"/>
    <w:rsid w:val="00D7242D"/>
    <w:rsid w:val="00D72A8F"/>
    <w:rsid w:val="00D72CF2"/>
    <w:rsid w:val="00D74159"/>
    <w:rsid w:val="00D748FA"/>
    <w:rsid w:val="00D7597B"/>
    <w:rsid w:val="00D75BF8"/>
    <w:rsid w:val="00D7764D"/>
    <w:rsid w:val="00D80C11"/>
    <w:rsid w:val="00D81389"/>
    <w:rsid w:val="00D815CE"/>
    <w:rsid w:val="00D81B2B"/>
    <w:rsid w:val="00D81CBF"/>
    <w:rsid w:val="00D81D12"/>
    <w:rsid w:val="00D81D9A"/>
    <w:rsid w:val="00D83B98"/>
    <w:rsid w:val="00D84658"/>
    <w:rsid w:val="00D84B6A"/>
    <w:rsid w:val="00D851FC"/>
    <w:rsid w:val="00D870A3"/>
    <w:rsid w:val="00D903B6"/>
    <w:rsid w:val="00D90EE1"/>
    <w:rsid w:val="00D93199"/>
    <w:rsid w:val="00D938B1"/>
    <w:rsid w:val="00D94544"/>
    <w:rsid w:val="00D948CF"/>
    <w:rsid w:val="00D94C12"/>
    <w:rsid w:val="00D94DB3"/>
    <w:rsid w:val="00D9600A"/>
    <w:rsid w:val="00D968F7"/>
    <w:rsid w:val="00D97020"/>
    <w:rsid w:val="00D97362"/>
    <w:rsid w:val="00DA0D05"/>
    <w:rsid w:val="00DA0FFD"/>
    <w:rsid w:val="00DA3275"/>
    <w:rsid w:val="00DA405B"/>
    <w:rsid w:val="00DA4EAC"/>
    <w:rsid w:val="00DA61F0"/>
    <w:rsid w:val="00DA6C5E"/>
    <w:rsid w:val="00DA6D88"/>
    <w:rsid w:val="00DA7DF7"/>
    <w:rsid w:val="00DB043D"/>
    <w:rsid w:val="00DB0908"/>
    <w:rsid w:val="00DB1108"/>
    <w:rsid w:val="00DB17DF"/>
    <w:rsid w:val="00DB1A88"/>
    <w:rsid w:val="00DB289B"/>
    <w:rsid w:val="00DB3471"/>
    <w:rsid w:val="00DB40C4"/>
    <w:rsid w:val="00DB636F"/>
    <w:rsid w:val="00DB6C27"/>
    <w:rsid w:val="00DB6C54"/>
    <w:rsid w:val="00DB7322"/>
    <w:rsid w:val="00DB76E5"/>
    <w:rsid w:val="00DC03DB"/>
    <w:rsid w:val="00DC0DEE"/>
    <w:rsid w:val="00DC0F76"/>
    <w:rsid w:val="00DC1114"/>
    <w:rsid w:val="00DC1347"/>
    <w:rsid w:val="00DC1751"/>
    <w:rsid w:val="00DC1B77"/>
    <w:rsid w:val="00DC27CC"/>
    <w:rsid w:val="00DC2864"/>
    <w:rsid w:val="00DC32A1"/>
    <w:rsid w:val="00DC4A68"/>
    <w:rsid w:val="00DC4A75"/>
    <w:rsid w:val="00DC4B69"/>
    <w:rsid w:val="00DC70F7"/>
    <w:rsid w:val="00DC7703"/>
    <w:rsid w:val="00DD051F"/>
    <w:rsid w:val="00DD0D19"/>
    <w:rsid w:val="00DD1F95"/>
    <w:rsid w:val="00DD28A4"/>
    <w:rsid w:val="00DD2BA5"/>
    <w:rsid w:val="00DD439D"/>
    <w:rsid w:val="00DD483D"/>
    <w:rsid w:val="00DD62BC"/>
    <w:rsid w:val="00DD6754"/>
    <w:rsid w:val="00DD7BDD"/>
    <w:rsid w:val="00DE02C6"/>
    <w:rsid w:val="00DE05BE"/>
    <w:rsid w:val="00DE2569"/>
    <w:rsid w:val="00DE2F01"/>
    <w:rsid w:val="00DE447A"/>
    <w:rsid w:val="00DE46ED"/>
    <w:rsid w:val="00DE4E16"/>
    <w:rsid w:val="00DE6D54"/>
    <w:rsid w:val="00DE6F9A"/>
    <w:rsid w:val="00DE73EC"/>
    <w:rsid w:val="00DE78C2"/>
    <w:rsid w:val="00DE7B87"/>
    <w:rsid w:val="00DF0412"/>
    <w:rsid w:val="00DF054D"/>
    <w:rsid w:val="00DF0BE4"/>
    <w:rsid w:val="00DF0C28"/>
    <w:rsid w:val="00DF34D3"/>
    <w:rsid w:val="00DF3562"/>
    <w:rsid w:val="00DF3714"/>
    <w:rsid w:val="00DF3D56"/>
    <w:rsid w:val="00DF41CE"/>
    <w:rsid w:val="00DF461E"/>
    <w:rsid w:val="00DF47E5"/>
    <w:rsid w:val="00DF4D5C"/>
    <w:rsid w:val="00DF53EF"/>
    <w:rsid w:val="00DF5763"/>
    <w:rsid w:val="00DF5832"/>
    <w:rsid w:val="00DF6329"/>
    <w:rsid w:val="00DF6418"/>
    <w:rsid w:val="00DF76A3"/>
    <w:rsid w:val="00DF774E"/>
    <w:rsid w:val="00E003B7"/>
    <w:rsid w:val="00E004F4"/>
    <w:rsid w:val="00E01C44"/>
    <w:rsid w:val="00E02B22"/>
    <w:rsid w:val="00E02B5B"/>
    <w:rsid w:val="00E02D43"/>
    <w:rsid w:val="00E02E46"/>
    <w:rsid w:val="00E0350E"/>
    <w:rsid w:val="00E0398F"/>
    <w:rsid w:val="00E03B07"/>
    <w:rsid w:val="00E03BB4"/>
    <w:rsid w:val="00E044FA"/>
    <w:rsid w:val="00E0469D"/>
    <w:rsid w:val="00E05962"/>
    <w:rsid w:val="00E05DA1"/>
    <w:rsid w:val="00E06982"/>
    <w:rsid w:val="00E071D5"/>
    <w:rsid w:val="00E075DA"/>
    <w:rsid w:val="00E11C52"/>
    <w:rsid w:val="00E12516"/>
    <w:rsid w:val="00E13487"/>
    <w:rsid w:val="00E144A1"/>
    <w:rsid w:val="00E14A36"/>
    <w:rsid w:val="00E15D25"/>
    <w:rsid w:val="00E15F0E"/>
    <w:rsid w:val="00E15FBE"/>
    <w:rsid w:val="00E1654F"/>
    <w:rsid w:val="00E168F4"/>
    <w:rsid w:val="00E16AB2"/>
    <w:rsid w:val="00E16D06"/>
    <w:rsid w:val="00E173E3"/>
    <w:rsid w:val="00E17537"/>
    <w:rsid w:val="00E17C03"/>
    <w:rsid w:val="00E20EA6"/>
    <w:rsid w:val="00E2114E"/>
    <w:rsid w:val="00E21309"/>
    <w:rsid w:val="00E226A1"/>
    <w:rsid w:val="00E242AC"/>
    <w:rsid w:val="00E24A28"/>
    <w:rsid w:val="00E25C5F"/>
    <w:rsid w:val="00E25CCF"/>
    <w:rsid w:val="00E26280"/>
    <w:rsid w:val="00E26924"/>
    <w:rsid w:val="00E2791E"/>
    <w:rsid w:val="00E27C23"/>
    <w:rsid w:val="00E31491"/>
    <w:rsid w:val="00E31EF1"/>
    <w:rsid w:val="00E3206D"/>
    <w:rsid w:val="00E32115"/>
    <w:rsid w:val="00E321B3"/>
    <w:rsid w:val="00E33564"/>
    <w:rsid w:val="00E33949"/>
    <w:rsid w:val="00E34606"/>
    <w:rsid w:val="00E3477B"/>
    <w:rsid w:val="00E349C6"/>
    <w:rsid w:val="00E34A67"/>
    <w:rsid w:val="00E34AF7"/>
    <w:rsid w:val="00E36447"/>
    <w:rsid w:val="00E36525"/>
    <w:rsid w:val="00E37C64"/>
    <w:rsid w:val="00E37C90"/>
    <w:rsid w:val="00E4006D"/>
    <w:rsid w:val="00E41714"/>
    <w:rsid w:val="00E44282"/>
    <w:rsid w:val="00E447AB"/>
    <w:rsid w:val="00E45550"/>
    <w:rsid w:val="00E462E3"/>
    <w:rsid w:val="00E466A7"/>
    <w:rsid w:val="00E46D2C"/>
    <w:rsid w:val="00E47F7A"/>
    <w:rsid w:val="00E51901"/>
    <w:rsid w:val="00E52396"/>
    <w:rsid w:val="00E529E4"/>
    <w:rsid w:val="00E5313D"/>
    <w:rsid w:val="00E53F74"/>
    <w:rsid w:val="00E547BE"/>
    <w:rsid w:val="00E551FF"/>
    <w:rsid w:val="00E5560D"/>
    <w:rsid w:val="00E55652"/>
    <w:rsid w:val="00E5571D"/>
    <w:rsid w:val="00E56010"/>
    <w:rsid w:val="00E57C22"/>
    <w:rsid w:val="00E60AEC"/>
    <w:rsid w:val="00E62972"/>
    <w:rsid w:val="00E62E57"/>
    <w:rsid w:val="00E63A59"/>
    <w:rsid w:val="00E64019"/>
    <w:rsid w:val="00E64116"/>
    <w:rsid w:val="00E6443C"/>
    <w:rsid w:val="00E648A8"/>
    <w:rsid w:val="00E65CD1"/>
    <w:rsid w:val="00E67A69"/>
    <w:rsid w:val="00E67AE5"/>
    <w:rsid w:val="00E70C30"/>
    <w:rsid w:val="00E720F2"/>
    <w:rsid w:val="00E72986"/>
    <w:rsid w:val="00E72D18"/>
    <w:rsid w:val="00E732FA"/>
    <w:rsid w:val="00E738C9"/>
    <w:rsid w:val="00E73CE3"/>
    <w:rsid w:val="00E73CE8"/>
    <w:rsid w:val="00E74158"/>
    <w:rsid w:val="00E745BC"/>
    <w:rsid w:val="00E758BC"/>
    <w:rsid w:val="00E75E5E"/>
    <w:rsid w:val="00E764A0"/>
    <w:rsid w:val="00E767EC"/>
    <w:rsid w:val="00E76AF6"/>
    <w:rsid w:val="00E76FD9"/>
    <w:rsid w:val="00E7747E"/>
    <w:rsid w:val="00E7751B"/>
    <w:rsid w:val="00E77898"/>
    <w:rsid w:val="00E77A23"/>
    <w:rsid w:val="00E80B3D"/>
    <w:rsid w:val="00E816B0"/>
    <w:rsid w:val="00E81896"/>
    <w:rsid w:val="00E818BD"/>
    <w:rsid w:val="00E83925"/>
    <w:rsid w:val="00E83961"/>
    <w:rsid w:val="00E83AB3"/>
    <w:rsid w:val="00E84447"/>
    <w:rsid w:val="00E85812"/>
    <w:rsid w:val="00E85D64"/>
    <w:rsid w:val="00E8642F"/>
    <w:rsid w:val="00E8685B"/>
    <w:rsid w:val="00E86B41"/>
    <w:rsid w:val="00E872BC"/>
    <w:rsid w:val="00E87B81"/>
    <w:rsid w:val="00E90B91"/>
    <w:rsid w:val="00E90E15"/>
    <w:rsid w:val="00E91626"/>
    <w:rsid w:val="00E91A2D"/>
    <w:rsid w:val="00E9278F"/>
    <w:rsid w:val="00E92E09"/>
    <w:rsid w:val="00E92EE5"/>
    <w:rsid w:val="00E93CA1"/>
    <w:rsid w:val="00E93F2A"/>
    <w:rsid w:val="00E93F8E"/>
    <w:rsid w:val="00E94B8E"/>
    <w:rsid w:val="00E94E08"/>
    <w:rsid w:val="00E9531F"/>
    <w:rsid w:val="00E95879"/>
    <w:rsid w:val="00E97E2E"/>
    <w:rsid w:val="00EA0674"/>
    <w:rsid w:val="00EA0BD3"/>
    <w:rsid w:val="00EA3731"/>
    <w:rsid w:val="00EA6138"/>
    <w:rsid w:val="00EA6B7C"/>
    <w:rsid w:val="00EA6C58"/>
    <w:rsid w:val="00EA79D1"/>
    <w:rsid w:val="00EA7A3F"/>
    <w:rsid w:val="00EA7D3B"/>
    <w:rsid w:val="00EB0E30"/>
    <w:rsid w:val="00EB0ECA"/>
    <w:rsid w:val="00EB1524"/>
    <w:rsid w:val="00EB1863"/>
    <w:rsid w:val="00EB27EA"/>
    <w:rsid w:val="00EB329B"/>
    <w:rsid w:val="00EB4EA2"/>
    <w:rsid w:val="00EB4FD4"/>
    <w:rsid w:val="00EB553C"/>
    <w:rsid w:val="00EB5544"/>
    <w:rsid w:val="00EB6237"/>
    <w:rsid w:val="00EB647D"/>
    <w:rsid w:val="00EB6BDA"/>
    <w:rsid w:val="00EB77DA"/>
    <w:rsid w:val="00EC251D"/>
    <w:rsid w:val="00EC27D9"/>
    <w:rsid w:val="00EC2FE7"/>
    <w:rsid w:val="00EC354A"/>
    <w:rsid w:val="00EC385B"/>
    <w:rsid w:val="00EC3B2C"/>
    <w:rsid w:val="00EC455E"/>
    <w:rsid w:val="00EC4708"/>
    <w:rsid w:val="00EC4B7D"/>
    <w:rsid w:val="00EC4CBA"/>
    <w:rsid w:val="00EC539C"/>
    <w:rsid w:val="00EC626F"/>
    <w:rsid w:val="00EC6548"/>
    <w:rsid w:val="00EC6885"/>
    <w:rsid w:val="00ED1F97"/>
    <w:rsid w:val="00ED3074"/>
    <w:rsid w:val="00ED3E4B"/>
    <w:rsid w:val="00ED4762"/>
    <w:rsid w:val="00ED4B20"/>
    <w:rsid w:val="00ED5054"/>
    <w:rsid w:val="00ED5FC5"/>
    <w:rsid w:val="00ED6699"/>
    <w:rsid w:val="00EE0BBB"/>
    <w:rsid w:val="00EE1940"/>
    <w:rsid w:val="00EE1D4A"/>
    <w:rsid w:val="00EE1F4A"/>
    <w:rsid w:val="00EE1FC7"/>
    <w:rsid w:val="00EE373C"/>
    <w:rsid w:val="00EE3B99"/>
    <w:rsid w:val="00EE3B9D"/>
    <w:rsid w:val="00EE60B3"/>
    <w:rsid w:val="00EE67E6"/>
    <w:rsid w:val="00EE6D46"/>
    <w:rsid w:val="00EF0A23"/>
    <w:rsid w:val="00EF149D"/>
    <w:rsid w:val="00EF1C18"/>
    <w:rsid w:val="00EF20B6"/>
    <w:rsid w:val="00EF2CA3"/>
    <w:rsid w:val="00EF4239"/>
    <w:rsid w:val="00EF54F7"/>
    <w:rsid w:val="00EF5D48"/>
    <w:rsid w:val="00EF648A"/>
    <w:rsid w:val="00EF687B"/>
    <w:rsid w:val="00EF6AFE"/>
    <w:rsid w:val="00EF6DB5"/>
    <w:rsid w:val="00EF7A01"/>
    <w:rsid w:val="00F005BD"/>
    <w:rsid w:val="00F00D05"/>
    <w:rsid w:val="00F00DC7"/>
    <w:rsid w:val="00F010B1"/>
    <w:rsid w:val="00F014EA"/>
    <w:rsid w:val="00F01D92"/>
    <w:rsid w:val="00F02450"/>
    <w:rsid w:val="00F029A2"/>
    <w:rsid w:val="00F02D73"/>
    <w:rsid w:val="00F046BC"/>
    <w:rsid w:val="00F04A5C"/>
    <w:rsid w:val="00F04F9B"/>
    <w:rsid w:val="00F055EE"/>
    <w:rsid w:val="00F05D4D"/>
    <w:rsid w:val="00F06B49"/>
    <w:rsid w:val="00F07760"/>
    <w:rsid w:val="00F07EEC"/>
    <w:rsid w:val="00F106E8"/>
    <w:rsid w:val="00F10A15"/>
    <w:rsid w:val="00F11816"/>
    <w:rsid w:val="00F1271F"/>
    <w:rsid w:val="00F13532"/>
    <w:rsid w:val="00F1383B"/>
    <w:rsid w:val="00F13D7F"/>
    <w:rsid w:val="00F13F4A"/>
    <w:rsid w:val="00F14E07"/>
    <w:rsid w:val="00F1587D"/>
    <w:rsid w:val="00F159F7"/>
    <w:rsid w:val="00F1624E"/>
    <w:rsid w:val="00F16CCA"/>
    <w:rsid w:val="00F16D99"/>
    <w:rsid w:val="00F17123"/>
    <w:rsid w:val="00F20353"/>
    <w:rsid w:val="00F20419"/>
    <w:rsid w:val="00F21DF2"/>
    <w:rsid w:val="00F23683"/>
    <w:rsid w:val="00F23840"/>
    <w:rsid w:val="00F238EE"/>
    <w:rsid w:val="00F2419D"/>
    <w:rsid w:val="00F247AD"/>
    <w:rsid w:val="00F24D16"/>
    <w:rsid w:val="00F24E9C"/>
    <w:rsid w:val="00F254AA"/>
    <w:rsid w:val="00F25F54"/>
    <w:rsid w:val="00F26437"/>
    <w:rsid w:val="00F27289"/>
    <w:rsid w:val="00F301D5"/>
    <w:rsid w:val="00F30599"/>
    <w:rsid w:val="00F3128C"/>
    <w:rsid w:val="00F31D92"/>
    <w:rsid w:val="00F32664"/>
    <w:rsid w:val="00F32C60"/>
    <w:rsid w:val="00F330F4"/>
    <w:rsid w:val="00F3330E"/>
    <w:rsid w:val="00F340CC"/>
    <w:rsid w:val="00F34348"/>
    <w:rsid w:val="00F34A3F"/>
    <w:rsid w:val="00F34B5E"/>
    <w:rsid w:val="00F350E4"/>
    <w:rsid w:val="00F353DE"/>
    <w:rsid w:val="00F35456"/>
    <w:rsid w:val="00F35B3B"/>
    <w:rsid w:val="00F35BA1"/>
    <w:rsid w:val="00F35F92"/>
    <w:rsid w:val="00F3677A"/>
    <w:rsid w:val="00F3684C"/>
    <w:rsid w:val="00F368B8"/>
    <w:rsid w:val="00F36DCC"/>
    <w:rsid w:val="00F36F47"/>
    <w:rsid w:val="00F37DEA"/>
    <w:rsid w:val="00F405AE"/>
    <w:rsid w:val="00F4094B"/>
    <w:rsid w:val="00F4139A"/>
    <w:rsid w:val="00F41D5B"/>
    <w:rsid w:val="00F41E96"/>
    <w:rsid w:val="00F422AB"/>
    <w:rsid w:val="00F428D5"/>
    <w:rsid w:val="00F42DCE"/>
    <w:rsid w:val="00F43A33"/>
    <w:rsid w:val="00F4479C"/>
    <w:rsid w:val="00F45389"/>
    <w:rsid w:val="00F45D4E"/>
    <w:rsid w:val="00F45DDE"/>
    <w:rsid w:val="00F470F9"/>
    <w:rsid w:val="00F47166"/>
    <w:rsid w:val="00F50E70"/>
    <w:rsid w:val="00F51010"/>
    <w:rsid w:val="00F51A80"/>
    <w:rsid w:val="00F51D2C"/>
    <w:rsid w:val="00F5221B"/>
    <w:rsid w:val="00F53361"/>
    <w:rsid w:val="00F534D9"/>
    <w:rsid w:val="00F5357E"/>
    <w:rsid w:val="00F53A5E"/>
    <w:rsid w:val="00F53C29"/>
    <w:rsid w:val="00F55150"/>
    <w:rsid w:val="00F557C3"/>
    <w:rsid w:val="00F55E2C"/>
    <w:rsid w:val="00F56AFE"/>
    <w:rsid w:val="00F570DE"/>
    <w:rsid w:val="00F573B4"/>
    <w:rsid w:val="00F574F1"/>
    <w:rsid w:val="00F5765A"/>
    <w:rsid w:val="00F5836C"/>
    <w:rsid w:val="00F61ECB"/>
    <w:rsid w:val="00F62CE9"/>
    <w:rsid w:val="00F63640"/>
    <w:rsid w:val="00F64506"/>
    <w:rsid w:val="00F64D19"/>
    <w:rsid w:val="00F65396"/>
    <w:rsid w:val="00F65406"/>
    <w:rsid w:val="00F65B3C"/>
    <w:rsid w:val="00F66A91"/>
    <w:rsid w:val="00F66B0D"/>
    <w:rsid w:val="00F67490"/>
    <w:rsid w:val="00F678F4"/>
    <w:rsid w:val="00F67D11"/>
    <w:rsid w:val="00F701BC"/>
    <w:rsid w:val="00F709B0"/>
    <w:rsid w:val="00F72D7A"/>
    <w:rsid w:val="00F73249"/>
    <w:rsid w:val="00F73432"/>
    <w:rsid w:val="00F73869"/>
    <w:rsid w:val="00F7459A"/>
    <w:rsid w:val="00F747C4"/>
    <w:rsid w:val="00F750E9"/>
    <w:rsid w:val="00F7576F"/>
    <w:rsid w:val="00F7590F"/>
    <w:rsid w:val="00F75AF3"/>
    <w:rsid w:val="00F7621B"/>
    <w:rsid w:val="00F76794"/>
    <w:rsid w:val="00F76D77"/>
    <w:rsid w:val="00F812DE"/>
    <w:rsid w:val="00F83D08"/>
    <w:rsid w:val="00F8475A"/>
    <w:rsid w:val="00F84DAC"/>
    <w:rsid w:val="00F85802"/>
    <w:rsid w:val="00F85E98"/>
    <w:rsid w:val="00F90E21"/>
    <w:rsid w:val="00F90F39"/>
    <w:rsid w:val="00F91482"/>
    <w:rsid w:val="00F931E3"/>
    <w:rsid w:val="00F936AB"/>
    <w:rsid w:val="00F94149"/>
    <w:rsid w:val="00F9414A"/>
    <w:rsid w:val="00F94864"/>
    <w:rsid w:val="00F94D0C"/>
    <w:rsid w:val="00F94D4E"/>
    <w:rsid w:val="00F965A4"/>
    <w:rsid w:val="00F96DB0"/>
    <w:rsid w:val="00F9737F"/>
    <w:rsid w:val="00F97986"/>
    <w:rsid w:val="00F97C9E"/>
    <w:rsid w:val="00F97F59"/>
    <w:rsid w:val="00FA0D90"/>
    <w:rsid w:val="00FA0E40"/>
    <w:rsid w:val="00FA1411"/>
    <w:rsid w:val="00FA2822"/>
    <w:rsid w:val="00FA2C9E"/>
    <w:rsid w:val="00FA3171"/>
    <w:rsid w:val="00FA3343"/>
    <w:rsid w:val="00FA4196"/>
    <w:rsid w:val="00FA4199"/>
    <w:rsid w:val="00FA43DC"/>
    <w:rsid w:val="00FA5458"/>
    <w:rsid w:val="00FA5A94"/>
    <w:rsid w:val="00FA5AAC"/>
    <w:rsid w:val="00FA5FD8"/>
    <w:rsid w:val="00FA6231"/>
    <w:rsid w:val="00FA6AE3"/>
    <w:rsid w:val="00FA6E1E"/>
    <w:rsid w:val="00FA6EED"/>
    <w:rsid w:val="00FA7A10"/>
    <w:rsid w:val="00FA7E26"/>
    <w:rsid w:val="00FB018E"/>
    <w:rsid w:val="00FB10C0"/>
    <w:rsid w:val="00FB1DEC"/>
    <w:rsid w:val="00FB277B"/>
    <w:rsid w:val="00FB3921"/>
    <w:rsid w:val="00FB3EFB"/>
    <w:rsid w:val="00FB45EB"/>
    <w:rsid w:val="00FB4602"/>
    <w:rsid w:val="00FB5CAF"/>
    <w:rsid w:val="00FB62CE"/>
    <w:rsid w:val="00FB6732"/>
    <w:rsid w:val="00FB6880"/>
    <w:rsid w:val="00FB79E8"/>
    <w:rsid w:val="00FC0813"/>
    <w:rsid w:val="00FC47AE"/>
    <w:rsid w:val="00FC611C"/>
    <w:rsid w:val="00FC72E4"/>
    <w:rsid w:val="00FC7E15"/>
    <w:rsid w:val="00FD02E2"/>
    <w:rsid w:val="00FD0421"/>
    <w:rsid w:val="00FD130B"/>
    <w:rsid w:val="00FD26E8"/>
    <w:rsid w:val="00FD327B"/>
    <w:rsid w:val="00FD3483"/>
    <w:rsid w:val="00FD38F9"/>
    <w:rsid w:val="00FD3AAC"/>
    <w:rsid w:val="00FD3EF0"/>
    <w:rsid w:val="00FD403D"/>
    <w:rsid w:val="00FD40AC"/>
    <w:rsid w:val="00FD44E0"/>
    <w:rsid w:val="00FD501C"/>
    <w:rsid w:val="00FD57E3"/>
    <w:rsid w:val="00FD616A"/>
    <w:rsid w:val="00FD70FA"/>
    <w:rsid w:val="00FD71FA"/>
    <w:rsid w:val="00FD72E7"/>
    <w:rsid w:val="00FD7BB0"/>
    <w:rsid w:val="00FE0365"/>
    <w:rsid w:val="00FE04B9"/>
    <w:rsid w:val="00FE1936"/>
    <w:rsid w:val="00FE2085"/>
    <w:rsid w:val="00FE2390"/>
    <w:rsid w:val="00FE286E"/>
    <w:rsid w:val="00FE2893"/>
    <w:rsid w:val="00FE2ECE"/>
    <w:rsid w:val="00FE3187"/>
    <w:rsid w:val="00FE3AB4"/>
    <w:rsid w:val="00FE4F37"/>
    <w:rsid w:val="00FE5575"/>
    <w:rsid w:val="00FE56A3"/>
    <w:rsid w:val="00FE5BA4"/>
    <w:rsid w:val="00FE5BC2"/>
    <w:rsid w:val="00FE6A22"/>
    <w:rsid w:val="00FF0D11"/>
    <w:rsid w:val="00FF270B"/>
    <w:rsid w:val="00FF27BF"/>
    <w:rsid w:val="00FF2DE4"/>
    <w:rsid w:val="00FF2E81"/>
    <w:rsid w:val="00FF3151"/>
    <w:rsid w:val="00FF3A11"/>
    <w:rsid w:val="00FF4372"/>
    <w:rsid w:val="00FF47C2"/>
    <w:rsid w:val="00FF483C"/>
    <w:rsid w:val="00FF4F5A"/>
    <w:rsid w:val="00FF5227"/>
    <w:rsid w:val="00FF5859"/>
    <w:rsid w:val="00FF63BA"/>
    <w:rsid w:val="00FF7461"/>
    <w:rsid w:val="00FF751D"/>
    <w:rsid w:val="00FF781E"/>
    <w:rsid w:val="0106878D"/>
    <w:rsid w:val="0115F9E1"/>
    <w:rsid w:val="01187613"/>
    <w:rsid w:val="011C4E5D"/>
    <w:rsid w:val="012310EB"/>
    <w:rsid w:val="01243CB1"/>
    <w:rsid w:val="0125BBC8"/>
    <w:rsid w:val="0128A21C"/>
    <w:rsid w:val="0129167E"/>
    <w:rsid w:val="012DE974"/>
    <w:rsid w:val="013E674A"/>
    <w:rsid w:val="0145999B"/>
    <w:rsid w:val="014E92C4"/>
    <w:rsid w:val="015269F6"/>
    <w:rsid w:val="015C5B35"/>
    <w:rsid w:val="0162B7D9"/>
    <w:rsid w:val="016EC76D"/>
    <w:rsid w:val="0176DF40"/>
    <w:rsid w:val="017E17C1"/>
    <w:rsid w:val="018B8405"/>
    <w:rsid w:val="018FA610"/>
    <w:rsid w:val="018FF63E"/>
    <w:rsid w:val="01908D1E"/>
    <w:rsid w:val="0195ACF3"/>
    <w:rsid w:val="01985F2F"/>
    <w:rsid w:val="01A28910"/>
    <w:rsid w:val="01A2B7B1"/>
    <w:rsid w:val="01A31A2A"/>
    <w:rsid w:val="01AB133D"/>
    <w:rsid w:val="01AE45A6"/>
    <w:rsid w:val="01BA1FF2"/>
    <w:rsid w:val="01BEF443"/>
    <w:rsid w:val="01C5D421"/>
    <w:rsid w:val="01C6E228"/>
    <w:rsid w:val="01CBA8DD"/>
    <w:rsid w:val="01CDE280"/>
    <w:rsid w:val="01CF3269"/>
    <w:rsid w:val="01D20ED6"/>
    <w:rsid w:val="01D8C0D3"/>
    <w:rsid w:val="01DD7406"/>
    <w:rsid w:val="01DDBC07"/>
    <w:rsid w:val="01ED6C40"/>
    <w:rsid w:val="01F64E68"/>
    <w:rsid w:val="01FFDC98"/>
    <w:rsid w:val="0204A355"/>
    <w:rsid w:val="0209281F"/>
    <w:rsid w:val="020DDBA7"/>
    <w:rsid w:val="021EDED3"/>
    <w:rsid w:val="021F7E8E"/>
    <w:rsid w:val="02200E9C"/>
    <w:rsid w:val="02208598"/>
    <w:rsid w:val="0234FE93"/>
    <w:rsid w:val="02392D57"/>
    <w:rsid w:val="023B49B3"/>
    <w:rsid w:val="023C9150"/>
    <w:rsid w:val="023D62A8"/>
    <w:rsid w:val="024208E4"/>
    <w:rsid w:val="0246FD90"/>
    <w:rsid w:val="024ED056"/>
    <w:rsid w:val="025BCD8E"/>
    <w:rsid w:val="025C4A93"/>
    <w:rsid w:val="02656B93"/>
    <w:rsid w:val="026C878A"/>
    <w:rsid w:val="026F3379"/>
    <w:rsid w:val="026FB2F1"/>
    <w:rsid w:val="0278B361"/>
    <w:rsid w:val="0280953C"/>
    <w:rsid w:val="0291DAAD"/>
    <w:rsid w:val="02951134"/>
    <w:rsid w:val="0295BAF2"/>
    <w:rsid w:val="0299EAE0"/>
    <w:rsid w:val="029FBF34"/>
    <w:rsid w:val="02A5FFC4"/>
    <w:rsid w:val="02A9548D"/>
    <w:rsid w:val="02AA6283"/>
    <w:rsid w:val="02B2046D"/>
    <w:rsid w:val="02B2FD0B"/>
    <w:rsid w:val="02BBF7BD"/>
    <w:rsid w:val="02BD5B14"/>
    <w:rsid w:val="02C8FAF4"/>
    <w:rsid w:val="02CD0A2B"/>
    <w:rsid w:val="02D6DD27"/>
    <w:rsid w:val="02DA6855"/>
    <w:rsid w:val="02DAE7FA"/>
    <w:rsid w:val="02E51386"/>
    <w:rsid w:val="02E71453"/>
    <w:rsid w:val="02EA209C"/>
    <w:rsid w:val="02FA16E3"/>
    <w:rsid w:val="0300C940"/>
    <w:rsid w:val="03078B4D"/>
    <w:rsid w:val="0307AB0E"/>
    <w:rsid w:val="03087306"/>
    <w:rsid w:val="030B8759"/>
    <w:rsid w:val="030FF782"/>
    <w:rsid w:val="0312E586"/>
    <w:rsid w:val="032244C8"/>
    <w:rsid w:val="03300E13"/>
    <w:rsid w:val="0331C8D5"/>
    <w:rsid w:val="03329537"/>
    <w:rsid w:val="03361EED"/>
    <w:rsid w:val="033C49D4"/>
    <w:rsid w:val="03419101"/>
    <w:rsid w:val="034CF806"/>
    <w:rsid w:val="0353A9F4"/>
    <w:rsid w:val="03585E53"/>
    <w:rsid w:val="035D08A0"/>
    <w:rsid w:val="035DC91B"/>
    <w:rsid w:val="035E4279"/>
    <w:rsid w:val="036860D8"/>
    <w:rsid w:val="03689096"/>
    <w:rsid w:val="036A404F"/>
    <w:rsid w:val="036D73A5"/>
    <w:rsid w:val="0371F22C"/>
    <w:rsid w:val="0377894D"/>
    <w:rsid w:val="037B24D2"/>
    <w:rsid w:val="037C77D3"/>
    <w:rsid w:val="0381623B"/>
    <w:rsid w:val="038180D8"/>
    <w:rsid w:val="0381FCB2"/>
    <w:rsid w:val="03992F6D"/>
    <w:rsid w:val="0399A009"/>
    <w:rsid w:val="039BD55C"/>
    <w:rsid w:val="03A58E80"/>
    <w:rsid w:val="03A87414"/>
    <w:rsid w:val="03AC5A61"/>
    <w:rsid w:val="03AC61F5"/>
    <w:rsid w:val="03AFF7EF"/>
    <w:rsid w:val="03B66160"/>
    <w:rsid w:val="03C4BA70"/>
    <w:rsid w:val="03C91241"/>
    <w:rsid w:val="03D6F275"/>
    <w:rsid w:val="03DBCD82"/>
    <w:rsid w:val="03DC5D65"/>
    <w:rsid w:val="03E37DB5"/>
    <w:rsid w:val="04023AE6"/>
    <w:rsid w:val="040DAD5B"/>
    <w:rsid w:val="040FF415"/>
    <w:rsid w:val="041C40F8"/>
    <w:rsid w:val="041EE0E9"/>
    <w:rsid w:val="0420696B"/>
    <w:rsid w:val="04250429"/>
    <w:rsid w:val="042622EE"/>
    <w:rsid w:val="043E54DB"/>
    <w:rsid w:val="043F03FE"/>
    <w:rsid w:val="043FE052"/>
    <w:rsid w:val="04445AE8"/>
    <w:rsid w:val="044A89CE"/>
    <w:rsid w:val="044C574A"/>
    <w:rsid w:val="044F94EE"/>
    <w:rsid w:val="0457305B"/>
    <w:rsid w:val="045D1944"/>
    <w:rsid w:val="045E2837"/>
    <w:rsid w:val="045EDA1F"/>
    <w:rsid w:val="045FC2AD"/>
    <w:rsid w:val="046614F4"/>
    <w:rsid w:val="046C2352"/>
    <w:rsid w:val="04756AC1"/>
    <w:rsid w:val="048099A6"/>
    <w:rsid w:val="048320E3"/>
    <w:rsid w:val="04882653"/>
    <w:rsid w:val="048A867C"/>
    <w:rsid w:val="048F16D6"/>
    <w:rsid w:val="048FAA00"/>
    <w:rsid w:val="048FC08E"/>
    <w:rsid w:val="04901C02"/>
    <w:rsid w:val="0490DB73"/>
    <w:rsid w:val="0492468F"/>
    <w:rsid w:val="0495FEAD"/>
    <w:rsid w:val="04A891E7"/>
    <w:rsid w:val="04AB2806"/>
    <w:rsid w:val="04AC44CC"/>
    <w:rsid w:val="04B2F7DF"/>
    <w:rsid w:val="04B2FC6B"/>
    <w:rsid w:val="04B39558"/>
    <w:rsid w:val="04B3A5AD"/>
    <w:rsid w:val="04B5968F"/>
    <w:rsid w:val="04BB6473"/>
    <w:rsid w:val="04C120BA"/>
    <w:rsid w:val="04C38897"/>
    <w:rsid w:val="04C42A72"/>
    <w:rsid w:val="04C482C6"/>
    <w:rsid w:val="04D59AFA"/>
    <w:rsid w:val="04D8BA01"/>
    <w:rsid w:val="04DAA4F7"/>
    <w:rsid w:val="04DB90B6"/>
    <w:rsid w:val="04DE2554"/>
    <w:rsid w:val="04DE7C8D"/>
    <w:rsid w:val="04E5FE02"/>
    <w:rsid w:val="04E624E4"/>
    <w:rsid w:val="04EA40A2"/>
    <w:rsid w:val="04EC9291"/>
    <w:rsid w:val="04F24E88"/>
    <w:rsid w:val="04F46900"/>
    <w:rsid w:val="04FD844E"/>
    <w:rsid w:val="04FF844F"/>
    <w:rsid w:val="05040773"/>
    <w:rsid w:val="050C20A8"/>
    <w:rsid w:val="050D099F"/>
    <w:rsid w:val="05144620"/>
    <w:rsid w:val="052667DA"/>
    <w:rsid w:val="052A2686"/>
    <w:rsid w:val="052D1C91"/>
    <w:rsid w:val="0536D78D"/>
    <w:rsid w:val="053C2121"/>
    <w:rsid w:val="053C9F2F"/>
    <w:rsid w:val="053CE525"/>
    <w:rsid w:val="0545144A"/>
    <w:rsid w:val="05546AE0"/>
    <w:rsid w:val="0559D871"/>
    <w:rsid w:val="055A361E"/>
    <w:rsid w:val="055EF77D"/>
    <w:rsid w:val="0565B53B"/>
    <w:rsid w:val="0576DD13"/>
    <w:rsid w:val="0577241E"/>
    <w:rsid w:val="057902E6"/>
    <w:rsid w:val="057ECEC3"/>
    <w:rsid w:val="0584C9B5"/>
    <w:rsid w:val="058E65C9"/>
    <w:rsid w:val="0594234E"/>
    <w:rsid w:val="05970CBC"/>
    <w:rsid w:val="05A1BB5F"/>
    <w:rsid w:val="05A6B673"/>
    <w:rsid w:val="05AAC2DD"/>
    <w:rsid w:val="05AD5D92"/>
    <w:rsid w:val="05B542BA"/>
    <w:rsid w:val="05B96EE5"/>
    <w:rsid w:val="05BC01A4"/>
    <w:rsid w:val="05BCD527"/>
    <w:rsid w:val="05C159F3"/>
    <w:rsid w:val="05D0AAED"/>
    <w:rsid w:val="05D3F8F5"/>
    <w:rsid w:val="05DAA2A7"/>
    <w:rsid w:val="05DAC5C4"/>
    <w:rsid w:val="05DB1C9F"/>
    <w:rsid w:val="05E37B76"/>
    <w:rsid w:val="05E92501"/>
    <w:rsid w:val="05EC7803"/>
    <w:rsid w:val="05EF1603"/>
    <w:rsid w:val="05F2508F"/>
    <w:rsid w:val="05FFDF12"/>
    <w:rsid w:val="0613D084"/>
    <w:rsid w:val="061EDA94"/>
    <w:rsid w:val="0622F5CA"/>
    <w:rsid w:val="06243800"/>
    <w:rsid w:val="06247954"/>
    <w:rsid w:val="0628B8C2"/>
    <w:rsid w:val="06292132"/>
    <w:rsid w:val="062C2E2A"/>
    <w:rsid w:val="06306B65"/>
    <w:rsid w:val="06466468"/>
    <w:rsid w:val="064F1724"/>
    <w:rsid w:val="06581ADD"/>
    <w:rsid w:val="0658C068"/>
    <w:rsid w:val="06720F25"/>
    <w:rsid w:val="06738B8A"/>
    <w:rsid w:val="0675E72D"/>
    <w:rsid w:val="06781830"/>
    <w:rsid w:val="067A5CA8"/>
    <w:rsid w:val="067AC868"/>
    <w:rsid w:val="0682D6DD"/>
    <w:rsid w:val="0694496F"/>
    <w:rsid w:val="06A0AA73"/>
    <w:rsid w:val="06B257F9"/>
    <w:rsid w:val="06BE109E"/>
    <w:rsid w:val="06D5FBF6"/>
    <w:rsid w:val="06DB4CB3"/>
    <w:rsid w:val="06DBF94C"/>
    <w:rsid w:val="06DC03F2"/>
    <w:rsid w:val="06E51BCD"/>
    <w:rsid w:val="06EC8E66"/>
    <w:rsid w:val="06ED0FC7"/>
    <w:rsid w:val="06EF7EE4"/>
    <w:rsid w:val="06FD6BC9"/>
    <w:rsid w:val="0701F69B"/>
    <w:rsid w:val="0702320B"/>
    <w:rsid w:val="07063806"/>
    <w:rsid w:val="07191AE4"/>
    <w:rsid w:val="07195704"/>
    <w:rsid w:val="072452CC"/>
    <w:rsid w:val="072D98D2"/>
    <w:rsid w:val="072F2151"/>
    <w:rsid w:val="074B88DF"/>
    <w:rsid w:val="074D23AC"/>
    <w:rsid w:val="0753E04A"/>
    <w:rsid w:val="0755C91A"/>
    <w:rsid w:val="075F2E2C"/>
    <w:rsid w:val="07610427"/>
    <w:rsid w:val="0767C43D"/>
    <w:rsid w:val="076EB62B"/>
    <w:rsid w:val="07756700"/>
    <w:rsid w:val="0775A3DB"/>
    <w:rsid w:val="07793F8D"/>
    <w:rsid w:val="077BDB46"/>
    <w:rsid w:val="0783E428"/>
    <w:rsid w:val="07849338"/>
    <w:rsid w:val="078A69A2"/>
    <w:rsid w:val="078D8F22"/>
    <w:rsid w:val="07978702"/>
    <w:rsid w:val="079FA5D4"/>
    <w:rsid w:val="07A82DB7"/>
    <w:rsid w:val="07ACDAFC"/>
    <w:rsid w:val="07B74A10"/>
    <w:rsid w:val="07C3F624"/>
    <w:rsid w:val="07CA4F20"/>
    <w:rsid w:val="07CA92D2"/>
    <w:rsid w:val="07CBDFD7"/>
    <w:rsid w:val="07D5CDED"/>
    <w:rsid w:val="07D81BD4"/>
    <w:rsid w:val="07DDBD55"/>
    <w:rsid w:val="07DE0067"/>
    <w:rsid w:val="07EB750C"/>
    <w:rsid w:val="07EBA7FD"/>
    <w:rsid w:val="07EEAE61"/>
    <w:rsid w:val="08039AA7"/>
    <w:rsid w:val="0808CD17"/>
    <w:rsid w:val="08159A3C"/>
    <w:rsid w:val="081610AF"/>
    <w:rsid w:val="08162722"/>
    <w:rsid w:val="08183E2C"/>
    <w:rsid w:val="081B36D6"/>
    <w:rsid w:val="082DD9A2"/>
    <w:rsid w:val="08356562"/>
    <w:rsid w:val="08495C64"/>
    <w:rsid w:val="084AEBB2"/>
    <w:rsid w:val="08528AB6"/>
    <w:rsid w:val="0853FC6D"/>
    <w:rsid w:val="085CC505"/>
    <w:rsid w:val="085CCD96"/>
    <w:rsid w:val="085DA081"/>
    <w:rsid w:val="086281A5"/>
    <w:rsid w:val="08639ABD"/>
    <w:rsid w:val="08686DFE"/>
    <w:rsid w:val="086E2C04"/>
    <w:rsid w:val="0870F0B7"/>
    <w:rsid w:val="08719F92"/>
    <w:rsid w:val="08799E00"/>
    <w:rsid w:val="0881B40D"/>
    <w:rsid w:val="0888AE0E"/>
    <w:rsid w:val="088D91D1"/>
    <w:rsid w:val="0892CDF7"/>
    <w:rsid w:val="0895D22F"/>
    <w:rsid w:val="0895E63C"/>
    <w:rsid w:val="089BE4E2"/>
    <w:rsid w:val="089C0A1F"/>
    <w:rsid w:val="08A2919E"/>
    <w:rsid w:val="08A495BE"/>
    <w:rsid w:val="08A5F3B9"/>
    <w:rsid w:val="08ADA5B0"/>
    <w:rsid w:val="08AEC862"/>
    <w:rsid w:val="08B260A2"/>
    <w:rsid w:val="08B3524B"/>
    <w:rsid w:val="08BA1F58"/>
    <w:rsid w:val="08C3FCC2"/>
    <w:rsid w:val="08C73079"/>
    <w:rsid w:val="08CC0D71"/>
    <w:rsid w:val="08CCF2B1"/>
    <w:rsid w:val="08D67781"/>
    <w:rsid w:val="08D8D1E5"/>
    <w:rsid w:val="08EC7E8C"/>
    <w:rsid w:val="08F4213E"/>
    <w:rsid w:val="08F49560"/>
    <w:rsid w:val="08F5F156"/>
    <w:rsid w:val="08F8F391"/>
    <w:rsid w:val="08FAB0D1"/>
    <w:rsid w:val="08FD41AD"/>
    <w:rsid w:val="09063D18"/>
    <w:rsid w:val="090663A2"/>
    <w:rsid w:val="0908F227"/>
    <w:rsid w:val="090995F8"/>
    <w:rsid w:val="090E8060"/>
    <w:rsid w:val="09173A71"/>
    <w:rsid w:val="091B0024"/>
    <w:rsid w:val="091BE588"/>
    <w:rsid w:val="091D87DC"/>
    <w:rsid w:val="0920288E"/>
    <w:rsid w:val="09221640"/>
    <w:rsid w:val="092365EB"/>
    <w:rsid w:val="09355AD9"/>
    <w:rsid w:val="09377BCA"/>
    <w:rsid w:val="09399CA0"/>
    <w:rsid w:val="09427D21"/>
    <w:rsid w:val="09467640"/>
    <w:rsid w:val="0948AEDB"/>
    <w:rsid w:val="0952183C"/>
    <w:rsid w:val="09579C71"/>
    <w:rsid w:val="0957A084"/>
    <w:rsid w:val="09671AB0"/>
    <w:rsid w:val="09682D10"/>
    <w:rsid w:val="096BBA74"/>
    <w:rsid w:val="09773510"/>
    <w:rsid w:val="0978BB4F"/>
    <w:rsid w:val="097B56F1"/>
    <w:rsid w:val="097DED21"/>
    <w:rsid w:val="098AA477"/>
    <w:rsid w:val="099483E0"/>
    <w:rsid w:val="099A3EEE"/>
    <w:rsid w:val="099D73A9"/>
    <w:rsid w:val="09A5920F"/>
    <w:rsid w:val="09B1BA0E"/>
    <w:rsid w:val="09B2F177"/>
    <w:rsid w:val="09B5BAC7"/>
    <w:rsid w:val="09BCE50B"/>
    <w:rsid w:val="09D52C00"/>
    <w:rsid w:val="09EC67C5"/>
    <w:rsid w:val="09ED9041"/>
    <w:rsid w:val="09F4CF48"/>
    <w:rsid w:val="09F90138"/>
    <w:rsid w:val="0A01D0A1"/>
    <w:rsid w:val="0A0B6278"/>
    <w:rsid w:val="0A121FAD"/>
    <w:rsid w:val="0A122077"/>
    <w:rsid w:val="0A1AFD7E"/>
    <w:rsid w:val="0A23A7B8"/>
    <w:rsid w:val="0A267279"/>
    <w:rsid w:val="0A2C1E64"/>
    <w:rsid w:val="0A2C2834"/>
    <w:rsid w:val="0A2E0369"/>
    <w:rsid w:val="0A30DB16"/>
    <w:rsid w:val="0A344968"/>
    <w:rsid w:val="0A36CCA9"/>
    <w:rsid w:val="0A3C1007"/>
    <w:rsid w:val="0A3E372B"/>
    <w:rsid w:val="0A3F8831"/>
    <w:rsid w:val="0A4BFD2E"/>
    <w:rsid w:val="0A4D7BF1"/>
    <w:rsid w:val="0A4DA10C"/>
    <w:rsid w:val="0A5DAEF3"/>
    <w:rsid w:val="0A6037EF"/>
    <w:rsid w:val="0A62BFAF"/>
    <w:rsid w:val="0A6FFDF2"/>
    <w:rsid w:val="0A859AB9"/>
    <w:rsid w:val="0A8F90B0"/>
    <w:rsid w:val="0A8F9D1B"/>
    <w:rsid w:val="0A975E7A"/>
    <w:rsid w:val="0A9B981B"/>
    <w:rsid w:val="0A9D383F"/>
    <w:rsid w:val="0A9F32FE"/>
    <w:rsid w:val="0AA05F37"/>
    <w:rsid w:val="0AA0F846"/>
    <w:rsid w:val="0AA117C4"/>
    <w:rsid w:val="0AA7B685"/>
    <w:rsid w:val="0AA8F459"/>
    <w:rsid w:val="0AB321CF"/>
    <w:rsid w:val="0AB82019"/>
    <w:rsid w:val="0ABBFE80"/>
    <w:rsid w:val="0ABCB772"/>
    <w:rsid w:val="0ABDADEB"/>
    <w:rsid w:val="0AC0AB37"/>
    <w:rsid w:val="0AC21F66"/>
    <w:rsid w:val="0AC4F9F5"/>
    <w:rsid w:val="0ACBA474"/>
    <w:rsid w:val="0AD7B7A6"/>
    <w:rsid w:val="0AE3C48C"/>
    <w:rsid w:val="0AE41DD4"/>
    <w:rsid w:val="0AF31754"/>
    <w:rsid w:val="0B05B477"/>
    <w:rsid w:val="0B06B137"/>
    <w:rsid w:val="0B0DF5BF"/>
    <w:rsid w:val="0B14A43B"/>
    <w:rsid w:val="0B1801B2"/>
    <w:rsid w:val="0B1EEA04"/>
    <w:rsid w:val="0B293948"/>
    <w:rsid w:val="0B2E789B"/>
    <w:rsid w:val="0B3001A4"/>
    <w:rsid w:val="0B34BEF8"/>
    <w:rsid w:val="0B36C2E6"/>
    <w:rsid w:val="0B3827CE"/>
    <w:rsid w:val="0B3AAB1E"/>
    <w:rsid w:val="0B41AA60"/>
    <w:rsid w:val="0B424814"/>
    <w:rsid w:val="0B43C5FA"/>
    <w:rsid w:val="0B4EADE1"/>
    <w:rsid w:val="0B51092B"/>
    <w:rsid w:val="0B54780D"/>
    <w:rsid w:val="0B550602"/>
    <w:rsid w:val="0B55260E"/>
    <w:rsid w:val="0B5CD58B"/>
    <w:rsid w:val="0B5E8344"/>
    <w:rsid w:val="0B604873"/>
    <w:rsid w:val="0B61CCC0"/>
    <w:rsid w:val="0B6201D8"/>
    <w:rsid w:val="0B64E5D3"/>
    <w:rsid w:val="0B667FF2"/>
    <w:rsid w:val="0B6BC145"/>
    <w:rsid w:val="0B71FF74"/>
    <w:rsid w:val="0B7D92E8"/>
    <w:rsid w:val="0B7DE9B3"/>
    <w:rsid w:val="0B8395A7"/>
    <w:rsid w:val="0B866DD1"/>
    <w:rsid w:val="0B8C62DC"/>
    <w:rsid w:val="0B8EC156"/>
    <w:rsid w:val="0B9A21E8"/>
    <w:rsid w:val="0BA2CED5"/>
    <w:rsid w:val="0BB3EE30"/>
    <w:rsid w:val="0BB5C858"/>
    <w:rsid w:val="0BB9E716"/>
    <w:rsid w:val="0BC512D0"/>
    <w:rsid w:val="0BD3A637"/>
    <w:rsid w:val="0BD97D4F"/>
    <w:rsid w:val="0BE00201"/>
    <w:rsid w:val="0BE54BA8"/>
    <w:rsid w:val="0BEE541B"/>
    <w:rsid w:val="0BEFFF8C"/>
    <w:rsid w:val="0BF26098"/>
    <w:rsid w:val="0BFC90D1"/>
    <w:rsid w:val="0C10C2A2"/>
    <w:rsid w:val="0C11F473"/>
    <w:rsid w:val="0C127DE3"/>
    <w:rsid w:val="0C18763E"/>
    <w:rsid w:val="0C1886E8"/>
    <w:rsid w:val="0C1F2EEF"/>
    <w:rsid w:val="0C203318"/>
    <w:rsid w:val="0C28033E"/>
    <w:rsid w:val="0C28C3AF"/>
    <w:rsid w:val="0C2B3AA0"/>
    <w:rsid w:val="0C2BE4CF"/>
    <w:rsid w:val="0C2E6849"/>
    <w:rsid w:val="0C336C6C"/>
    <w:rsid w:val="0C3961F7"/>
    <w:rsid w:val="0C46359F"/>
    <w:rsid w:val="0C5049C8"/>
    <w:rsid w:val="0C580B73"/>
    <w:rsid w:val="0C598922"/>
    <w:rsid w:val="0C609092"/>
    <w:rsid w:val="0C619493"/>
    <w:rsid w:val="0C69A5A3"/>
    <w:rsid w:val="0C71EBD5"/>
    <w:rsid w:val="0C7365D2"/>
    <w:rsid w:val="0C7DF5C8"/>
    <w:rsid w:val="0C82A67F"/>
    <w:rsid w:val="0C83C845"/>
    <w:rsid w:val="0C900AFE"/>
    <w:rsid w:val="0C9070AF"/>
    <w:rsid w:val="0C9588FC"/>
    <w:rsid w:val="0C980D9F"/>
    <w:rsid w:val="0C99B2B3"/>
    <w:rsid w:val="0CA43335"/>
    <w:rsid w:val="0CA44D1A"/>
    <w:rsid w:val="0CB229D7"/>
    <w:rsid w:val="0CB3DD3C"/>
    <w:rsid w:val="0CBB63E9"/>
    <w:rsid w:val="0CC6D3F3"/>
    <w:rsid w:val="0CCF6D6A"/>
    <w:rsid w:val="0CD36E63"/>
    <w:rsid w:val="0CD7D299"/>
    <w:rsid w:val="0CDBC882"/>
    <w:rsid w:val="0CE135C6"/>
    <w:rsid w:val="0CE322A3"/>
    <w:rsid w:val="0CE37565"/>
    <w:rsid w:val="0CEF43A9"/>
    <w:rsid w:val="0CF2EFED"/>
    <w:rsid w:val="0CF55F14"/>
    <w:rsid w:val="0CF686E7"/>
    <w:rsid w:val="0CF70311"/>
    <w:rsid w:val="0CF99103"/>
    <w:rsid w:val="0CFD0104"/>
    <w:rsid w:val="0CFE7BAA"/>
    <w:rsid w:val="0D0A131F"/>
    <w:rsid w:val="0D0DB8D6"/>
    <w:rsid w:val="0D149F13"/>
    <w:rsid w:val="0D1BB504"/>
    <w:rsid w:val="0D257952"/>
    <w:rsid w:val="0D294740"/>
    <w:rsid w:val="0D32837E"/>
    <w:rsid w:val="0D32EC51"/>
    <w:rsid w:val="0D3E75CA"/>
    <w:rsid w:val="0D41EDEC"/>
    <w:rsid w:val="0D494DE7"/>
    <w:rsid w:val="0D565CAF"/>
    <w:rsid w:val="0D5FF95D"/>
    <w:rsid w:val="0D66A144"/>
    <w:rsid w:val="0D6D83FB"/>
    <w:rsid w:val="0D70649D"/>
    <w:rsid w:val="0D7A8158"/>
    <w:rsid w:val="0D83A859"/>
    <w:rsid w:val="0D89B876"/>
    <w:rsid w:val="0D8D1699"/>
    <w:rsid w:val="0D963720"/>
    <w:rsid w:val="0D986FA5"/>
    <w:rsid w:val="0D9D639A"/>
    <w:rsid w:val="0DA70509"/>
    <w:rsid w:val="0DA79135"/>
    <w:rsid w:val="0DA81C5A"/>
    <w:rsid w:val="0DAFF1F1"/>
    <w:rsid w:val="0DB8C021"/>
    <w:rsid w:val="0DBB19B6"/>
    <w:rsid w:val="0DBE7250"/>
    <w:rsid w:val="0DBFD4DC"/>
    <w:rsid w:val="0DC14E41"/>
    <w:rsid w:val="0DC9A3FD"/>
    <w:rsid w:val="0DDCC48F"/>
    <w:rsid w:val="0DDF3FAD"/>
    <w:rsid w:val="0DE7E472"/>
    <w:rsid w:val="0DE81790"/>
    <w:rsid w:val="0DF2CE92"/>
    <w:rsid w:val="0DF496BB"/>
    <w:rsid w:val="0DF67BEE"/>
    <w:rsid w:val="0DFC0AB3"/>
    <w:rsid w:val="0E026793"/>
    <w:rsid w:val="0E0AC61A"/>
    <w:rsid w:val="0E0C8CF0"/>
    <w:rsid w:val="0E0D1AC9"/>
    <w:rsid w:val="0E12C271"/>
    <w:rsid w:val="0E218E91"/>
    <w:rsid w:val="0E23A30E"/>
    <w:rsid w:val="0E2A1B1F"/>
    <w:rsid w:val="0E2C2625"/>
    <w:rsid w:val="0E31A4AB"/>
    <w:rsid w:val="0E31B079"/>
    <w:rsid w:val="0E329A84"/>
    <w:rsid w:val="0E353CF3"/>
    <w:rsid w:val="0E3CA875"/>
    <w:rsid w:val="0E3DC0EB"/>
    <w:rsid w:val="0E5AF9BA"/>
    <w:rsid w:val="0E5B3097"/>
    <w:rsid w:val="0E699A20"/>
    <w:rsid w:val="0E838C5B"/>
    <w:rsid w:val="0E87DE0E"/>
    <w:rsid w:val="0E9F14C1"/>
    <w:rsid w:val="0EA2BC32"/>
    <w:rsid w:val="0EAEDCDF"/>
    <w:rsid w:val="0EB56B1C"/>
    <w:rsid w:val="0EC4DB12"/>
    <w:rsid w:val="0EC5F033"/>
    <w:rsid w:val="0EC7DB7C"/>
    <w:rsid w:val="0EC835D0"/>
    <w:rsid w:val="0EC9A05F"/>
    <w:rsid w:val="0ED3136A"/>
    <w:rsid w:val="0EE60798"/>
    <w:rsid w:val="0EE63BCF"/>
    <w:rsid w:val="0EEE4ABB"/>
    <w:rsid w:val="0EF7ADCC"/>
    <w:rsid w:val="0EFA687A"/>
    <w:rsid w:val="0F017309"/>
    <w:rsid w:val="0F030756"/>
    <w:rsid w:val="0F05F303"/>
    <w:rsid w:val="0F0D0747"/>
    <w:rsid w:val="0F0E4AD0"/>
    <w:rsid w:val="0F0FCC34"/>
    <w:rsid w:val="0F101306"/>
    <w:rsid w:val="0F276A71"/>
    <w:rsid w:val="0F2995B5"/>
    <w:rsid w:val="0F2B7860"/>
    <w:rsid w:val="0F3842E7"/>
    <w:rsid w:val="0F3C9087"/>
    <w:rsid w:val="0F3E1BF6"/>
    <w:rsid w:val="0F3F78AD"/>
    <w:rsid w:val="0F3FD489"/>
    <w:rsid w:val="0F496CA0"/>
    <w:rsid w:val="0F567263"/>
    <w:rsid w:val="0F59A3A3"/>
    <w:rsid w:val="0F5B1308"/>
    <w:rsid w:val="0F5C195D"/>
    <w:rsid w:val="0F5C5775"/>
    <w:rsid w:val="0F65DD46"/>
    <w:rsid w:val="0F66E1DF"/>
    <w:rsid w:val="0F9226B9"/>
    <w:rsid w:val="0F923B88"/>
    <w:rsid w:val="0F94AD4D"/>
    <w:rsid w:val="0F9EBCB3"/>
    <w:rsid w:val="0FA243F3"/>
    <w:rsid w:val="0FB0409A"/>
    <w:rsid w:val="0FB5BBD7"/>
    <w:rsid w:val="0FB76ACB"/>
    <w:rsid w:val="0FBC91AB"/>
    <w:rsid w:val="0FC5C6FB"/>
    <w:rsid w:val="0FCC6DA8"/>
    <w:rsid w:val="0FD2BF29"/>
    <w:rsid w:val="0FD319FB"/>
    <w:rsid w:val="0FD41409"/>
    <w:rsid w:val="0FE46B12"/>
    <w:rsid w:val="0FE99D09"/>
    <w:rsid w:val="0FECD1B0"/>
    <w:rsid w:val="0FEEC084"/>
    <w:rsid w:val="0FEF512B"/>
    <w:rsid w:val="0FF0E0D7"/>
    <w:rsid w:val="0FFF45DE"/>
    <w:rsid w:val="10007206"/>
    <w:rsid w:val="1003C3DB"/>
    <w:rsid w:val="100D565F"/>
    <w:rsid w:val="100E7F5F"/>
    <w:rsid w:val="10114917"/>
    <w:rsid w:val="10180FFE"/>
    <w:rsid w:val="101D3D6C"/>
    <w:rsid w:val="102B53A4"/>
    <w:rsid w:val="1034898D"/>
    <w:rsid w:val="10364E34"/>
    <w:rsid w:val="10442845"/>
    <w:rsid w:val="1047866F"/>
    <w:rsid w:val="10489ED0"/>
    <w:rsid w:val="104D860A"/>
    <w:rsid w:val="10507498"/>
    <w:rsid w:val="10566722"/>
    <w:rsid w:val="105A21DA"/>
    <w:rsid w:val="105DF10F"/>
    <w:rsid w:val="106976D9"/>
    <w:rsid w:val="1077BB42"/>
    <w:rsid w:val="1086AF63"/>
    <w:rsid w:val="108B7F26"/>
    <w:rsid w:val="10908F99"/>
    <w:rsid w:val="1094F522"/>
    <w:rsid w:val="10998AC2"/>
    <w:rsid w:val="109F98AE"/>
    <w:rsid w:val="10ADB7F4"/>
    <w:rsid w:val="10BB318E"/>
    <w:rsid w:val="10C524C0"/>
    <w:rsid w:val="10CD28A9"/>
    <w:rsid w:val="10D87BF8"/>
    <w:rsid w:val="10DB1590"/>
    <w:rsid w:val="10DCB2C6"/>
    <w:rsid w:val="10DEAC3B"/>
    <w:rsid w:val="10E2428B"/>
    <w:rsid w:val="10E67D2E"/>
    <w:rsid w:val="10E855FE"/>
    <w:rsid w:val="10EF3703"/>
    <w:rsid w:val="10F23BB6"/>
    <w:rsid w:val="1102667F"/>
    <w:rsid w:val="1107D234"/>
    <w:rsid w:val="11094D12"/>
    <w:rsid w:val="11126221"/>
    <w:rsid w:val="1113D794"/>
    <w:rsid w:val="111E2582"/>
    <w:rsid w:val="112949D7"/>
    <w:rsid w:val="113015BE"/>
    <w:rsid w:val="1130E860"/>
    <w:rsid w:val="1135CB96"/>
    <w:rsid w:val="1138571C"/>
    <w:rsid w:val="114B8A90"/>
    <w:rsid w:val="114EDB3E"/>
    <w:rsid w:val="11524201"/>
    <w:rsid w:val="11550846"/>
    <w:rsid w:val="116E9D81"/>
    <w:rsid w:val="1170E3BC"/>
    <w:rsid w:val="1173FE89"/>
    <w:rsid w:val="1177ABE6"/>
    <w:rsid w:val="11797893"/>
    <w:rsid w:val="117B0D80"/>
    <w:rsid w:val="11857F17"/>
    <w:rsid w:val="1194BD63"/>
    <w:rsid w:val="11A085BC"/>
    <w:rsid w:val="11A9FF42"/>
    <w:rsid w:val="11B0853D"/>
    <w:rsid w:val="11B82C76"/>
    <w:rsid w:val="11B9885C"/>
    <w:rsid w:val="11C268B2"/>
    <w:rsid w:val="11C6D30F"/>
    <w:rsid w:val="11C9B19F"/>
    <w:rsid w:val="11D15908"/>
    <w:rsid w:val="11D52800"/>
    <w:rsid w:val="11D5A42B"/>
    <w:rsid w:val="11DC527E"/>
    <w:rsid w:val="11DE25F3"/>
    <w:rsid w:val="11E4F89E"/>
    <w:rsid w:val="11E660DA"/>
    <w:rsid w:val="11E8433A"/>
    <w:rsid w:val="11EA2418"/>
    <w:rsid w:val="11EDA651"/>
    <w:rsid w:val="11F0A925"/>
    <w:rsid w:val="11F73A9B"/>
    <w:rsid w:val="11FCD798"/>
    <w:rsid w:val="120208DB"/>
    <w:rsid w:val="120994AD"/>
    <w:rsid w:val="121B1438"/>
    <w:rsid w:val="12251BD7"/>
    <w:rsid w:val="1227CFCB"/>
    <w:rsid w:val="122AC63B"/>
    <w:rsid w:val="122BF759"/>
    <w:rsid w:val="12338647"/>
    <w:rsid w:val="12376C52"/>
    <w:rsid w:val="12396BC0"/>
    <w:rsid w:val="12484C59"/>
    <w:rsid w:val="124A1AE9"/>
    <w:rsid w:val="1251869E"/>
    <w:rsid w:val="12522914"/>
    <w:rsid w:val="125D4B06"/>
    <w:rsid w:val="1260D070"/>
    <w:rsid w:val="1262CD9F"/>
    <w:rsid w:val="126F8DD4"/>
    <w:rsid w:val="127470F7"/>
    <w:rsid w:val="1276B394"/>
    <w:rsid w:val="127EC13A"/>
    <w:rsid w:val="1285F4A7"/>
    <w:rsid w:val="12878C0B"/>
    <w:rsid w:val="1287D4FB"/>
    <w:rsid w:val="128C51EF"/>
    <w:rsid w:val="1296306D"/>
    <w:rsid w:val="1299BB3F"/>
    <w:rsid w:val="1299D055"/>
    <w:rsid w:val="12A45FFA"/>
    <w:rsid w:val="12A581E4"/>
    <w:rsid w:val="12A6605E"/>
    <w:rsid w:val="12ABD4BE"/>
    <w:rsid w:val="12B4D717"/>
    <w:rsid w:val="12BB1734"/>
    <w:rsid w:val="12BE3F60"/>
    <w:rsid w:val="12C6C3D7"/>
    <w:rsid w:val="12CDA55E"/>
    <w:rsid w:val="12D2545F"/>
    <w:rsid w:val="12DF49B4"/>
    <w:rsid w:val="12E46D6F"/>
    <w:rsid w:val="12E7C988"/>
    <w:rsid w:val="12EF11E7"/>
    <w:rsid w:val="12F497C1"/>
    <w:rsid w:val="12F562B0"/>
    <w:rsid w:val="12F8E3A1"/>
    <w:rsid w:val="12FA6BA0"/>
    <w:rsid w:val="12FAEAA7"/>
    <w:rsid w:val="12FD2827"/>
    <w:rsid w:val="12FF1196"/>
    <w:rsid w:val="13007C50"/>
    <w:rsid w:val="13060136"/>
    <w:rsid w:val="1308E006"/>
    <w:rsid w:val="130B0922"/>
    <w:rsid w:val="1310B211"/>
    <w:rsid w:val="1312DA39"/>
    <w:rsid w:val="131CC17F"/>
    <w:rsid w:val="131CE435"/>
    <w:rsid w:val="131DB9B8"/>
    <w:rsid w:val="131E51ED"/>
    <w:rsid w:val="13200BF5"/>
    <w:rsid w:val="13223257"/>
    <w:rsid w:val="13256AB6"/>
    <w:rsid w:val="132C35F6"/>
    <w:rsid w:val="133112C7"/>
    <w:rsid w:val="13341C31"/>
    <w:rsid w:val="133D7815"/>
    <w:rsid w:val="1341F7A6"/>
    <w:rsid w:val="1347B201"/>
    <w:rsid w:val="1349DD86"/>
    <w:rsid w:val="134A611C"/>
    <w:rsid w:val="134FA8BD"/>
    <w:rsid w:val="134FFBB3"/>
    <w:rsid w:val="136D7E50"/>
    <w:rsid w:val="1370857E"/>
    <w:rsid w:val="137DFFF2"/>
    <w:rsid w:val="1391BA61"/>
    <w:rsid w:val="1395E965"/>
    <w:rsid w:val="1399BBCD"/>
    <w:rsid w:val="139A2C49"/>
    <w:rsid w:val="13A0F3A7"/>
    <w:rsid w:val="13B0B455"/>
    <w:rsid w:val="13BC2C38"/>
    <w:rsid w:val="13BD3D27"/>
    <w:rsid w:val="13D016BF"/>
    <w:rsid w:val="13D15A4D"/>
    <w:rsid w:val="13D5FA3D"/>
    <w:rsid w:val="13D5FBE1"/>
    <w:rsid w:val="13D638DE"/>
    <w:rsid w:val="13DEB704"/>
    <w:rsid w:val="13E07EC2"/>
    <w:rsid w:val="13E8B7EC"/>
    <w:rsid w:val="13E8FB55"/>
    <w:rsid w:val="13E9C7AD"/>
    <w:rsid w:val="13F43EC4"/>
    <w:rsid w:val="13FE5419"/>
    <w:rsid w:val="1400F57E"/>
    <w:rsid w:val="1412C4B9"/>
    <w:rsid w:val="141389BE"/>
    <w:rsid w:val="141D05C1"/>
    <w:rsid w:val="141D5FEF"/>
    <w:rsid w:val="141DF97A"/>
    <w:rsid w:val="14235D1D"/>
    <w:rsid w:val="142ED4C7"/>
    <w:rsid w:val="143C7C69"/>
    <w:rsid w:val="1446C117"/>
    <w:rsid w:val="1449A64E"/>
    <w:rsid w:val="144A474C"/>
    <w:rsid w:val="144C1A87"/>
    <w:rsid w:val="144D0248"/>
    <w:rsid w:val="1455BFAE"/>
    <w:rsid w:val="1456098A"/>
    <w:rsid w:val="1465078B"/>
    <w:rsid w:val="14665DFC"/>
    <w:rsid w:val="14668614"/>
    <w:rsid w:val="1467828B"/>
    <w:rsid w:val="146CC3BC"/>
    <w:rsid w:val="146D5A47"/>
    <w:rsid w:val="147CC848"/>
    <w:rsid w:val="1486B477"/>
    <w:rsid w:val="1486BE77"/>
    <w:rsid w:val="14878440"/>
    <w:rsid w:val="1489A1E1"/>
    <w:rsid w:val="148E5B9D"/>
    <w:rsid w:val="148E7150"/>
    <w:rsid w:val="14904BE3"/>
    <w:rsid w:val="1495AE6A"/>
    <w:rsid w:val="149D94F9"/>
    <w:rsid w:val="14AF1B66"/>
    <w:rsid w:val="14B0611F"/>
    <w:rsid w:val="14B255BE"/>
    <w:rsid w:val="14B9E8EB"/>
    <w:rsid w:val="14C03894"/>
    <w:rsid w:val="14C7DFFC"/>
    <w:rsid w:val="14D464DA"/>
    <w:rsid w:val="14DA34BB"/>
    <w:rsid w:val="14DB8B43"/>
    <w:rsid w:val="14E72BF8"/>
    <w:rsid w:val="14EAB77A"/>
    <w:rsid w:val="14EB1828"/>
    <w:rsid w:val="14EE6741"/>
    <w:rsid w:val="14F15724"/>
    <w:rsid w:val="14F50251"/>
    <w:rsid w:val="14FE7BC5"/>
    <w:rsid w:val="1502CEB8"/>
    <w:rsid w:val="150B8BCB"/>
    <w:rsid w:val="150E63CD"/>
    <w:rsid w:val="1511B8CB"/>
    <w:rsid w:val="1520EE56"/>
    <w:rsid w:val="15212BFD"/>
    <w:rsid w:val="152374B7"/>
    <w:rsid w:val="152C310D"/>
    <w:rsid w:val="15370BC6"/>
    <w:rsid w:val="153ADA39"/>
    <w:rsid w:val="15465247"/>
    <w:rsid w:val="154927A5"/>
    <w:rsid w:val="1549E4A8"/>
    <w:rsid w:val="1550A8C0"/>
    <w:rsid w:val="15523065"/>
    <w:rsid w:val="156080AA"/>
    <w:rsid w:val="156F4D5C"/>
    <w:rsid w:val="1579F86E"/>
    <w:rsid w:val="157AB0BB"/>
    <w:rsid w:val="157D459C"/>
    <w:rsid w:val="15892B8F"/>
    <w:rsid w:val="158E5408"/>
    <w:rsid w:val="15900191"/>
    <w:rsid w:val="15912E3F"/>
    <w:rsid w:val="15A338CD"/>
    <w:rsid w:val="15ADC0CE"/>
    <w:rsid w:val="15AF7F66"/>
    <w:rsid w:val="15B534C6"/>
    <w:rsid w:val="15B78186"/>
    <w:rsid w:val="15B87119"/>
    <w:rsid w:val="15C4621B"/>
    <w:rsid w:val="15CC21B0"/>
    <w:rsid w:val="15CF9B85"/>
    <w:rsid w:val="15DF3724"/>
    <w:rsid w:val="15E6735D"/>
    <w:rsid w:val="15E760F2"/>
    <w:rsid w:val="15E88CA3"/>
    <w:rsid w:val="160472EA"/>
    <w:rsid w:val="1613654F"/>
    <w:rsid w:val="16171EEA"/>
    <w:rsid w:val="162C1B59"/>
    <w:rsid w:val="162FC005"/>
    <w:rsid w:val="16393582"/>
    <w:rsid w:val="163A6F10"/>
    <w:rsid w:val="163EB5AC"/>
    <w:rsid w:val="1648D0B6"/>
    <w:rsid w:val="16498571"/>
    <w:rsid w:val="165C517C"/>
    <w:rsid w:val="16609ABD"/>
    <w:rsid w:val="16646F79"/>
    <w:rsid w:val="1666FEAD"/>
    <w:rsid w:val="16673371"/>
    <w:rsid w:val="16695268"/>
    <w:rsid w:val="166BBACA"/>
    <w:rsid w:val="166C6559"/>
    <w:rsid w:val="16765C12"/>
    <w:rsid w:val="167816B0"/>
    <w:rsid w:val="167BBCD9"/>
    <w:rsid w:val="167EB400"/>
    <w:rsid w:val="1686202D"/>
    <w:rsid w:val="168E00DC"/>
    <w:rsid w:val="168F8F88"/>
    <w:rsid w:val="1694E54E"/>
    <w:rsid w:val="1697D277"/>
    <w:rsid w:val="169A7491"/>
    <w:rsid w:val="169F9B92"/>
    <w:rsid w:val="16A89082"/>
    <w:rsid w:val="16ACB5A6"/>
    <w:rsid w:val="16B3E983"/>
    <w:rsid w:val="16B4C67F"/>
    <w:rsid w:val="16B88B98"/>
    <w:rsid w:val="16C55CE6"/>
    <w:rsid w:val="16CE21EC"/>
    <w:rsid w:val="16D3711E"/>
    <w:rsid w:val="16D436CC"/>
    <w:rsid w:val="16D5D7FD"/>
    <w:rsid w:val="16DFC580"/>
    <w:rsid w:val="16E216E6"/>
    <w:rsid w:val="16E9C59A"/>
    <w:rsid w:val="16F1E190"/>
    <w:rsid w:val="16F406FA"/>
    <w:rsid w:val="16FFC516"/>
    <w:rsid w:val="16FFDF2E"/>
    <w:rsid w:val="1705311D"/>
    <w:rsid w:val="1705D5B2"/>
    <w:rsid w:val="17064B52"/>
    <w:rsid w:val="1707D849"/>
    <w:rsid w:val="170C62F8"/>
    <w:rsid w:val="1715F8BC"/>
    <w:rsid w:val="1718E1BC"/>
    <w:rsid w:val="171E2D73"/>
    <w:rsid w:val="171FCA88"/>
    <w:rsid w:val="172845FA"/>
    <w:rsid w:val="1729450D"/>
    <w:rsid w:val="1729E156"/>
    <w:rsid w:val="172D097A"/>
    <w:rsid w:val="172F2A84"/>
    <w:rsid w:val="17379C09"/>
    <w:rsid w:val="17397D61"/>
    <w:rsid w:val="17499637"/>
    <w:rsid w:val="174D1433"/>
    <w:rsid w:val="17551450"/>
    <w:rsid w:val="1755ED4C"/>
    <w:rsid w:val="17568B2A"/>
    <w:rsid w:val="17586B9B"/>
    <w:rsid w:val="1766AB6D"/>
    <w:rsid w:val="1766C446"/>
    <w:rsid w:val="177B20D0"/>
    <w:rsid w:val="17A1C338"/>
    <w:rsid w:val="17A7BD0C"/>
    <w:rsid w:val="17B19DBB"/>
    <w:rsid w:val="17BE2F60"/>
    <w:rsid w:val="17BFE482"/>
    <w:rsid w:val="17C5BED1"/>
    <w:rsid w:val="17C82141"/>
    <w:rsid w:val="17F87314"/>
    <w:rsid w:val="18087D2D"/>
    <w:rsid w:val="180B7313"/>
    <w:rsid w:val="1813C614"/>
    <w:rsid w:val="1820A0B2"/>
    <w:rsid w:val="1826B762"/>
    <w:rsid w:val="1827647E"/>
    <w:rsid w:val="1827AC77"/>
    <w:rsid w:val="182A7C6A"/>
    <w:rsid w:val="182C537E"/>
    <w:rsid w:val="18307BDE"/>
    <w:rsid w:val="1833817B"/>
    <w:rsid w:val="183853B9"/>
    <w:rsid w:val="183AF012"/>
    <w:rsid w:val="183F0533"/>
    <w:rsid w:val="184C4384"/>
    <w:rsid w:val="185B7867"/>
    <w:rsid w:val="186E0C8E"/>
    <w:rsid w:val="187A2A59"/>
    <w:rsid w:val="1885CD44"/>
    <w:rsid w:val="188B2727"/>
    <w:rsid w:val="1890413B"/>
    <w:rsid w:val="1893D121"/>
    <w:rsid w:val="18972985"/>
    <w:rsid w:val="18A5813B"/>
    <w:rsid w:val="18AAE618"/>
    <w:rsid w:val="18B2582B"/>
    <w:rsid w:val="18B3472D"/>
    <w:rsid w:val="18B96B47"/>
    <w:rsid w:val="18BAF53B"/>
    <w:rsid w:val="18C3D15A"/>
    <w:rsid w:val="18C46779"/>
    <w:rsid w:val="18C8D375"/>
    <w:rsid w:val="18CDF693"/>
    <w:rsid w:val="18CEFF1B"/>
    <w:rsid w:val="18D6EFB9"/>
    <w:rsid w:val="18D9C162"/>
    <w:rsid w:val="18DABDEC"/>
    <w:rsid w:val="18EC20D1"/>
    <w:rsid w:val="18ECB7CC"/>
    <w:rsid w:val="18F2054D"/>
    <w:rsid w:val="18F48C9E"/>
    <w:rsid w:val="18F93BB6"/>
    <w:rsid w:val="18FCCDCD"/>
    <w:rsid w:val="18FE23EC"/>
    <w:rsid w:val="18FE90C1"/>
    <w:rsid w:val="190F8B0E"/>
    <w:rsid w:val="1913B50E"/>
    <w:rsid w:val="191AA92B"/>
    <w:rsid w:val="191EE50B"/>
    <w:rsid w:val="192073A8"/>
    <w:rsid w:val="1922FC9C"/>
    <w:rsid w:val="19232DEE"/>
    <w:rsid w:val="192DFF6E"/>
    <w:rsid w:val="1934A329"/>
    <w:rsid w:val="19357864"/>
    <w:rsid w:val="193A5EF2"/>
    <w:rsid w:val="193D79C4"/>
    <w:rsid w:val="193FF24A"/>
    <w:rsid w:val="19407D7C"/>
    <w:rsid w:val="19457871"/>
    <w:rsid w:val="194A99EC"/>
    <w:rsid w:val="1954BB89"/>
    <w:rsid w:val="195BC631"/>
    <w:rsid w:val="196305B4"/>
    <w:rsid w:val="197E6D1B"/>
    <w:rsid w:val="1980EA44"/>
    <w:rsid w:val="198449D9"/>
    <w:rsid w:val="1988B71C"/>
    <w:rsid w:val="19A6A8EA"/>
    <w:rsid w:val="19B3534A"/>
    <w:rsid w:val="19C381AE"/>
    <w:rsid w:val="19CBD499"/>
    <w:rsid w:val="19D421A0"/>
    <w:rsid w:val="19D45624"/>
    <w:rsid w:val="19D8C0FE"/>
    <w:rsid w:val="19DABA7F"/>
    <w:rsid w:val="19E912C0"/>
    <w:rsid w:val="19F349D8"/>
    <w:rsid w:val="19F53E90"/>
    <w:rsid w:val="19F5A6A3"/>
    <w:rsid w:val="19FF6869"/>
    <w:rsid w:val="1A00003C"/>
    <w:rsid w:val="1A015831"/>
    <w:rsid w:val="1A01DCE7"/>
    <w:rsid w:val="1A044F9A"/>
    <w:rsid w:val="1A04B870"/>
    <w:rsid w:val="1A0A9E3F"/>
    <w:rsid w:val="1A0C4E23"/>
    <w:rsid w:val="1A1B2DBA"/>
    <w:rsid w:val="1A1DCACA"/>
    <w:rsid w:val="1A22122C"/>
    <w:rsid w:val="1A23C220"/>
    <w:rsid w:val="1A2A5338"/>
    <w:rsid w:val="1A2B1333"/>
    <w:rsid w:val="1A2B6115"/>
    <w:rsid w:val="1A2BAADF"/>
    <w:rsid w:val="1A2FDFEE"/>
    <w:rsid w:val="1A31171C"/>
    <w:rsid w:val="1A44516B"/>
    <w:rsid w:val="1A4530C0"/>
    <w:rsid w:val="1A4C82FF"/>
    <w:rsid w:val="1A54C2E4"/>
    <w:rsid w:val="1A5AEAAE"/>
    <w:rsid w:val="1A5C5CF6"/>
    <w:rsid w:val="1A5EEB3F"/>
    <w:rsid w:val="1A64E561"/>
    <w:rsid w:val="1A64FBB2"/>
    <w:rsid w:val="1A69F76B"/>
    <w:rsid w:val="1A6BB6F3"/>
    <w:rsid w:val="1A6ED6B4"/>
    <w:rsid w:val="1A70BDC6"/>
    <w:rsid w:val="1A755425"/>
    <w:rsid w:val="1A819FED"/>
    <w:rsid w:val="1A852779"/>
    <w:rsid w:val="1A85422F"/>
    <w:rsid w:val="1A85B314"/>
    <w:rsid w:val="1A8F73E0"/>
    <w:rsid w:val="1A93123A"/>
    <w:rsid w:val="1A94A056"/>
    <w:rsid w:val="1A9C3C23"/>
    <w:rsid w:val="1AA1C3C3"/>
    <w:rsid w:val="1AAE4BB8"/>
    <w:rsid w:val="1AB1C3A5"/>
    <w:rsid w:val="1AB5970D"/>
    <w:rsid w:val="1AC70012"/>
    <w:rsid w:val="1AC77C81"/>
    <w:rsid w:val="1AC7D369"/>
    <w:rsid w:val="1AD3BFC4"/>
    <w:rsid w:val="1AD76C23"/>
    <w:rsid w:val="1ADD88C1"/>
    <w:rsid w:val="1AF9BBA2"/>
    <w:rsid w:val="1AFE7157"/>
    <w:rsid w:val="1B092973"/>
    <w:rsid w:val="1B0A45C6"/>
    <w:rsid w:val="1B1670E9"/>
    <w:rsid w:val="1B21E4DC"/>
    <w:rsid w:val="1B260D41"/>
    <w:rsid w:val="1B26DF45"/>
    <w:rsid w:val="1B2F5645"/>
    <w:rsid w:val="1B3442D1"/>
    <w:rsid w:val="1B3CC6D3"/>
    <w:rsid w:val="1B3DCBC0"/>
    <w:rsid w:val="1B41D112"/>
    <w:rsid w:val="1B46A554"/>
    <w:rsid w:val="1B4A23AD"/>
    <w:rsid w:val="1B4AC370"/>
    <w:rsid w:val="1B57087D"/>
    <w:rsid w:val="1B57813B"/>
    <w:rsid w:val="1B584D14"/>
    <w:rsid w:val="1B5FA524"/>
    <w:rsid w:val="1B5FAAA3"/>
    <w:rsid w:val="1B733DC9"/>
    <w:rsid w:val="1B77291B"/>
    <w:rsid w:val="1B7750B4"/>
    <w:rsid w:val="1B8F2BE6"/>
    <w:rsid w:val="1B9C8F51"/>
    <w:rsid w:val="1BA1894E"/>
    <w:rsid w:val="1BA35F36"/>
    <w:rsid w:val="1BA72E91"/>
    <w:rsid w:val="1BA96B70"/>
    <w:rsid w:val="1BB4F1CC"/>
    <w:rsid w:val="1BBAB316"/>
    <w:rsid w:val="1BC9A8FF"/>
    <w:rsid w:val="1BD62419"/>
    <w:rsid w:val="1BD80F97"/>
    <w:rsid w:val="1BDAA1D3"/>
    <w:rsid w:val="1BE0F055"/>
    <w:rsid w:val="1BE45215"/>
    <w:rsid w:val="1BEEF252"/>
    <w:rsid w:val="1BFBB02E"/>
    <w:rsid w:val="1BFF60F9"/>
    <w:rsid w:val="1C032A59"/>
    <w:rsid w:val="1C03938E"/>
    <w:rsid w:val="1C03C248"/>
    <w:rsid w:val="1C0FA54F"/>
    <w:rsid w:val="1C12CC07"/>
    <w:rsid w:val="1C1B7678"/>
    <w:rsid w:val="1C24B522"/>
    <w:rsid w:val="1C2A3E47"/>
    <w:rsid w:val="1C2B7A1D"/>
    <w:rsid w:val="1C3B23D0"/>
    <w:rsid w:val="1C45777F"/>
    <w:rsid w:val="1C49FE80"/>
    <w:rsid w:val="1C51CF7C"/>
    <w:rsid w:val="1C51EDF3"/>
    <w:rsid w:val="1C5410B5"/>
    <w:rsid w:val="1C557D64"/>
    <w:rsid w:val="1C5D5E29"/>
    <w:rsid w:val="1C5F80BA"/>
    <w:rsid w:val="1C652B4E"/>
    <w:rsid w:val="1C66A288"/>
    <w:rsid w:val="1C6AE755"/>
    <w:rsid w:val="1C709CFB"/>
    <w:rsid w:val="1C74FE59"/>
    <w:rsid w:val="1C7FC4A4"/>
    <w:rsid w:val="1C8840E8"/>
    <w:rsid w:val="1C94A93B"/>
    <w:rsid w:val="1CA57360"/>
    <w:rsid w:val="1CA5E377"/>
    <w:rsid w:val="1CA7987F"/>
    <w:rsid w:val="1CAA26E4"/>
    <w:rsid w:val="1CB9B545"/>
    <w:rsid w:val="1CC1673C"/>
    <w:rsid w:val="1CC1DFF6"/>
    <w:rsid w:val="1CCF4676"/>
    <w:rsid w:val="1CD98434"/>
    <w:rsid w:val="1CDA8C79"/>
    <w:rsid w:val="1CE92BDA"/>
    <w:rsid w:val="1CEA89D3"/>
    <w:rsid w:val="1CF0B692"/>
    <w:rsid w:val="1CF466E3"/>
    <w:rsid w:val="1CF6EEC0"/>
    <w:rsid w:val="1CFBA799"/>
    <w:rsid w:val="1CFCD6A3"/>
    <w:rsid w:val="1D06968B"/>
    <w:rsid w:val="1D07201C"/>
    <w:rsid w:val="1D0CA474"/>
    <w:rsid w:val="1D14925A"/>
    <w:rsid w:val="1D156790"/>
    <w:rsid w:val="1D16ACD1"/>
    <w:rsid w:val="1D19BFAD"/>
    <w:rsid w:val="1D2375FA"/>
    <w:rsid w:val="1D24791F"/>
    <w:rsid w:val="1D24F245"/>
    <w:rsid w:val="1D256E46"/>
    <w:rsid w:val="1D28B962"/>
    <w:rsid w:val="1D2D8BD0"/>
    <w:rsid w:val="1D2FF905"/>
    <w:rsid w:val="1D32BBBC"/>
    <w:rsid w:val="1D39270E"/>
    <w:rsid w:val="1D3CF197"/>
    <w:rsid w:val="1D432975"/>
    <w:rsid w:val="1D46A547"/>
    <w:rsid w:val="1D47E781"/>
    <w:rsid w:val="1D4D3E5F"/>
    <w:rsid w:val="1D4D7065"/>
    <w:rsid w:val="1D574C72"/>
    <w:rsid w:val="1D7FD052"/>
    <w:rsid w:val="1D80ECF2"/>
    <w:rsid w:val="1D8431E7"/>
    <w:rsid w:val="1D85D671"/>
    <w:rsid w:val="1D888116"/>
    <w:rsid w:val="1D912FE4"/>
    <w:rsid w:val="1DA356BC"/>
    <w:rsid w:val="1DA39172"/>
    <w:rsid w:val="1DA92404"/>
    <w:rsid w:val="1DAB6CCC"/>
    <w:rsid w:val="1DAF5C1B"/>
    <w:rsid w:val="1DBDCE6E"/>
    <w:rsid w:val="1DBE60BA"/>
    <w:rsid w:val="1DC7B925"/>
    <w:rsid w:val="1DCA8C74"/>
    <w:rsid w:val="1DD0BE75"/>
    <w:rsid w:val="1DD546D3"/>
    <w:rsid w:val="1DDEE8EB"/>
    <w:rsid w:val="1DE07BBA"/>
    <w:rsid w:val="1DE752F6"/>
    <w:rsid w:val="1DECCF25"/>
    <w:rsid w:val="1DEE8604"/>
    <w:rsid w:val="1DF44440"/>
    <w:rsid w:val="1DF5F19E"/>
    <w:rsid w:val="1DF755D5"/>
    <w:rsid w:val="1DF802D7"/>
    <w:rsid w:val="1DFA1F83"/>
    <w:rsid w:val="1DFBC19C"/>
    <w:rsid w:val="1E046B59"/>
    <w:rsid w:val="1E0E81AE"/>
    <w:rsid w:val="1E16238E"/>
    <w:rsid w:val="1E1DC229"/>
    <w:rsid w:val="1E269AC5"/>
    <w:rsid w:val="1E2D0EFE"/>
    <w:rsid w:val="1E31B0A3"/>
    <w:rsid w:val="1E372772"/>
    <w:rsid w:val="1E3FE533"/>
    <w:rsid w:val="1E48A829"/>
    <w:rsid w:val="1E4A5ACB"/>
    <w:rsid w:val="1E4BB557"/>
    <w:rsid w:val="1E50855E"/>
    <w:rsid w:val="1E511570"/>
    <w:rsid w:val="1E5121CB"/>
    <w:rsid w:val="1E5596CB"/>
    <w:rsid w:val="1E56AD34"/>
    <w:rsid w:val="1E596A82"/>
    <w:rsid w:val="1E5A1374"/>
    <w:rsid w:val="1E5EF914"/>
    <w:rsid w:val="1E7818E3"/>
    <w:rsid w:val="1E78CEF1"/>
    <w:rsid w:val="1E7CF4D2"/>
    <w:rsid w:val="1E7E5495"/>
    <w:rsid w:val="1E82CA09"/>
    <w:rsid w:val="1E8722A4"/>
    <w:rsid w:val="1E8765C9"/>
    <w:rsid w:val="1E90EAF6"/>
    <w:rsid w:val="1E917015"/>
    <w:rsid w:val="1E948FE9"/>
    <w:rsid w:val="1E9C46C9"/>
    <w:rsid w:val="1EA5F6DA"/>
    <w:rsid w:val="1EB73AC2"/>
    <w:rsid w:val="1EBABB9D"/>
    <w:rsid w:val="1EBFA31B"/>
    <w:rsid w:val="1EC440C8"/>
    <w:rsid w:val="1ECDC6AA"/>
    <w:rsid w:val="1ED0B443"/>
    <w:rsid w:val="1ED2E6F8"/>
    <w:rsid w:val="1ED476E4"/>
    <w:rsid w:val="1ED73A04"/>
    <w:rsid w:val="1EDA6B43"/>
    <w:rsid w:val="1EDA9B46"/>
    <w:rsid w:val="1EDD82B3"/>
    <w:rsid w:val="1EE6E49D"/>
    <w:rsid w:val="1EE8D2C4"/>
    <w:rsid w:val="1EEE42D0"/>
    <w:rsid w:val="1EEFFFC9"/>
    <w:rsid w:val="1EF3DE34"/>
    <w:rsid w:val="1EF400E9"/>
    <w:rsid w:val="1EF526C0"/>
    <w:rsid w:val="1EF95783"/>
    <w:rsid w:val="1EFCDBF2"/>
    <w:rsid w:val="1F0154DD"/>
    <w:rsid w:val="1F0596BA"/>
    <w:rsid w:val="1F06DAA2"/>
    <w:rsid w:val="1F072F0A"/>
    <w:rsid w:val="1F173468"/>
    <w:rsid w:val="1F270B4D"/>
    <w:rsid w:val="1F39338D"/>
    <w:rsid w:val="1F4C87C7"/>
    <w:rsid w:val="1F500B54"/>
    <w:rsid w:val="1F54AC5F"/>
    <w:rsid w:val="1F567E5B"/>
    <w:rsid w:val="1F642668"/>
    <w:rsid w:val="1F676C01"/>
    <w:rsid w:val="1F6948D7"/>
    <w:rsid w:val="1F6C6656"/>
    <w:rsid w:val="1F77ADC0"/>
    <w:rsid w:val="1F7A43D8"/>
    <w:rsid w:val="1F8BE845"/>
    <w:rsid w:val="1F926154"/>
    <w:rsid w:val="1F92FC38"/>
    <w:rsid w:val="1F95741E"/>
    <w:rsid w:val="1F95F24F"/>
    <w:rsid w:val="1FA1394A"/>
    <w:rsid w:val="1FA2E292"/>
    <w:rsid w:val="1FAA3CFC"/>
    <w:rsid w:val="1FADC133"/>
    <w:rsid w:val="1FB206C9"/>
    <w:rsid w:val="1FB9F65D"/>
    <w:rsid w:val="1FC259C0"/>
    <w:rsid w:val="1FC2D721"/>
    <w:rsid w:val="1FC30787"/>
    <w:rsid w:val="1FC4F85D"/>
    <w:rsid w:val="1FC5BBF1"/>
    <w:rsid w:val="1FC7AE99"/>
    <w:rsid w:val="1FC91AE8"/>
    <w:rsid w:val="1FD05941"/>
    <w:rsid w:val="1FD095DF"/>
    <w:rsid w:val="1FD0B43B"/>
    <w:rsid w:val="1FD47826"/>
    <w:rsid w:val="1FD80BF5"/>
    <w:rsid w:val="1FD9A301"/>
    <w:rsid w:val="1FD9CF20"/>
    <w:rsid w:val="1FDF36B4"/>
    <w:rsid w:val="1FE0A558"/>
    <w:rsid w:val="1FE6DB76"/>
    <w:rsid w:val="1FE8090E"/>
    <w:rsid w:val="1FE9EF67"/>
    <w:rsid w:val="1FEB575C"/>
    <w:rsid w:val="1FFBB138"/>
    <w:rsid w:val="1FFD4643"/>
    <w:rsid w:val="200B5213"/>
    <w:rsid w:val="200B8327"/>
    <w:rsid w:val="200C3F46"/>
    <w:rsid w:val="200EC57B"/>
    <w:rsid w:val="20116CE3"/>
    <w:rsid w:val="201ECAD1"/>
    <w:rsid w:val="20236A31"/>
    <w:rsid w:val="202BA53F"/>
    <w:rsid w:val="2031FDEA"/>
    <w:rsid w:val="203462CA"/>
    <w:rsid w:val="20373106"/>
    <w:rsid w:val="203750B5"/>
    <w:rsid w:val="20387A94"/>
    <w:rsid w:val="2043770E"/>
    <w:rsid w:val="2049266F"/>
    <w:rsid w:val="2056C428"/>
    <w:rsid w:val="20574DD3"/>
    <w:rsid w:val="205D840C"/>
    <w:rsid w:val="20656125"/>
    <w:rsid w:val="2076D763"/>
    <w:rsid w:val="2082A1B9"/>
    <w:rsid w:val="20840724"/>
    <w:rsid w:val="2093BAEF"/>
    <w:rsid w:val="20949942"/>
    <w:rsid w:val="209A3AF2"/>
    <w:rsid w:val="209B7CD5"/>
    <w:rsid w:val="209C14ED"/>
    <w:rsid w:val="20A3A6FC"/>
    <w:rsid w:val="20A73C4A"/>
    <w:rsid w:val="20AC39F8"/>
    <w:rsid w:val="20AEC41D"/>
    <w:rsid w:val="20B79A6A"/>
    <w:rsid w:val="20C01AFA"/>
    <w:rsid w:val="20C06045"/>
    <w:rsid w:val="20C73AF5"/>
    <w:rsid w:val="20CDE6B0"/>
    <w:rsid w:val="20D430FC"/>
    <w:rsid w:val="20DDCA07"/>
    <w:rsid w:val="20DF9FA1"/>
    <w:rsid w:val="20E445AC"/>
    <w:rsid w:val="20E8722F"/>
    <w:rsid w:val="20E8BE12"/>
    <w:rsid w:val="20E8E32E"/>
    <w:rsid w:val="20EFB432"/>
    <w:rsid w:val="2103B637"/>
    <w:rsid w:val="21062ACC"/>
    <w:rsid w:val="21076FFE"/>
    <w:rsid w:val="21099588"/>
    <w:rsid w:val="21104F1A"/>
    <w:rsid w:val="211E6CED"/>
    <w:rsid w:val="212131E5"/>
    <w:rsid w:val="21248F6D"/>
    <w:rsid w:val="21268DD8"/>
    <w:rsid w:val="21305FB3"/>
    <w:rsid w:val="2131F026"/>
    <w:rsid w:val="213999A3"/>
    <w:rsid w:val="213CF2BC"/>
    <w:rsid w:val="21435D22"/>
    <w:rsid w:val="21461118"/>
    <w:rsid w:val="2155E311"/>
    <w:rsid w:val="21575B50"/>
    <w:rsid w:val="215BC09A"/>
    <w:rsid w:val="21604011"/>
    <w:rsid w:val="2160FFD7"/>
    <w:rsid w:val="216552B1"/>
    <w:rsid w:val="217099D9"/>
    <w:rsid w:val="2176D37B"/>
    <w:rsid w:val="2176FEF3"/>
    <w:rsid w:val="217908A9"/>
    <w:rsid w:val="217AC0EC"/>
    <w:rsid w:val="21801808"/>
    <w:rsid w:val="2180D733"/>
    <w:rsid w:val="2185BA3B"/>
    <w:rsid w:val="218CA7FD"/>
    <w:rsid w:val="218CBD3D"/>
    <w:rsid w:val="219C61AE"/>
    <w:rsid w:val="21A4934E"/>
    <w:rsid w:val="21A56E6D"/>
    <w:rsid w:val="21A6DEBB"/>
    <w:rsid w:val="21A6ECE0"/>
    <w:rsid w:val="21B120B6"/>
    <w:rsid w:val="21B9FFCB"/>
    <w:rsid w:val="21BCD978"/>
    <w:rsid w:val="21C2EE9F"/>
    <w:rsid w:val="21CEB98E"/>
    <w:rsid w:val="21D049E7"/>
    <w:rsid w:val="21D4D75D"/>
    <w:rsid w:val="21D7B446"/>
    <w:rsid w:val="21DC511D"/>
    <w:rsid w:val="21E0ADD4"/>
    <w:rsid w:val="21E15B62"/>
    <w:rsid w:val="21E624BA"/>
    <w:rsid w:val="21EFB441"/>
    <w:rsid w:val="21F4A78E"/>
    <w:rsid w:val="21FA42A8"/>
    <w:rsid w:val="21FA6B9B"/>
    <w:rsid w:val="22103322"/>
    <w:rsid w:val="2216BCB4"/>
    <w:rsid w:val="221C7D4B"/>
    <w:rsid w:val="221D1D61"/>
    <w:rsid w:val="22200EE0"/>
    <w:rsid w:val="222084F3"/>
    <w:rsid w:val="2222CBA3"/>
    <w:rsid w:val="222FF79A"/>
    <w:rsid w:val="22367A2C"/>
    <w:rsid w:val="223A04E7"/>
    <w:rsid w:val="2240AF90"/>
    <w:rsid w:val="2252BC9A"/>
    <w:rsid w:val="225A71D6"/>
    <w:rsid w:val="22627612"/>
    <w:rsid w:val="2267DD15"/>
    <w:rsid w:val="2272BDE6"/>
    <w:rsid w:val="2275C800"/>
    <w:rsid w:val="227A563D"/>
    <w:rsid w:val="228025D7"/>
    <w:rsid w:val="2282E6F7"/>
    <w:rsid w:val="2282F5C4"/>
    <w:rsid w:val="228307F1"/>
    <w:rsid w:val="228755AF"/>
    <w:rsid w:val="228875D2"/>
    <w:rsid w:val="228F8B76"/>
    <w:rsid w:val="22A0468D"/>
    <w:rsid w:val="22A55429"/>
    <w:rsid w:val="22B63861"/>
    <w:rsid w:val="22BE15B5"/>
    <w:rsid w:val="22BFCE8E"/>
    <w:rsid w:val="22C9E910"/>
    <w:rsid w:val="22CC5626"/>
    <w:rsid w:val="22CC6D25"/>
    <w:rsid w:val="22CE061A"/>
    <w:rsid w:val="22E0D4DC"/>
    <w:rsid w:val="22E414B5"/>
    <w:rsid w:val="22E83CD2"/>
    <w:rsid w:val="22EB5030"/>
    <w:rsid w:val="22FCF963"/>
    <w:rsid w:val="22FDF3B5"/>
    <w:rsid w:val="22FEFC09"/>
    <w:rsid w:val="230C753E"/>
    <w:rsid w:val="230EA07A"/>
    <w:rsid w:val="2321CDCF"/>
    <w:rsid w:val="2323E22B"/>
    <w:rsid w:val="232C978D"/>
    <w:rsid w:val="232D4F7A"/>
    <w:rsid w:val="23339794"/>
    <w:rsid w:val="233579CA"/>
    <w:rsid w:val="2338E136"/>
    <w:rsid w:val="23396B64"/>
    <w:rsid w:val="233A3F7B"/>
    <w:rsid w:val="233C8971"/>
    <w:rsid w:val="23459B2E"/>
    <w:rsid w:val="234915D0"/>
    <w:rsid w:val="235B268D"/>
    <w:rsid w:val="235D6196"/>
    <w:rsid w:val="235F804A"/>
    <w:rsid w:val="23643F69"/>
    <w:rsid w:val="2368775B"/>
    <w:rsid w:val="236FEFCA"/>
    <w:rsid w:val="23742854"/>
    <w:rsid w:val="2379BC53"/>
    <w:rsid w:val="237A4489"/>
    <w:rsid w:val="237C6F5B"/>
    <w:rsid w:val="23804CA9"/>
    <w:rsid w:val="23865519"/>
    <w:rsid w:val="238A65F1"/>
    <w:rsid w:val="238E3400"/>
    <w:rsid w:val="23904C9E"/>
    <w:rsid w:val="2390F4CC"/>
    <w:rsid w:val="2392DEE4"/>
    <w:rsid w:val="23931516"/>
    <w:rsid w:val="23A189A2"/>
    <w:rsid w:val="23A6D232"/>
    <w:rsid w:val="23AC1264"/>
    <w:rsid w:val="23AF363A"/>
    <w:rsid w:val="23B18837"/>
    <w:rsid w:val="23B18A7E"/>
    <w:rsid w:val="23B45B00"/>
    <w:rsid w:val="23C32905"/>
    <w:rsid w:val="23C63C4A"/>
    <w:rsid w:val="23C96783"/>
    <w:rsid w:val="23CBFCEB"/>
    <w:rsid w:val="23CDA4AE"/>
    <w:rsid w:val="23CEAD18"/>
    <w:rsid w:val="23D25C22"/>
    <w:rsid w:val="23D274C4"/>
    <w:rsid w:val="23D63029"/>
    <w:rsid w:val="23D8A931"/>
    <w:rsid w:val="23DF9981"/>
    <w:rsid w:val="23DFEBE3"/>
    <w:rsid w:val="23E04FDD"/>
    <w:rsid w:val="23E6A89B"/>
    <w:rsid w:val="23ED7D57"/>
    <w:rsid w:val="23F24CAD"/>
    <w:rsid w:val="23F50239"/>
    <w:rsid w:val="23F705D5"/>
    <w:rsid w:val="23FAE73C"/>
    <w:rsid w:val="23FBC039"/>
    <w:rsid w:val="23FFA778"/>
    <w:rsid w:val="2402FC51"/>
    <w:rsid w:val="240AA433"/>
    <w:rsid w:val="240BC54B"/>
    <w:rsid w:val="240D6EED"/>
    <w:rsid w:val="240E244F"/>
    <w:rsid w:val="241512B9"/>
    <w:rsid w:val="24182F0A"/>
    <w:rsid w:val="241B9F8A"/>
    <w:rsid w:val="241BC6CE"/>
    <w:rsid w:val="241EBBBA"/>
    <w:rsid w:val="2424F1C6"/>
    <w:rsid w:val="24263117"/>
    <w:rsid w:val="2428C4F4"/>
    <w:rsid w:val="243177F3"/>
    <w:rsid w:val="2434FDFD"/>
    <w:rsid w:val="2439D5E8"/>
    <w:rsid w:val="243EE62B"/>
    <w:rsid w:val="24408F97"/>
    <w:rsid w:val="2440AA9C"/>
    <w:rsid w:val="2442D3AC"/>
    <w:rsid w:val="244647BA"/>
    <w:rsid w:val="244B1B83"/>
    <w:rsid w:val="244CEE88"/>
    <w:rsid w:val="244FD076"/>
    <w:rsid w:val="24516C2B"/>
    <w:rsid w:val="245DE887"/>
    <w:rsid w:val="24602C2C"/>
    <w:rsid w:val="2461E927"/>
    <w:rsid w:val="2465020B"/>
    <w:rsid w:val="2468C9EE"/>
    <w:rsid w:val="246CF67E"/>
    <w:rsid w:val="24745E0F"/>
    <w:rsid w:val="2478AB42"/>
    <w:rsid w:val="24841B74"/>
    <w:rsid w:val="248732DA"/>
    <w:rsid w:val="2488BD7E"/>
    <w:rsid w:val="2497DFAA"/>
    <w:rsid w:val="24992362"/>
    <w:rsid w:val="249CAB7F"/>
    <w:rsid w:val="249E9621"/>
    <w:rsid w:val="24A6A2E5"/>
    <w:rsid w:val="24ABBA7D"/>
    <w:rsid w:val="24B4F0AD"/>
    <w:rsid w:val="24C8E28D"/>
    <w:rsid w:val="24C911CA"/>
    <w:rsid w:val="24CF0487"/>
    <w:rsid w:val="24D2FC09"/>
    <w:rsid w:val="24D7A6F0"/>
    <w:rsid w:val="24D83AD6"/>
    <w:rsid w:val="24D93D9B"/>
    <w:rsid w:val="24E089F8"/>
    <w:rsid w:val="24F18EF5"/>
    <w:rsid w:val="24F41090"/>
    <w:rsid w:val="24F43E32"/>
    <w:rsid w:val="24F62773"/>
    <w:rsid w:val="24F64AED"/>
    <w:rsid w:val="24F74423"/>
    <w:rsid w:val="24F7CF1F"/>
    <w:rsid w:val="24FA0BA6"/>
    <w:rsid w:val="25011ABB"/>
    <w:rsid w:val="2502E9BE"/>
    <w:rsid w:val="25143601"/>
    <w:rsid w:val="2515FC5B"/>
    <w:rsid w:val="251BD452"/>
    <w:rsid w:val="251F6368"/>
    <w:rsid w:val="2520CC3A"/>
    <w:rsid w:val="252EE6B9"/>
    <w:rsid w:val="25353C70"/>
    <w:rsid w:val="253E70B7"/>
    <w:rsid w:val="2540C7E8"/>
    <w:rsid w:val="2542DAD7"/>
    <w:rsid w:val="2546CC6E"/>
    <w:rsid w:val="2548E381"/>
    <w:rsid w:val="254AAB95"/>
    <w:rsid w:val="25563AA4"/>
    <w:rsid w:val="25622F89"/>
    <w:rsid w:val="256B571C"/>
    <w:rsid w:val="256DC082"/>
    <w:rsid w:val="256FADF7"/>
    <w:rsid w:val="2570AF02"/>
    <w:rsid w:val="2572EB44"/>
    <w:rsid w:val="257C2018"/>
    <w:rsid w:val="25865FB8"/>
    <w:rsid w:val="2589B462"/>
    <w:rsid w:val="2589E510"/>
    <w:rsid w:val="258A13C4"/>
    <w:rsid w:val="259E274A"/>
    <w:rsid w:val="25AB1504"/>
    <w:rsid w:val="25B0D512"/>
    <w:rsid w:val="25C15105"/>
    <w:rsid w:val="25C95C53"/>
    <w:rsid w:val="25CE1486"/>
    <w:rsid w:val="25D465AA"/>
    <w:rsid w:val="25D4918E"/>
    <w:rsid w:val="25D81930"/>
    <w:rsid w:val="25DE7C8D"/>
    <w:rsid w:val="25E9D0B7"/>
    <w:rsid w:val="25EA61E8"/>
    <w:rsid w:val="25EBD3CB"/>
    <w:rsid w:val="25FC2B32"/>
    <w:rsid w:val="2607C662"/>
    <w:rsid w:val="2607F072"/>
    <w:rsid w:val="260B8F74"/>
    <w:rsid w:val="2613FB5C"/>
    <w:rsid w:val="2614235D"/>
    <w:rsid w:val="261804C3"/>
    <w:rsid w:val="2619DBF1"/>
    <w:rsid w:val="261BCCB4"/>
    <w:rsid w:val="261DCE4C"/>
    <w:rsid w:val="261F35F7"/>
    <w:rsid w:val="26245817"/>
    <w:rsid w:val="2632C13D"/>
    <w:rsid w:val="26336132"/>
    <w:rsid w:val="2633FF44"/>
    <w:rsid w:val="26398A24"/>
    <w:rsid w:val="26406FCB"/>
    <w:rsid w:val="2644C1AA"/>
    <w:rsid w:val="265C2234"/>
    <w:rsid w:val="2661E74A"/>
    <w:rsid w:val="266494F3"/>
    <w:rsid w:val="2666AE85"/>
    <w:rsid w:val="2667DDCE"/>
    <w:rsid w:val="266F2D2C"/>
    <w:rsid w:val="2672F4A3"/>
    <w:rsid w:val="267A27BF"/>
    <w:rsid w:val="267A6972"/>
    <w:rsid w:val="267D94BB"/>
    <w:rsid w:val="267E3E53"/>
    <w:rsid w:val="268235DA"/>
    <w:rsid w:val="26864AF6"/>
    <w:rsid w:val="2698C498"/>
    <w:rsid w:val="26A47906"/>
    <w:rsid w:val="26B7E836"/>
    <w:rsid w:val="26BC9B76"/>
    <w:rsid w:val="26BDFB03"/>
    <w:rsid w:val="26BEAAC2"/>
    <w:rsid w:val="26BEDAC2"/>
    <w:rsid w:val="26CB213E"/>
    <w:rsid w:val="26D8C396"/>
    <w:rsid w:val="26DEFFB4"/>
    <w:rsid w:val="26E552EC"/>
    <w:rsid w:val="26E92E79"/>
    <w:rsid w:val="26F9B965"/>
    <w:rsid w:val="26FF8A22"/>
    <w:rsid w:val="2706EE01"/>
    <w:rsid w:val="2715C23D"/>
    <w:rsid w:val="2715D364"/>
    <w:rsid w:val="2732BA44"/>
    <w:rsid w:val="273334B3"/>
    <w:rsid w:val="273DBC87"/>
    <w:rsid w:val="27433F13"/>
    <w:rsid w:val="2745ADF1"/>
    <w:rsid w:val="2746F18C"/>
    <w:rsid w:val="274B01B3"/>
    <w:rsid w:val="2755B760"/>
    <w:rsid w:val="2756C225"/>
    <w:rsid w:val="27573D10"/>
    <w:rsid w:val="275C9D81"/>
    <w:rsid w:val="2766AB12"/>
    <w:rsid w:val="27686F81"/>
    <w:rsid w:val="276BF205"/>
    <w:rsid w:val="276E299E"/>
    <w:rsid w:val="277165CD"/>
    <w:rsid w:val="27756E8E"/>
    <w:rsid w:val="277E99E3"/>
    <w:rsid w:val="277F0BD5"/>
    <w:rsid w:val="27893DD5"/>
    <w:rsid w:val="278A6278"/>
    <w:rsid w:val="27985254"/>
    <w:rsid w:val="27AF2C6F"/>
    <w:rsid w:val="27B738B5"/>
    <w:rsid w:val="27B89709"/>
    <w:rsid w:val="27BA5395"/>
    <w:rsid w:val="27BA8A54"/>
    <w:rsid w:val="27BEA8E4"/>
    <w:rsid w:val="27BFF873"/>
    <w:rsid w:val="27CBB35A"/>
    <w:rsid w:val="27D39220"/>
    <w:rsid w:val="27D44CEF"/>
    <w:rsid w:val="27DA72DA"/>
    <w:rsid w:val="27E87A9F"/>
    <w:rsid w:val="27EEC410"/>
    <w:rsid w:val="27F2F6EB"/>
    <w:rsid w:val="27F49A41"/>
    <w:rsid w:val="27F4AE0B"/>
    <w:rsid w:val="27F71E0E"/>
    <w:rsid w:val="27F999F5"/>
    <w:rsid w:val="27FB5D49"/>
    <w:rsid w:val="280109B5"/>
    <w:rsid w:val="280130A7"/>
    <w:rsid w:val="2802375F"/>
    <w:rsid w:val="28099659"/>
    <w:rsid w:val="280A2FF8"/>
    <w:rsid w:val="280BB546"/>
    <w:rsid w:val="28112727"/>
    <w:rsid w:val="281760CD"/>
    <w:rsid w:val="28278FC1"/>
    <w:rsid w:val="28284B45"/>
    <w:rsid w:val="2828C692"/>
    <w:rsid w:val="282D164E"/>
    <w:rsid w:val="28313337"/>
    <w:rsid w:val="28315029"/>
    <w:rsid w:val="2832FE0B"/>
    <w:rsid w:val="28499290"/>
    <w:rsid w:val="284EC735"/>
    <w:rsid w:val="285F1503"/>
    <w:rsid w:val="286B88DF"/>
    <w:rsid w:val="2871C972"/>
    <w:rsid w:val="2879BED2"/>
    <w:rsid w:val="28814D89"/>
    <w:rsid w:val="28824AF7"/>
    <w:rsid w:val="2887B8D1"/>
    <w:rsid w:val="2893DC3B"/>
    <w:rsid w:val="2895F3C6"/>
    <w:rsid w:val="28990AE0"/>
    <w:rsid w:val="28A06023"/>
    <w:rsid w:val="28A2193D"/>
    <w:rsid w:val="28AB76C8"/>
    <w:rsid w:val="28B4DE81"/>
    <w:rsid w:val="28B5E1EB"/>
    <w:rsid w:val="28BD6EC5"/>
    <w:rsid w:val="28BDA61D"/>
    <w:rsid w:val="28C5D0EE"/>
    <w:rsid w:val="28D129AA"/>
    <w:rsid w:val="28D687CF"/>
    <w:rsid w:val="28DB2FDB"/>
    <w:rsid w:val="28DFC039"/>
    <w:rsid w:val="28E0E532"/>
    <w:rsid w:val="28E114A2"/>
    <w:rsid w:val="28E1467D"/>
    <w:rsid w:val="28F3B701"/>
    <w:rsid w:val="28F6197A"/>
    <w:rsid w:val="28FB3E06"/>
    <w:rsid w:val="29038248"/>
    <w:rsid w:val="290F06B0"/>
    <w:rsid w:val="291233CA"/>
    <w:rsid w:val="291E6DB3"/>
    <w:rsid w:val="2925DE9C"/>
    <w:rsid w:val="292BA28B"/>
    <w:rsid w:val="293A924C"/>
    <w:rsid w:val="293E4ACC"/>
    <w:rsid w:val="293F6346"/>
    <w:rsid w:val="294CF364"/>
    <w:rsid w:val="294EC72B"/>
    <w:rsid w:val="29506FE3"/>
    <w:rsid w:val="295B6628"/>
    <w:rsid w:val="296580D3"/>
    <w:rsid w:val="296955A4"/>
    <w:rsid w:val="296D62D9"/>
    <w:rsid w:val="296F29A1"/>
    <w:rsid w:val="2970D465"/>
    <w:rsid w:val="29772B69"/>
    <w:rsid w:val="29789DDB"/>
    <w:rsid w:val="29866282"/>
    <w:rsid w:val="298CDA69"/>
    <w:rsid w:val="298F5055"/>
    <w:rsid w:val="29929BDB"/>
    <w:rsid w:val="29935896"/>
    <w:rsid w:val="299AA5AB"/>
    <w:rsid w:val="299BE845"/>
    <w:rsid w:val="29A6436D"/>
    <w:rsid w:val="29AABFE5"/>
    <w:rsid w:val="29B17718"/>
    <w:rsid w:val="29BEFE41"/>
    <w:rsid w:val="29C21CA7"/>
    <w:rsid w:val="29C587D0"/>
    <w:rsid w:val="29CA9D86"/>
    <w:rsid w:val="29D336D6"/>
    <w:rsid w:val="29D3F7C0"/>
    <w:rsid w:val="29DA28B4"/>
    <w:rsid w:val="29DA6EB2"/>
    <w:rsid w:val="29E36C1E"/>
    <w:rsid w:val="29EF346E"/>
    <w:rsid w:val="29F3AFDD"/>
    <w:rsid w:val="29F3E1DA"/>
    <w:rsid w:val="29F5A90B"/>
    <w:rsid w:val="29FCBCD5"/>
    <w:rsid w:val="2A0D07A9"/>
    <w:rsid w:val="2A10424F"/>
    <w:rsid w:val="2A12B073"/>
    <w:rsid w:val="2A1670AA"/>
    <w:rsid w:val="2A175816"/>
    <w:rsid w:val="2A1987AD"/>
    <w:rsid w:val="2A1AB8BA"/>
    <w:rsid w:val="2A1AE851"/>
    <w:rsid w:val="2A21D28C"/>
    <w:rsid w:val="2A25903B"/>
    <w:rsid w:val="2A2D861A"/>
    <w:rsid w:val="2A2F13FE"/>
    <w:rsid w:val="2A300A57"/>
    <w:rsid w:val="2A47CDD8"/>
    <w:rsid w:val="2A4978F4"/>
    <w:rsid w:val="2A4FB4F1"/>
    <w:rsid w:val="2A4FE6BF"/>
    <w:rsid w:val="2A528A04"/>
    <w:rsid w:val="2A61317C"/>
    <w:rsid w:val="2A617984"/>
    <w:rsid w:val="2A61F96F"/>
    <w:rsid w:val="2A6A5891"/>
    <w:rsid w:val="2A6B2722"/>
    <w:rsid w:val="2A744229"/>
    <w:rsid w:val="2A7B27F2"/>
    <w:rsid w:val="2A8F04B6"/>
    <w:rsid w:val="2A94521E"/>
    <w:rsid w:val="2A95D5AA"/>
    <w:rsid w:val="2A9D9E73"/>
    <w:rsid w:val="2AA48B97"/>
    <w:rsid w:val="2AA70F72"/>
    <w:rsid w:val="2AA8F0B2"/>
    <w:rsid w:val="2AB097E0"/>
    <w:rsid w:val="2AB82F7E"/>
    <w:rsid w:val="2ABD9B9D"/>
    <w:rsid w:val="2AC4838B"/>
    <w:rsid w:val="2AC6BADE"/>
    <w:rsid w:val="2AC6F03F"/>
    <w:rsid w:val="2ACAACB6"/>
    <w:rsid w:val="2AD2F16F"/>
    <w:rsid w:val="2ADCFFF4"/>
    <w:rsid w:val="2AE37245"/>
    <w:rsid w:val="2AE686E1"/>
    <w:rsid w:val="2AEBFC76"/>
    <w:rsid w:val="2AF57674"/>
    <w:rsid w:val="2AF7EF45"/>
    <w:rsid w:val="2AFE4454"/>
    <w:rsid w:val="2B02A47B"/>
    <w:rsid w:val="2B02CC9D"/>
    <w:rsid w:val="2B07D478"/>
    <w:rsid w:val="2B083177"/>
    <w:rsid w:val="2B1C79DD"/>
    <w:rsid w:val="2B211C20"/>
    <w:rsid w:val="2B24BCD6"/>
    <w:rsid w:val="2B2FA799"/>
    <w:rsid w:val="2B31C8E8"/>
    <w:rsid w:val="2B37F393"/>
    <w:rsid w:val="2B3DED79"/>
    <w:rsid w:val="2B4497E2"/>
    <w:rsid w:val="2B4D1089"/>
    <w:rsid w:val="2B4EAA73"/>
    <w:rsid w:val="2B573608"/>
    <w:rsid w:val="2B5CD44E"/>
    <w:rsid w:val="2B5DDE9F"/>
    <w:rsid w:val="2B66521D"/>
    <w:rsid w:val="2B70C44D"/>
    <w:rsid w:val="2B7D1A12"/>
    <w:rsid w:val="2B8435B3"/>
    <w:rsid w:val="2B95DF0A"/>
    <w:rsid w:val="2B963C50"/>
    <w:rsid w:val="2B9C0050"/>
    <w:rsid w:val="2BB0EF31"/>
    <w:rsid w:val="2BB23E7D"/>
    <w:rsid w:val="2BB62C13"/>
    <w:rsid w:val="2BB9790C"/>
    <w:rsid w:val="2BBC9501"/>
    <w:rsid w:val="2BBCF421"/>
    <w:rsid w:val="2BC0ED1D"/>
    <w:rsid w:val="2BC7C4C6"/>
    <w:rsid w:val="2BCE44B0"/>
    <w:rsid w:val="2BCEA8F0"/>
    <w:rsid w:val="2BD76623"/>
    <w:rsid w:val="2BD94950"/>
    <w:rsid w:val="2BDEFFC7"/>
    <w:rsid w:val="2BE79440"/>
    <w:rsid w:val="2BE80E41"/>
    <w:rsid w:val="2BE8596D"/>
    <w:rsid w:val="2BE95C58"/>
    <w:rsid w:val="2BF52BAE"/>
    <w:rsid w:val="2C0A24BC"/>
    <w:rsid w:val="2C10CF30"/>
    <w:rsid w:val="2C10D7CF"/>
    <w:rsid w:val="2C129F02"/>
    <w:rsid w:val="2C145B49"/>
    <w:rsid w:val="2C1F6848"/>
    <w:rsid w:val="2C250E43"/>
    <w:rsid w:val="2C295CDF"/>
    <w:rsid w:val="2C2992CA"/>
    <w:rsid w:val="2C29987C"/>
    <w:rsid w:val="2C2C4872"/>
    <w:rsid w:val="2C2FF4AA"/>
    <w:rsid w:val="2C3418D8"/>
    <w:rsid w:val="2C38F5A3"/>
    <w:rsid w:val="2C3E1C18"/>
    <w:rsid w:val="2C3EE041"/>
    <w:rsid w:val="2C419AAA"/>
    <w:rsid w:val="2C425EF4"/>
    <w:rsid w:val="2C4AD740"/>
    <w:rsid w:val="2C4F5019"/>
    <w:rsid w:val="2C560613"/>
    <w:rsid w:val="2C5E3BC8"/>
    <w:rsid w:val="2C691941"/>
    <w:rsid w:val="2C702066"/>
    <w:rsid w:val="2C75F990"/>
    <w:rsid w:val="2C76A002"/>
    <w:rsid w:val="2C7E0F14"/>
    <w:rsid w:val="2C7FF0BA"/>
    <w:rsid w:val="2C816D28"/>
    <w:rsid w:val="2C8876D2"/>
    <w:rsid w:val="2C8D0452"/>
    <w:rsid w:val="2C8E8AD8"/>
    <w:rsid w:val="2C8ED5B6"/>
    <w:rsid w:val="2C8EFAE5"/>
    <w:rsid w:val="2C8F6885"/>
    <w:rsid w:val="2C94EE12"/>
    <w:rsid w:val="2C95F696"/>
    <w:rsid w:val="2C9AEAF1"/>
    <w:rsid w:val="2CAC448F"/>
    <w:rsid w:val="2CAF67A9"/>
    <w:rsid w:val="2CB2AA83"/>
    <w:rsid w:val="2CBA7B97"/>
    <w:rsid w:val="2CC5DC67"/>
    <w:rsid w:val="2CD96779"/>
    <w:rsid w:val="2CDA3D93"/>
    <w:rsid w:val="2CDF8608"/>
    <w:rsid w:val="2CEE371E"/>
    <w:rsid w:val="2CF7B5B9"/>
    <w:rsid w:val="2D021413"/>
    <w:rsid w:val="2D0E15AC"/>
    <w:rsid w:val="2D0F571F"/>
    <w:rsid w:val="2D110050"/>
    <w:rsid w:val="2D17CEE4"/>
    <w:rsid w:val="2D269B50"/>
    <w:rsid w:val="2D37F0D5"/>
    <w:rsid w:val="2D38406F"/>
    <w:rsid w:val="2D3B939C"/>
    <w:rsid w:val="2D41AEA6"/>
    <w:rsid w:val="2D4488DA"/>
    <w:rsid w:val="2D4CF8B8"/>
    <w:rsid w:val="2D5F6E50"/>
    <w:rsid w:val="2D63ACCC"/>
    <w:rsid w:val="2D6BD81F"/>
    <w:rsid w:val="2D6E143A"/>
    <w:rsid w:val="2D70BC40"/>
    <w:rsid w:val="2D71847B"/>
    <w:rsid w:val="2D79720F"/>
    <w:rsid w:val="2D82D3E1"/>
    <w:rsid w:val="2D83182A"/>
    <w:rsid w:val="2D88CA1C"/>
    <w:rsid w:val="2D8D644F"/>
    <w:rsid w:val="2D917772"/>
    <w:rsid w:val="2D984EBD"/>
    <w:rsid w:val="2D9AA078"/>
    <w:rsid w:val="2D9B731B"/>
    <w:rsid w:val="2DA791A3"/>
    <w:rsid w:val="2DA8D595"/>
    <w:rsid w:val="2DB1B4A7"/>
    <w:rsid w:val="2DB93236"/>
    <w:rsid w:val="2DC15EBE"/>
    <w:rsid w:val="2DC49DE4"/>
    <w:rsid w:val="2DC5F8D2"/>
    <w:rsid w:val="2DC79B16"/>
    <w:rsid w:val="2DC882CF"/>
    <w:rsid w:val="2DC91182"/>
    <w:rsid w:val="2DCE04D6"/>
    <w:rsid w:val="2DCE5A2A"/>
    <w:rsid w:val="2DD0BBC5"/>
    <w:rsid w:val="2DD73803"/>
    <w:rsid w:val="2DDE1BA3"/>
    <w:rsid w:val="2DF9830C"/>
    <w:rsid w:val="2DFE5457"/>
    <w:rsid w:val="2E050D89"/>
    <w:rsid w:val="2E094BE6"/>
    <w:rsid w:val="2E2065C7"/>
    <w:rsid w:val="2E2BC64C"/>
    <w:rsid w:val="2E2DE108"/>
    <w:rsid w:val="2E31FF04"/>
    <w:rsid w:val="2E3A0EEF"/>
    <w:rsid w:val="2E455BBE"/>
    <w:rsid w:val="2E504CAD"/>
    <w:rsid w:val="2E5AD942"/>
    <w:rsid w:val="2E601ABE"/>
    <w:rsid w:val="2E60CAF2"/>
    <w:rsid w:val="2E68337D"/>
    <w:rsid w:val="2E68553B"/>
    <w:rsid w:val="2E69AD88"/>
    <w:rsid w:val="2E77D601"/>
    <w:rsid w:val="2E79D112"/>
    <w:rsid w:val="2E8B3B5A"/>
    <w:rsid w:val="2E953A42"/>
    <w:rsid w:val="2E97D778"/>
    <w:rsid w:val="2E9B7036"/>
    <w:rsid w:val="2EACB075"/>
    <w:rsid w:val="2EAD00B8"/>
    <w:rsid w:val="2EAD9D59"/>
    <w:rsid w:val="2EADBCDC"/>
    <w:rsid w:val="2EADD34A"/>
    <w:rsid w:val="2EAE50DA"/>
    <w:rsid w:val="2EBF1DC8"/>
    <w:rsid w:val="2ECA57A6"/>
    <w:rsid w:val="2ECD832B"/>
    <w:rsid w:val="2ED06E9C"/>
    <w:rsid w:val="2ED95BE4"/>
    <w:rsid w:val="2EDC6864"/>
    <w:rsid w:val="2EDF3A7B"/>
    <w:rsid w:val="2EE2AF24"/>
    <w:rsid w:val="2EED85D3"/>
    <w:rsid w:val="2EF4E50B"/>
    <w:rsid w:val="2F09764E"/>
    <w:rsid w:val="2F2473F8"/>
    <w:rsid w:val="2F25CF6C"/>
    <w:rsid w:val="2F2C9033"/>
    <w:rsid w:val="2F3818D0"/>
    <w:rsid w:val="2F4256A9"/>
    <w:rsid w:val="2F458C06"/>
    <w:rsid w:val="2F4F9C71"/>
    <w:rsid w:val="2F527B33"/>
    <w:rsid w:val="2F566A1E"/>
    <w:rsid w:val="2F76859F"/>
    <w:rsid w:val="2F774D7A"/>
    <w:rsid w:val="2F779E76"/>
    <w:rsid w:val="2F8275B4"/>
    <w:rsid w:val="2F8AA3BF"/>
    <w:rsid w:val="2F8D374E"/>
    <w:rsid w:val="2F8DF1C3"/>
    <w:rsid w:val="2F91BFED"/>
    <w:rsid w:val="2FA394F3"/>
    <w:rsid w:val="2FA993B7"/>
    <w:rsid w:val="2FAC567C"/>
    <w:rsid w:val="2FAF73CA"/>
    <w:rsid w:val="2FBFA750"/>
    <w:rsid w:val="2FC52E7E"/>
    <w:rsid w:val="2FCC2D2E"/>
    <w:rsid w:val="2FD154DE"/>
    <w:rsid w:val="2FD4C17A"/>
    <w:rsid w:val="2FD55F16"/>
    <w:rsid w:val="2FE13FC0"/>
    <w:rsid w:val="2FEA22FD"/>
    <w:rsid w:val="2FF4F613"/>
    <w:rsid w:val="2FF661BC"/>
    <w:rsid w:val="2FFB03EA"/>
    <w:rsid w:val="2FFFF43A"/>
    <w:rsid w:val="3004DDB3"/>
    <w:rsid w:val="3007332B"/>
    <w:rsid w:val="300DAC09"/>
    <w:rsid w:val="3026A9C6"/>
    <w:rsid w:val="3026BECC"/>
    <w:rsid w:val="30330135"/>
    <w:rsid w:val="303429D5"/>
    <w:rsid w:val="3036838B"/>
    <w:rsid w:val="303D4E6A"/>
    <w:rsid w:val="3040E08E"/>
    <w:rsid w:val="3043A10B"/>
    <w:rsid w:val="30498B91"/>
    <w:rsid w:val="304D24F0"/>
    <w:rsid w:val="304E5C89"/>
    <w:rsid w:val="3056672B"/>
    <w:rsid w:val="30568C16"/>
    <w:rsid w:val="305728C1"/>
    <w:rsid w:val="306021E4"/>
    <w:rsid w:val="30699779"/>
    <w:rsid w:val="3071F47A"/>
    <w:rsid w:val="3073DF26"/>
    <w:rsid w:val="3081BF0F"/>
    <w:rsid w:val="3085DC1E"/>
    <w:rsid w:val="3088F6D7"/>
    <w:rsid w:val="30908C75"/>
    <w:rsid w:val="309953A6"/>
    <w:rsid w:val="30A3BC7C"/>
    <w:rsid w:val="30AD26B7"/>
    <w:rsid w:val="30B4A084"/>
    <w:rsid w:val="30B67097"/>
    <w:rsid w:val="30C86A0C"/>
    <w:rsid w:val="30D1B6CC"/>
    <w:rsid w:val="30ECF037"/>
    <w:rsid w:val="30FC9EF4"/>
    <w:rsid w:val="30FEA201"/>
    <w:rsid w:val="3105EFD7"/>
    <w:rsid w:val="310DE3EA"/>
    <w:rsid w:val="3112168B"/>
    <w:rsid w:val="31129E1D"/>
    <w:rsid w:val="3114968F"/>
    <w:rsid w:val="311D4996"/>
    <w:rsid w:val="312138C4"/>
    <w:rsid w:val="312142AF"/>
    <w:rsid w:val="31283752"/>
    <w:rsid w:val="312B6F5E"/>
    <w:rsid w:val="3130B0A5"/>
    <w:rsid w:val="3132EE92"/>
    <w:rsid w:val="313BCA7D"/>
    <w:rsid w:val="314A01FF"/>
    <w:rsid w:val="314B2EB8"/>
    <w:rsid w:val="314B7A0D"/>
    <w:rsid w:val="314C2E1D"/>
    <w:rsid w:val="314E858D"/>
    <w:rsid w:val="3152B322"/>
    <w:rsid w:val="315D8283"/>
    <w:rsid w:val="315FA587"/>
    <w:rsid w:val="3175EA87"/>
    <w:rsid w:val="317A172A"/>
    <w:rsid w:val="317E4657"/>
    <w:rsid w:val="317EF84F"/>
    <w:rsid w:val="31806EF5"/>
    <w:rsid w:val="3185826E"/>
    <w:rsid w:val="3187FA0A"/>
    <w:rsid w:val="318AAC37"/>
    <w:rsid w:val="31913DAF"/>
    <w:rsid w:val="31A5CD9B"/>
    <w:rsid w:val="31AB71CD"/>
    <w:rsid w:val="31B0FDAE"/>
    <w:rsid w:val="31BC3C3F"/>
    <w:rsid w:val="31BDA58F"/>
    <w:rsid w:val="31C4FB33"/>
    <w:rsid w:val="31CA6A83"/>
    <w:rsid w:val="31CBEC6B"/>
    <w:rsid w:val="31CE74D7"/>
    <w:rsid w:val="31D53A37"/>
    <w:rsid w:val="31D9A9C3"/>
    <w:rsid w:val="31DA1016"/>
    <w:rsid w:val="31E279B2"/>
    <w:rsid w:val="31E4E169"/>
    <w:rsid w:val="31EA5A64"/>
    <w:rsid w:val="31ECC71C"/>
    <w:rsid w:val="31F42357"/>
    <w:rsid w:val="31F6381B"/>
    <w:rsid w:val="32048000"/>
    <w:rsid w:val="32196CDA"/>
    <w:rsid w:val="321C7B86"/>
    <w:rsid w:val="321CC831"/>
    <w:rsid w:val="322C1460"/>
    <w:rsid w:val="322EB582"/>
    <w:rsid w:val="323179B3"/>
    <w:rsid w:val="3232C0E4"/>
    <w:rsid w:val="3236AD22"/>
    <w:rsid w:val="32430933"/>
    <w:rsid w:val="324EF82B"/>
    <w:rsid w:val="324FF783"/>
    <w:rsid w:val="3251B8BF"/>
    <w:rsid w:val="325CFC0F"/>
    <w:rsid w:val="326C4E8A"/>
    <w:rsid w:val="32724B54"/>
    <w:rsid w:val="3275F587"/>
    <w:rsid w:val="327C129F"/>
    <w:rsid w:val="3289DB9F"/>
    <w:rsid w:val="328A6ED0"/>
    <w:rsid w:val="328E4290"/>
    <w:rsid w:val="328E71FF"/>
    <w:rsid w:val="329605B8"/>
    <w:rsid w:val="3297A454"/>
    <w:rsid w:val="329AD0DF"/>
    <w:rsid w:val="329F3A87"/>
    <w:rsid w:val="32A00FEE"/>
    <w:rsid w:val="32A162AE"/>
    <w:rsid w:val="32A9027F"/>
    <w:rsid w:val="32AA7755"/>
    <w:rsid w:val="32B13198"/>
    <w:rsid w:val="32B3CCA9"/>
    <w:rsid w:val="32C7784A"/>
    <w:rsid w:val="32C78881"/>
    <w:rsid w:val="32CF44E6"/>
    <w:rsid w:val="32D651BA"/>
    <w:rsid w:val="32E4BADE"/>
    <w:rsid w:val="32EF78C1"/>
    <w:rsid w:val="32F629E6"/>
    <w:rsid w:val="3313B461"/>
    <w:rsid w:val="331C9BD7"/>
    <w:rsid w:val="332A1162"/>
    <w:rsid w:val="332A6AF0"/>
    <w:rsid w:val="332DC0EA"/>
    <w:rsid w:val="332FB037"/>
    <w:rsid w:val="333CD63E"/>
    <w:rsid w:val="3340C6DC"/>
    <w:rsid w:val="33430195"/>
    <w:rsid w:val="3347E1B1"/>
    <w:rsid w:val="33487392"/>
    <w:rsid w:val="33574C9F"/>
    <w:rsid w:val="335ECD66"/>
    <w:rsid w:val="336DA4E2"/>
    <w:rsid w:val="336F4A94"/>
    <w:rsid w:val="3371BA48"/>
    <w:rsid w:val="3373E1A4"/>
    <w:rsid w:val="3375AA79"/>
    <w:rsid w:val="337B34F9"/>
    <w:rsid w:val="337BA4B0"/>
    <w:rsid w:val="3380A6FC"/>
    <w:rsid w:val="338538A6"/>
    <w:rsid w:val="338DF06C"/>
    <w:rsid w:val="33A2C209"/>
    <w:rsid w:val="33A7BB96"/>
    <w:rsid w:val="33AC5844"/>
    <w:rsid w:val="33AFA02F"/>
    <w:rsid w:val="33BCD2BD"/>
    <w:rsid w:val="33C01C32"/>
    <w:rsid w:val="33C059A6"/>
    <w:rsid w:val="33DA0A7E"/>
    <w:rsid w:val="33DBC81B"/>
    <w:rsid w:val="33E76C58"/>
    <w:rsid w:val="33EA5525"/>
    <w:rsid w:val="33F2DE2D"/>
    <w:rsid w:val="33F89B5E"/>
    <w:rsid w:val="33FDE3F4"/>
    <w:rsid w:val="3400A511"/>
    <w:rsid w:val="3402596E"/>
    <w:rsid w:val="3403A026"/>
    <w:rsid w:val="340BD3B3"/>
    <w:rsid w:val="341051F6"/>
    <w:rsid w:val="34109B05"/>
    <w:rsid w:val="34133A95"/>
    <w:rsid w:val="342709F8"/>
    <w:rsid w:val="342E6B3C"/>
    <w:rsid w:val="3439B0F5"/>
    <w:rsid w:val="343A335E"/>
    <w:rsid w:val="343DC4AB"/>
    <w:rsid w:val="343E97EB"/>
    <w:rsid w:val="3440DC58"/>
    <w:rsid w:val="344ADD0C"/>
    <w:rsid w:val="345442A5"/>
    <w:rsid w:val="34549658"/>
    <w:rsid w:val="34556BD0"/>
    <w:rsid w:val="3456EF0B"/>
    <w:rsid w:val="3458A32B"/>
    <w:rsid w:val="345A3FA4"/>
    <w:rsid w:val="345C9A4F"/>
    <w:rsid w:val="34648ECE"/>
    <w:rsid w:val="34689556"/>
    <w:rsid w:val="346DDF65"/>
    <w:rsid w:val="34708FF0"/>
    <w:rsid w:val="34737C69"/>
    <w:rsid w:val="3482E5CE"/>
    <w:rsid w:val="3495E43B"/>
    <w:rsid w:val="349A5441"/>
    <w:rsid w:val="349B0E6A"/>
    <w:rsid w:val="34A2BCC6"/>
    <w:rsid w:val="34AB69DF"/>
    <w:rsid w:val="34AB706A"/>
    <w:rsid w:val="34B40136"/>
    <w:rsid w:val="34B7DC3E"/>
    <w:rsid w:val="34C04656"/>
    <w:rsid w:val="34C22E3B"/>
    <w:rsid w:val="34C9ED04"/>
    <w:rsid w:val="34CE5519"/>
    <w:rsid w:val="34D0E8FF"/>
    <w:rsid w:val="34D4AE2F"/>
    <w:rsid w:val="34E27A73"/>
    <w:rsid w:val="34E420DB"/>
    <w:rsid w:val="34ED3A34"/>
    <w:rsid w:val="34F42530"/>
    <w:rsid w:val="34F4E463"/>
    <w:rsid w:val="34FBC45C"/>
    <w:rsid w:val="34FD13AF"/>
    <w:rsid w:val="34FDCD76"/>
    <w:rsid w:val="350175D4"/>
    <w:rsid w:val="3507E779"/>
    <w:rsid w:val="350942E2"/>
    <w:rsid w:val="350B9687"/>
    <w:rsid w:val="350D1BBE"/>
    <w:rsid w:val="350D24ED"/>
    <w:rsid w:val="350EDDC3"/>
    <w:rsid w:val="3517EB59"/>
    <w:rsid w:val="3519EAF9"/>
    <w:rsid w:val="351CF982"/>
    <w:rsid w:val="351F92A5"/>
    <w:rsid w:val="35270698"/>
    <w:rsid w:val="3536F597"/>
    <w:rsid w:val="35399EA3"/>
    <w:rsid w:val="353B264D"/>
    <w:rsid w:val="353C77E2"/>
    <w:rsid w:val="353DB290"/>
    <w:rsid w:val="35421B83"/>
    <w:rsid w:val="35492B2F"/>
    <w:rsid w:val="35495500"/>
    <w:rsid w:val="354AAB2F"/>
    <w:rsid w:val="354C8854"/>
    <w:rsid w:val="355B5522"/>
    <w:rsid w:val="35624CE8"/>
    <w:rsid w:val="3564DBB6"/>
    <w:rsid w:val="3568DBED"/>
    <w:rsid w:val="3569F3AF"/>
    <w:rsid w:val="35732232"/>
    <w:rsid w:val="3576972D"/>
    <w:rsid w:val="357E64BC"/>
    <w:rsid w:val="358875B0"/>
    <w:rsid w:val="358BE722"/>
    <w:rsid w:val="359DC57E"/>
    <w:rsid w:val="359E0DAD"/>
    <w:rsid w:val="359F378D"/>
    <w:rsid w:val="35A46132"/>
    <w:rsid w:val="35B396A3"/>
    <w:rsid w:val="35BBBC49"/>
    <w:rsid w:val="35BCA191"/>
    <w:rsid w:val="35BF4C14"/>
    <w:rsid w:val="35C2501A"/>
    <w:rsid w:val="35C65F6B"/>
    <w:rsid w:val="35CF2230"/>
    <w:rsid w:val="35CF9149"/>
    <w:rsid w:val="35D65FCD"/>
    <w:rsid w:val="35E15583"/>
    <w:rsid w:val="35E25A59"/>
    <w:rsid w:val="35E4314B"/>
    <w:rsid w:val="35E47504"/>
    <w:rsid w:val="35EBDA9A"/>
    <w:rsid w:val="35F02FC5"/>
    <w:rsid w:val="36018C34"/>
    <w:rsid w:val="3601B1C7"/>
    <w:rsid w:val="3605E320"/>
    <w:rsid w:val="36071E1D"/>
    <w:rsid w:val="36129FDF"/>
    <w:rsid w:val="3613134C"/>
    <w:rsid w:val="36154A62"/>
    <w:rsid w:val="361D72F5"/>
    <w:rsid w:val="36210228"/>
    <w:rsid w:val="3622DF5E"/>
    <w:rsid w:val="362BEA07"/>
    <w:rsid w:val="362F66AA"/>
    <w:rsid w:val="36303664"/>
    <w:rsid w:val="363CCC7B"/>
    <w:rsid w:val="3641BCC3"/>
    <w:rsid w:val="3642D619"/>
    <w:rsid w:val="36638F63"/>
    <w:rsid w:val="367FA3C5"/>
    <w:rsid w:val="367FA9C3"/>
    <w:rsid w:val="3688FE74"/>
    <w:rsid w:val="3689C8BF"/>
    <w:rsid w:val="368FA836"/>
    <w:rsid w:val="368FCE0F"/>
    <w:rsid w:val="36977354"/>
    <w:rsid w:val="369A20F8"/>
    <w:rsid w:val="369A2864"/>
    <w:rsid w:val="36A1356D"/>
    <w:rsid w:val="36A15C0B"/>
    <w:rsid w:val="36A56128"/>
    <w:rsid w:val="36A66E49"/>
    <w:rsid w:val="36AF173C"/>
    <w:rsid w:val="36B0A258"/>
    <w:rsid w:val="36B13ECB"/>
    <w:rsid w:val="36B68627"/>
    <w:rsid w:val="36BC115B"/>
    <w:rsid w:val="36C2B592"/>
    <w:rsid w:val="36C32B69"/>
    <w:rsid w:val="36C41120"/>
    <w:rsid w:val="36C6A9AD"/>
    <w:rsid w:val="36C8A520"/>
    <w:rsid w:val="36C9A787"/>
    <w:rsid w:val="36CA9AC4"/>
    <w:rsid w:val="36D4E72A"/>
    <w:rsid w:val="36DC1EAC"/>
    <w:rsid w:val="36E3C2BA"/>
    <w:rsid w:val="36EABFD2"/>
    <w:rsid w:val="36EB874C"/>
    <w:rsid w:val="36F4AB36"/>
    <w:rsid w:val="36F7E6A4"/>
    <w:rsid w:val="36F8AF85"/>
    <w:rsid w:val="37011986"/>
    <w:rsid w:val="370426ED"/>
    <w:rsid w:val="3706BA05"/>
    <w:rsid w:val="3710A7E2"/>
    <w:rsid w:val="37116784"/>
    <w:rsid w:val="371D50F3"/>
    <w:rsid w:val="37257F8D"/>
    <w:rsid w:val="372955D8"/>
    <w:rsid w:val="372CAFE5"/>
    <w:rsid w:val="372CD3F6"/>
    <w:rsid w:val="372FE64D"/>
    <w:rsid w:val="37319A3E"/>
    <w:rsid w:val="37372549"/>
    <w:rsid w:val="37374F2A"/>
    <w:rsid w:val="3737D5C1"/>
    <w:rsid w:val="3743AA9B"/>
    <w:rsid w:val="3746EA3A"/>
    <w:rsid w:val="374C6331"/>
    <w:rsid w:val="375C1851"/>
    <w:rsid w:val="375CA5C9"/>
    <w:rsid w:val="37657BF5"/>
    <w:rsid w:val="37692EE4"/>
    <w:rsid w:val="37704585"/>
    <w:rsid w:val="3770776F"/>
    <w:rsid w:val="377A99F3"/>
    <w:rsid w:val="377D36AA"/>
    <w:rsid w:val="378641D9"/>
    <w:rsid w:val="3795BC14"/>
    <w:rsid w:val="37A2F501"/>
    <w:rsid w:val="37A58C79"/>
    <w:rsid w:val="37B14CCA"/>
    <w:rsid w:val="37B23D4F"/>
    <w:rsid w:val="37B3E25F"/>
    <w:rsid w:val="37B51B39"/>
    <w:rsid w:val="37C1BAEA"/>
    <w:rsid w:val="37C21567"/>
    <w:rsid w:val="37C54ADD"/>
    <w:rsid w:val="37C6D90D"/>
    <w:rsid w:val="37CD0348"/>
    <w:rsid w:val="37D48EEF"/>
    <w:rsid w:val="37DAA5DD"/>
    <w:rsid w:val="37DBD420"/>
    <w:rsid w:val="37DDB745"/>
    <w:rsid w:val="37EB3E20"/>
    <w:rsid w:val="37ECC4A2"/>
    <w:rsid w:val="37EDBEBD"/>
    <w:rsid w:val="37EFF252"/>
    <w:rsid w:val="37F2BC0B"/>
    <w:rsid w:val="37F5DE90"/>
    <w:rsid w:val="37FFA649"/>
    <w:rsid w:val="38007AF8"/>
    <w:rsid w:val="38049F60"/>
    <w:rsid w:val="3804B856"/>
    <w:rsid w:val="38056D99"/>
    <w:rsid w:val="380D9D35"/>
    <w:rsid w:val="381132F1"/>
    <w:rsid w:val="381D02ED"/>
    <w:rsid w:val="3832109A"/>
    <w:rsid w:val="384369E6"/>
    <w:rsid w:val="3846BE62"/>
    <w:rsid w:val="384AA32B"/>
    <w:rsid w:val="384DF8DD"/>
    <w:rsid w:val="384F4755"/>
    <w:rsid w:val="3850A32D"/>
    <w:rsid w:val="385278D9"/>
    <w:rsid w:val="3853FBDE"/>
    <w:rsid w:val="3855386B"/>
    <w:rsid w:val="3859F7D0"/>
    <w:rsid w:val="385A200C"/>
    <w:rsid w:val="385B5BBD"/>
    <w:rsid w:val="385F8BBB"/>
    <w:rsid w:val="386182C8"/>
    <w:rsid w:val="3861AF30"/>
    <w:rsid w:val="386EB2C5"/>
    <w:rsid w:val="3878D5F9"/>
    <w:rsid w:val="387B8389"/>
    <w:rsid w:val="387F99DD"/>
    <w:rsid w:val="38832B98"/>
    <w:rsid w:val="38836405"/>
    <w:rsid w:val="388547F0"/>
    <w:rsid w:val="3889DDB7"/>
    <w:rsid w:val="3899B4E1"/>
    <w:rsid w:val="389AB143"/>
    <w:rsid w:val="38AD7A56"/>
    <w:rsid w:val="38B38E12"/>
    <w:rsid w:val="38B56CEF"/>
    <w:rsid w:val="38C4D429"/>
    <w:rsid w:val="38C51E06"/>
    <w:rsid w:val="38CCB5F9"/>
    <w:rsid w:val="38CF33E2"/>
    <w:rsid w:val="38D26F08"/>
    <w:rsid w:val="38D2C0D0"/>
    <w:rsid w:val="38D90ACC"/>
    <w:rsid w:val="38DE920A"/>
    <w:rsid w:val="38F410EB"/>
    <w:rsid w:val="38F94790"/>
    <w:rsid w:val="38FE25AE"/>
    <w:rsid w:val="392C1AF3"/>
    <w:rsid w:val="392F8951"/>
    <w:rsid w:val="392FF06D"/>
    <w:rsid w:val="3935CDAD"/>
    <w:rsid w:val="393F0987"/>
    <w:rsid w:val="394017C8"/>
    <w:rsid w:val="3940F9D7"/>
    <w:rsid w:val="39442CC2"/>
    <w:rsid w:val="39443653"/>
    <w:rsid w:val="3950DFA4"/>
    <w:rsid w:val="3951E196"/>
    <w:rsid w:val="39552842"/>
    <w:rsid w:val="395E2304"/>
    <w:rsid w:val="39622252"/>
    <w:rsid w:val="39658A10"/>
    <w:rsid w:val="396B42B0"/>
    <w:rsid w:val="39746C4D"/>
    <w:rsid w:val="3976E73E"/>
    <w:rsid w:val="397A569A"/>
    <w:rsid w:val="3980742F"/>
    <w:rsid w:val="39858576"/>
    <w:rsid w:val="398C3013"/>
    <w:rsid w:val="398E643E"/>
    <w:rsid w:val="39943B38"/>
    <w:rsid w:val="3994E1FF"/>
    <w:rsid w:val="399609CD"/>
    <w:rsid w:val="39A06CAC"/>
    <w:rsid w:val="39A0E1B1"/>
    <w:rsid w:val="39A87153"/>
    <w:rsid w:val="39AC34FC"/>
    <w:rsid w:val="39AD4642"/>
    <w:rsid w:val="39CAD165"/>
    <w:rsid w:val="39CC6410"/>
    <w:rsid w:val="39CC77B9"/>
    <w:rsid w:val="39CFCE94"/>
    <w:rsid w:val="39D335F1"/>
    <w:rsid w:val="39D55C16"/>
    <w:rsid w:val="39D80980"/>
    <w:rsid w:val="39E0E9C7"/>
    <w:rsid w:val="39E59160"/>
    <w:rsid w:val="39EA4DA3"/>
    <w:rsid w:val="39EB54AF"/>
    <w:rsid w:val="39EEC8A8"/>
    <w:rsid w:val="39EFAAA2"/>
    <w:rsid w:val="39F5C304"/>
    <w:rsid w:val="39F64BA0"/>
    <w:rsid w:val="39F97BFD"/>
    <w:rsid w:val="39FDEDBE"/>
    <w:rsid w:val="3A02DCA2"/>
    <w:rsid w:val="3A1106F9"/>
    <w:rsid w:val="3A11DBB1"/>
    <w:rsid w:val="3A12B38F"/>
    <w:rsid w:val="3A1C4687"/>
    <w:rsid w:val="3A2587A7"/>
    <w:rsid w:val="3A26A7B0"/>
    <w:rsid w:val="3A2BCB1C"/>
    <w:rsid w:val="3A2C99A8"/>
    <w:rsid w:val="3A358057"/>
    <w:rsid w:val="3A35DC3E"/>
    <w:rsid w:val="3A371F94"/>
    <w:rsid w:val="3A38278C"/>
    <w:rsid w:val="3A3F18C3"/>
    <w:rsid w:val="3A3FD4AB"/>
    <w:rsid w:val="3A47DBCB"/>
    <w:rsid w:val="3A6476BD"/>
    <w:rsid w:val="3A782D77"/>
    <w:rsid w:val="3A78C32B"/>
    <w:rsid w:val="3A81DB41"/>
    <w:rsid w:val="3A8AA4C9"/>
    <w:rsid w:val="3A8BC42F"/>
    <w:rsid w:val="3A8C3C9F"/>
    <w:rsid w:val="3A8CFC88"/>
    <w:rsid w:val="3A8D2DD7"/>
    <w:rsid w:val="3A91CCDC"/>
    <w:rsid w:val="3A946DFD"/>
    <w:rsid w:val="3A95B40C"/>
    <w:rsid w:val="3A9F1602"/>
    <w:rsid w:val="3AA78C99"/>
    <w:rsid w:val="3AA976BB"/>
    <w:rsid w:val="3AAE0F11"/>
    <w:rsid w:val="3AB37976"/>
    <w:rsid w:val="3ABA0893"/>
    <w:rsid w:val="3ABB1B2E"/>
    <w:rsid w:val="3ABC7575"/>
    <w:rsid w:val="3ABF4BA5"/>
    <w:rsid w:val="3ABF86AE"/>
    <w:rsid w:val="3AC103C7"/>
    <w:rsid w:val="3AC1B3A2"/>
    <w:rsid w:val="3ACAC4CA"/>
    <w:rsid w:val="3ACC4423"/>
    <w:rsid w:val="3ACCAF74"/>
    <w:rsid w:val="3AD01ACD"/>
    <w:rsid w:val="3ADC67AB"/>
    <w:rsid w:val="3AE052EC"/>
    <w:rsid w:val="3AE91627"/>
    <w:rsid w:val="3AE922BC"/>
    <w:rsid w:val="3AF0EF28"/>
    <w:rsid w:val="3AF6414D"/>
    <w:rsid w:val="3AFAC220"/>
    <w:rsid w:val="3AFBCB53"/>
    <w:rsid w:val="3AFCBA54"/>
    <w:rsid w:val="3AFF86FD"/>
    <w:rsid w:val="3B05D852"/>
    <w:rsid w:val="3B0E1F3A"/>
    <w:rsid w:val="3B0F5BE6"/>
    <w:rsid w:val="3B140A23"/>
    <w:rsid w:val="3B17607F"/>
    <w:rsid w:val="3B1BC487"/>
    <w:rsid w:val="3B1E5CE6"/>
    <w:rsid w:val="3B1EB438"/>
    <w:rsid w:val="3B201476"/>
    <w:rsid w:val="3B22174B"/>
    <w:rsid w:val="3B223483"/>
    <w:rsid w:val="3B2509BD"/>
    <w:rsid w:val="3B2AAB35"/>
    <w:rsid w:val="3B51C56C"/>
    <w:rsid w:val="3B63ADFE"/>
    <w:rsid w:val="3B648C2E"/>
    <w:rsid w:val="3B66FD45"/>
    <w:rsid w:val="3B78E0F0"/>
    <w:rsid w:val="3B7966A0"/>
    <w:rsid w:val="3B7AEB01"/>
    <w:rsid w:val="3B7B2C0C"/>
    <w:rsid w:val="3B7F4645"/>
    <w:rsid w:val="3B82F968"/>
    <w:rsid w:val="3B85A8F7"/>
    <w:rsid w:val="3B8E34A9"/>
    <w:rsid w:val="3B9F09D5"/>
    <w:rsid w:val="3BA1025E"/>
    <w:rsid w:val="3BA2DC10"/>
    <w:rsid w:val="3BAA8F88"/>
    <w:rsid w:val="3BB9DEDB"/>
    <w:rsid w:val="3BCA801F"/>
    <w:rsid w:val="3BD02048"/>
    <w:rsid w:val="3BD54821"/>
    <w:rsid w:val="3BE02CB4"/>
    <w:rsid w:val="3BE8EE2A"/>
    <w:rsid w:val="3BF4EBB5"/>
    <w:rsid w:val="3BF8C2EA"/>
    <w:rsid w:val="3BFEF9F1"/>
    <w:rsid w:val="3C03D192"/>
    <w:rsid w:val="3C043DDC"/>
    <w:rsid w:val="3C056EF2"/>
    <w:rsid w:val="3C099A34"/>
    <w:rsid w:val="3C11CDAA"/>
    <w:rsid w:val="3C181FDD"/>
    <w:rsid w:val="3C18EEEB"/>
    <w:rsid w:val="3C1C5A25"/>
    <w:rsid w:val="3C1F3C30"/>
    <w:rsid w:val="3C216D47"/>
    <w:rsid w:val="3C22B8CF"/>
    <w:rsid w:val="3C27165C"/>
    <w:rsid w:val="3C2C87FD"/>
    <w:rsid w:val="3C2D84E0"/>
    <w:rsid w:val="3C35B9F7"/>
    <w:rsid w:val="3C3A66E4"/>
    <w:rsid w:val="3C3A9B26"/>
    <w:rsid w:val="3C437510"/>
    <w:rsid w:val="3C452E7E"/>
    <w:rsid w:val="3C465DFC"/>
    <w:rsid w:val="3C5050F0"/>
    <w:rsid w:val="3C520331"/>
    <w:rsid w:val="3C527A79"/>
    <w:rsid w:val="3C54B7DB"/>
    <w:rsid w:val="3C552BE6"/>
    <w:rsid w:val="3C57A4FB"/>
    <w:rsid w:val="3C5B7A34"/>
    <w:rsid w:val="3C5D4ED5"/>
    <w:rsid w:val="3C5DB647"/>
    <w:rsid w:val="3C5EBFD7"/>
    <w:rsid w:val="3C62565B"/>
    <w:rsid w:val="3C6B5EC0"/>
    <w:rsid w:val="3C766CC3"/>
    <w:rsid w:val="3C786388"/>
    <w:rsid w:val="3C7BC2FA"/>
    <w:rsid w:val="3C812104"/>
    <w:rsid w:val="3C815103"/>
    <w:rsid w:val="3C8C65DC"/>
    <w:rsid w:val="3C8DF9B9"/>
    <w:rsid w:val="3C927107"/>
    <w:rsid w:val="3C94729D"/>
    <w:rsid w:val="3C969D9D"/>
    <w:rsid w:val="3C9A98A2"/>
    <w:rsid w:val="3C9D610F"/>
    <w:rsid w:val="3CA06CB6"/>
    <w:rsid w:val="3CA62E58"/>
    <w:rsid w:val="3CA7F8EE"/>
    <w:rsid w:val="3CA975C3"/>
    <w:rsid w:val="3CB06F62"/>
    <w:rsid w:val="3CC35244"/>
    <w:rsid w:val="3CC65A77"/>
    <w:rsid w:val="3CCAFDAD"/>
    <w:rsid w:val="3CD51ACA"/>
    <w:rsid w:val="3CD7262C"/>
    <w:rsid w:val="3CD95605"/>
    <w:rsid w:val="3CDD32B4"/>
    <w:rsid w:val="3CDE9574"/>
    <w:rsid w:val="3CE385BA"/>
    <w:rsid w:val="3CE72975"/>
    <w:rsid w:val="3CE96888"/>
    <w:rsid w:val="3CF03997"/>
    <w:rsid w:val="3D01A3FA"/>
    <w:rsid w:val="3D0B47CF"/>
    <w:rsid w:val="3D1C0B1F"/>
    <w:rsid w:val="3D2095A1"/>
    <w:rsid w:val="3D2582C6"/>
    <w:rsid w:val="3D27F7B5"/>
    <w:rsid w:val="3D2852FC"/>
    <w:rsid w:val="3D28EEA7"/>
    <w:rsid w:val="3D291594"/>
    <w:rsid w:val="3D2C7CEF"/>
    <w:rsid w:val="3D2D13D9"/>
    <w:rsid w:val="3D32F136"/>
    <w:rsid w:val="3D3C50CF"/>
    <w:rsid w:val="3D42F164"/>
    <w:rsid w:val="3D43EC60"/>
    <w:rsid w:val="3D4954D0"/>
    <w:rsid w:val="3D5268E8"/>
    <w:rsid w:val="3D5AEDC3"/>
    <w:rsid w:val="3D625D68"/>
    <w:rsid w:val="3D63934B"/>
    <w:rsid w:val="3D6A3DC3"/>
    <w:rsid w:val="3D76EA64"/>
    <w:rsid w:val="3D7C285C"/>
    <w:rsid w:val="3D87CFEE"/>
    <w:rsid w:val="3D8FA92A"/>
    <w:rsid w:val="3D94A944"/>
    <w:rsid w:val="3D9B9BC9"/>
    <w:rsid w:val="3DA069B0"/>
    <w:rsid w:val="3DA5774C"/>
    <w:rsid w:val="3DA837B6"/>
    <w:rsid w:val="3DAFF4F8"/>
    <w:rsid w:val="3DB1E439"/>
    <w:rsid w:val="3DC381BD"/>
    <w:rsid w:val="3DCC4CDA"/>
    <w:rsid w:val="3DCE2CB0"/>
    <w:rsid w:val="3DDA5990"/>
    <w:rsid w:val="3DDB0A39"/>
    <w:rsid w:val="3DE14381"/>
    <w:rsid w:val="3DE73901"/>
    <w:rsid w:val="3DE9BF27"/>
    <w:rsid w:val="3DFB6E1E"/>
    <w:rsid w:val="3E059DF0"/>
    <w:rsid w:val="3E08AA73"/>
    <w:rsid w:val="3E0EA9A3"/>
    <w:rsid w:val="3E11C6E3"/>
    <w:rsid w:val="3E12C0F0"/>
    <w:rsid w:val="3E1B5F12"/>
    <w:rsid w:val="3E1E6567"/>
    <w:rsid w:val="3E20E47D"/>
    <w:rsid w:val="3E28D017"/>
    <w:rsid w:val="3E31CA37"/>
    <w:rsid w:val="3E32DDD4"/>
    <w:rsid w:val="3E35A694"/>
    <w:rsid w:val="3E35DC70"/>
    <w:rsid w:val="3E3CBBC2"/>
    <w:rsid w:val="3E41965E"/>
    <w:rsid w:val="3E47D388"/>
    <w:rsid w:val="3E5FBAF2"/>
    <w:rsid w:val="3E647F7F"/>
    <w:rsid w:val="3E6B1196"/>
    <w:rsid w:val="3E71AE84"/>
    <w:rsid w:val="3E77128B"/>
    <w:rsid w:val="3E78B575"/>
    <w:rsid w:val="3E7CCFCF"/>
    <w:rsid w:val="3E7F4C5B"/>
    <w:rsid w:val="3E805796"/>
    <w:rsid w:val="3E87A82D"/>
    <w:rsid w:val="3E92CA72"/>
    <w:rsid w:val="3E979F60"/>
    <w:rsid w:val="3E9DF91C"/>
    <w:rsid w:val="3EB76045"/>
    <w:rsid w:val="3EB7807D"/>
    <w:rsid w:val="3EBE0FBD"/>
    <w:rsid w:val="3EC1738C"/>
    <w:rsid w:val="3EC298F0"/>
    <w:rsid w:val="3ECAF1F9"/>
    <w:rsid w:val="3ECBED72"/>
    <w:rsid w:val="3EE3744A"/>
    <w:rsid w:val="3EE50158"/>
    <w:rsid w:val="3EF07238"/>
    <w:rsid w:val="3EFA9577"/>
    <w:rsid w:val="3EFFF73D"/>
    <w:rsid w:val="3F008D53"/>
    <w:rsid w:val="3F040CA8"/>
    <w:rsid w:val="3F0AB427"/>
    <w:rsid w:val="3F0EFF5E"/>
    <w:rsid w:val="3F276837"/>
    <w:rsid w:val="3F31FB29"/>
    <w:rsid w:val="3F350D69"/>
    <w:rsid w:val="3F354034"/>
    <w:rsid w:val="3F3907B7"/>
    <w:rsid w:val="3F391733"/>
    <w:rsid w:val="3F435A26"/>
    <w:rsid w:val="3F530B7F"/>
    <w:rsid w:val="3F620753"/>
    <w:rsid w:val="3F62DE54"/>
    <w:rsid w:val="3F63E788"/>
    <w:rsid w:val="3F6E0463"/>
    <w:rsid w:val="3F7230E7"/>
    <w:rsid w:val="3F72EF87"/>
    <w:rsid w:val="3F771440"/>
    <w:rsid w:val="3F7AB5E8"/>
    <w:rsid w:val="3F810DC5"/>
    <w:rsid w:val="3F811178"/>
    <w:rsid w:val="3F83CEBC"/>
    <w:rsid w:val="3F8684D0"/>
    <w:rsid w:val="3F98C0E2"/>
    <w:rsid w:val="3F9D84B6"/>
    <w:rsid w:val="3FB316C3"/>
    <w:rsid w:val="3FB86832"/>
    <w:rsid w:val="3FBCD3F9"/>
    <w:rsid w:val="3FBEAC76"/>
    <w:rsid w:val="3FBF1872"/>
    <w:rsid w:val="3FC3D88A"/>
    <w:rsid w:val="3FC8327C"/>
    <w:rsid w:val="3FD51CEA"/>
    <w:rsid w:val="3FD7CE26"/>
    <w:rsid w:val="3FDE924F"/>
    <w:rsid w:val="3FE7CCDB"/>
    <w:rsid w:val="3FF205A4"/>
    <w:rsid w:val="3FF6DB90"/>
    <w:rsid w:val="3FFA32D5"/>
    <w:rsid w:val="3FFAED65"/>
    <w:rsid w:val="40039712"/>
    <w:rsid w:val="400E56F2"/>
    <w:rsid w:val="4010145F"/>
    <w:rsid w:val="401E83C5"/>
    <w:rsid w:val="402851C1"/>
    <w:rsid w:val="4028C713"/>
    <w:rsid w:val="402A371D"/>
    <w:rsid w:val="402E8E55"/>
    <w:rsid w:val="40311831"/>
    <w:rsid w:val="4036264A"/>
    <w:rsid w:val="40409463"/>
    <w:rsid w:val="404156A6"/>
    <w:rsid w:val="405C4AB9"/>
    <w:rsid w:val="405E29F6"/>
    <w:rsid w:val="40607D04"/>
    <w:rsid w:val="4071309C"/>
    <w:rsid w:val="40713E9A"/>
    <w:rsid w:val="40776445"/>
    <w:rsid w:val="4085E538"/>
    <w:rsid w:val="40904DCB"/>
    <w:rsid w:val="409902B4"/>
    <w:rsid w:val="40C54871"/>
    <w:rsid w:val="40D496A4"/>
    <w:rsid w:val="40D5804C"/>
    <w:rsid w:val="40DAEC98"/>
    <w:rsid w:val="40DB4D64"/>
    <w:rsid w:val="40E0184E"/>
    <w:rsid w:val="40E259A3"/>
    <w:rsid w:val="40E30B33"/>
    <w:rsid w:val="40E394CD"/>
    <w:rsid w:val="40E3E514"/>
    <w:rsid w:val="40E6A24F"/>
    <w:rsid w:val="40FC2D1A"/>
    <w:rsid w:val="40FCC4B8"/>
    <w:rsid w:val="411C7A7D"/>
    <w:rsid w:val="412427D0"/>
    <w:rsid w:val="4125172C"/>
    <w:rsid w:val="412CC2FB"/>
    <w:rsid w:val="41368FE9"/>
    <w:rsid w:val="4147AC71"/>
    <w:rsid w:val="414B2584"/>
    <w:rsid w:val="4152F61C"/>
    <w:rsid w:val="41625EA3"/>
    <w:rsid w:val="41647A8F"/>
    <w:rsid w:val="41715871"/>
    <w:rsid w:val="417773DD"/>
    <w:rsid w:val="417E5B4C"/>
    <w:rsid w:val="4194DA80"/>
    <w:rsid w:val="41977D50"/>
    <w:rsid w:val="419E5BE6"/>
    <w:rsid w:val="41A1CF7E"/>
    <w:rsid w:val="41AD5831"/>
    <w:rsid w:val="41B8B280"/>
    <w:rsid w:val="41BE874E"/>
    <w:rsid w:val="41C5E2F2"/>
    <w:rsid w:val="41D3968F"/>
    <w:rsid w:val="41D5F1DA"/>
    <w:rsid w:val="41D8DA00"/>
    <w:rsid w:val="41DEF128"/>
    <w:rsid w:val="41E60B7C"/>
    <w:rsid w:val="41E760A9"/>
    <w:rsid w:val="41E83B24"/>
    <w:rsid w:val="41EC7723"/>
    <w:rsid w:val="41EE6DF6"/>
    <w:rsid w:val="41EF237C"/>
    <w:rsid w:val="4207E1A9"/>
    <w:rsid w:val="4207FCF6"/>
    <w:rsid w:val="420A67CE"/>
    <w:rsid w:val="4211BF92"/>
    <w:rsid w:val="4220BA37"/>
    <w:rsid w:val="4223F514"/>
    <w:rsid w:val="422757A4"/>
    <w:rsid w:val="422ED5AE"/>
    <w:rsid w:val="4231DBBC"/>
    <w:rsid w:val="423EAAE6"/>
    <w:rsid w:val="4242EFAE"/>
    <w:rsid w:val="424388BC"/>
    <w:rsid w:val="4243A63E"/>
    <w:rsid w:val="42526F86"/>
    <w:rsid w:val="4252CCE6"/>
    <w:rsid w:val="42535BA7"/>
    <w:rsid w:val="42617A8E"/>
    <w:rsid w:val="4267A249"/>
    <w:rsid w:val="426830BC"/>
    <w:rsid w:val="42755D0B"/>
    <w:rsid w:val="42783E9A"/>
    <w:rsid w:val="427B4343"/>
    <w:rsid w:val="427E816C"/>
    <w:rsid w:val="4282C701"/>
    <w:rsid w:val="4286C4CD"/>
    <w:rsid w:val="42876B6E"/>
    <w:rsid w:val="428FA045"/>
    <w:rsid w:val="4292ABC6"/>
    <w:rsid w:val="42A29293"/>
    <w:rsid w:val="42A9B0CE"/>
    <w:rsid w:val="42BDA5C4"/>
    <w:rsid w:val="42C53DB1"/>
    <w:rsid w:val="42D02EED"/>
    <w:rsid w:val="42D08A61"/>
    <w:rsid w:val="42DD63F3"/>
    <w:rsid w:val="42DEF493"/>
    <w:rsid w:val="42E169F0"/>
    <w:rsid w:val="42E93C50"/>
    <w:rsid w:val="42EBE6FA"/>
    <w:rsid w:val="42F50229"/>
    <w:rsid w:val="42F69002"/>
    <w:rsid w:val="43046EBF"/>
    <w:rsid w:val="43081AA2"/>
    <w:rsid w:val="4310FEBF"/>
    <w:rsid w:val="4312A263"/>
    <w:rsid w:val="4312E644"/>
    <w:rsid w:val="43134AA2"/>
    <w:rsid w:val="431EF437"/>
    <w:rsid w:val="432823AD"/>
    <w:rsid w:val="43288383"/>
    <w:rsid w:val="432B447C"/>
    <w:rsid w:val="432C66E3"/>
    <w:rsid w:val="43352BA8"/>
    <w:rsid w:val="4335E4FA"/>
    <w:rsid w:val="4341CF31"/>
    <w:rsid w:val="4341E043"/>
    <w:rsid w:val="4344C515"/>
    <w:rsid w:val="434D408C"/>
    <w:rsid w:val="434E83CA"/>
    <w:rsid w:val="434F7DE9"/>
    <w:rsid w:val="435B3FFC"/>
    <w:rsid w:val="435D7BAD"/>
    <w:rsid w:val="43619F2B"/>
    <w:rsid w:val="4365A7DD"/>
    <w:rsid w:val="436677FF"/>
    <w:rsid w:val="436F9064"/>
    <w:rsid w:val="437225EA"/>
    <w:rsid w:val="4374D4FF"/>
    <w:rsid w:val="4380C6E3"/>
    <w:rsid w:val="43AF76CE"/>
    <w:rsid w:val="43B3C1B7"/>
    <w:rsid w:val="43C70DDD"/>
    <w:rsid w:val="43CB1091"/>
    <w:rsid w:val="43CBC72F"/>
    <w:rsid w:val="43CD515E"/>
    <w:rsid w:val="43CDD7F9"/>
    <w:rsid w:val="43CE67B8"/>
    <w:rsid w:val="43D18E4B"/>
    <w:rsid w:val="43DB40C9"/>
    <w:rsid w:val="43E80F89"/>
    <w:rsid w:val="43EDB9FA"/>
    <w:rsid w:val="43EDBF7D"/>
    <w:rsid w:val="43F34F07"/>
    <w:rsid w:val="43FD6666"/>
    <w:rsid w:val="44009F6E"/>
    <w:rsid w:val="4404DE13"/>
    <w:rsid w:val="440E9308"/>
    <w:rsid w:val="44128374"/>
    <w:rsid w:val="44242217"/>
    <w:rsid w:val="442D9E36"/>
    <w:rsid w:val="442F5A8E"/>
    <w:rsid w:val="443D08A0"/>
    <w:rsid w:val="443D86CA"/>
    <w:rsid w:val="443F4909"/>
    <w:rsid w:val="44453216"/>
    <w:rsid w:val="4453C88F"/>
    <w:rsid w:val="445945DD"/>
    <w:rsid w:val="445E362A"/>
    <w:rsid w:val="445E6726"/>
    <w:rsid w:val="447A5888"/>
    <w:rsid w:val="447CE7CF"/>
    <w:rsid w:val="448590A0"/>
    <w:rsid w:val="448793F3"/>
    <w:rsid w:val="448A524A"/>
    <w:rsid w:val="4491F5D2"/>
    <w:rsid w:val="4492EC08"/>
    <w:rsid w:val="449C67A9"/>
    <w:rsid w:val="44A160AB"/>
    <w:rsid w:val="44A5AEDD"/>
    <w:rsid w:val="44AA488D"/>
    <w:rsid w:val="44ACF246"/>
    <w:rsid w:val="44AFAEE9"/>
    <w:rsid w:val="44B1DD63"/>
    <w:rsid w:val="44BA539A"/>
    <w:rsid w:val="44C05F54"/>
    <w:rsid w:val="44C3545A"/>
    <w:rsid w:val="44C89563"/>
    <w:rsid w:val="44D01CFF"/>
    <w:rsid w:val="44D3F54B"/>
    <w:rsid w:val="44D4BA3F"/>
    <w:rsid w:val="44D67B21"/>
    <w:rsid w:val="44D82ECF"/>
    <w:rsid w:val="44E2AC57"/>
    <w:rsid w:val="44E9B9F4"/>
    <w:rsid w:val="44EB519B"/>
    <w:rsid w:val="44EE4EC7"/>
    <w:rsid w:val="44EED879"/>
    <w:rsid w:val="44F7F76A"/>
    <w:rsid w:val="45002FCC"/>
    <w:rsid w:val="4505BAB6"/>
    <w:rsid w:val="4508AB03"/>
    <w:rsid w:val="45102EEE"/>
    <w:rsid w:val="4515D652"/>
    <w:rsid w:val="451B174B"/>
    <w:rsid w:val="451B2DB5"/>
    <w:rsid w:val="451CA14D"/>
    <w:rsid w:val="451E9B8E"/>
    <w:rsid w:val="45213CC9"/>
    <w:rsid w:val="45265C5A"/>
    <w:rsid w:val="4527FC30"/>
    <w:rsid w:val="4532C645"/>
    <w:rsid w:val="45343F62"/>
    <w:rsid w:val="453605EB"/>
    <w:rsid w:val="453A72FA"/>
    <w:rsid w:val="454E17D2"/>
    <w:rsid w:val="45558892"/>
    <w:rsid w:val="456EB338"/>
    <w:rsid w:val="457A3B09"/>
    <w:rsid w:val="457CA12A"/>
    <w:rsid w:val="45800B0C"/>
    <w:rsid w:val="4586CDC9"/>
    <w:rsid w:val="459210C8"/>
    <w:rsid w:val="459538F0"/>
    <w:rsid w:val="45955C4D"/>
    <w:rsid w:val="45958326"/>
    <w:rsid w:val="4596E8ED"/>
    <w:rsid w:val="4598DA18"/>
    <w:rsid w:val="459A7FC4"/>
    <w:rsid w:val="459E2278"/>
    <w:rsid w:val="459F7E4B"/>
    <w:rsid w:val="45A2DCC4"/>
    <w:rsid w:val="45A613B1"/>
    <w:rsid w:val="45A824B4"/>
    <w:rsid w:val="45ACFE24"/>
    <w:rsid w:val="45AEAA72"/>
    <w:rsid w:val="45BB48A3"/>
    <w:rsid w:val="45C1A1B5"/>
    <w:rsid w:val="45DC9D27"/>
    <w:rsid w:val="45E46F83"/>
    <w:rsid w:val="45E4CA68"/>
    <w:rsid w:val="45F0996C"/>
    <w:rsid w:val="45F1CF44"/>
    <w:rsid w:val="45F261C5"/>
    <w:rsid w:val="45F8D6D8"/>
    <w:rsid w:val="45FA3EA0"/>
    <w:rsid w:val="46007B45"/>
    <w:rsid w:val="460452AE"/>
    <w:rsid w:val="4608D787"/>
    <w:rsid w:val="4609EC46"/>
    <w:rsid w:val="460AA126"/>
    <w:rsid w:val="460B0950"/>
    <w:rsid w:val="460ED0F7"/>
    <w:rsid w:val="460FB103"/>
    <w:rsid w:val="4619002A"/>
    <w:rsid w:val="4628C1B0"/>
    <w:rsid w:val="4629D96A"/>
    <w:rsid w:val="4636BDDB"/>
    <w:rsid w:val="4642BF0C"/>
    <w:rsid w:val="46434A9B"/>
    <w:rsid w:val="464A5CAA"/>
    <w:rsid w:val="464B06FD"/>
    <w:rsid w:val="4650C37A"/>
    <w:rsid w:val="46545583"/>
    <w:rsid w:val="46577943"/>
    <w:rsid w:val="465DCF7D"/>
    <w:rsid w:val="465E948D"/>
    <w:rsid w:val="465E976D"/>
    <w:rsid w:val="4662D2A2"/>
    <w:rsid w:val="4664D34B"/>
    <w:rsid w:val="466ADA67"/>
    <w:rsid w:val="466D305C"/>
    <w:rsid w:val="4674DD54"/>
    <w:rsid w:val="46771E52"/>
    <w:rsid w:val="46811F63"/>
    <w:rsid w:val="4684C6C9"/>
    <w:rsid w:val="4689C135"/>
    <w:rsid w:val="4696A162"/>
    <w:rsid w:val="46971531"/>
    <w:rsid w:val="469E4F27"/>
    <w:rsid w:val="46A07404"/>
    <w:rsid w:val="46A4AC4E"/>
    <w:rsid w:val="46A79F6A"/>
    <w:rsid w:val="46AEC127"/>
    <w:rsid w:val="46B181BB"/>
    <w:rsid w:val="46B29AC2"/>
    <w:rsid w:val="46B3F9A6"/>
    <w:rsid w:val="46B450C4"/>
    <w:rsid w:val="46B5A64F"/>
    <w:rsid w:val="46B88009"/>
    <w:rsid w:val="46BEADAE"/>
    <w:rsid w:val="46C04632"/>
    <w:rsid w:val="46C04C52"/>
    <w:rsid w:val="46C6A9C8"/>
    <w:rsid w:val="46CD6CA6"/>
    <w:rsid w:val="46D11313"/>
    <w:rsid w:val="46D4F3B3"/>
    <w:rsid w:val="46D63BF1"/>
    <w:rsid w:val="46D81CAF"/>
    <w:rsid w:val="46D8B5E9"/>
    <w:rsid w:val="46DC7773"/>
    <w:rsid w:val="46E70741"/>
    <w:rsid w:val="46EDE089"/>
    <w:rsid w:val="46EE447A"/>
    <w:rsid w:val="46F4F7D0"/>
    <w:rsid w:val="47018EFD"/>
    <w:rsid w:val="4701B2B8"/>
    <w:rsid w:val="47029A11"/>
    <w:rsid w:val="470391C6"/>
    <w:rsid w:val="470ABB16"/>
    <w:rsid w:val="47115637"/>
    <w:rsid w:val="47119A30"/>
    <w:rsid w:val="4720FB04"/>
    <w:rsid w:val="47238B87"/>
    <w:rsid w:val="4729F041"/>
    <w:rsid w:val="472F4202"/>
    <w:rsid w:val="473232A8"/>
    <w:rsid w:val="4744AB77"/>
    <w:rsid w:val="474B4ED1"/>
    <w:rsid w:val="474BB882"/>
    <w:rsid w:val="475935B8"/>
    <w:rsid w:val="475CE4F0"/>
    <w:rsid w:val="476109A9"/>
    <w:rsid w:val="476C2203"/>
    <w:rsid w:val="4771975C"/>
    <w:rsid w:val="47727E08"/>
    <w:rsid w:val="477CE79D"/>
    <w:rsid w:val="4789E95C"/>
    <w:rsid w:val="478A24CA"/>
    <w:rsid w:val="478CA5A1"/>
    <w:rsid w:val="47A3AAEC"/>
    <w:rsid w:val="47AA227A"/>
    <w:rsid w:val="47BB5F04"/>
    <w:rsid w:val="47BC47E6"/>
    <w:rsid w:val="47C02502"/>
    <w:rsid w:val="47C44001"/>
    <w:rsid w:val="47C67971"/>
    <w:rsid w:val="47D42A4F"/>
    <w:rsid w:val="47D7667A"/>
    <w:rsid w:val="47D7A137"/>
    <w:rsid w:val="47EFFAA7"/>
    <w:rsid w:val="47F4367D"/>
    <w:rsid w:val="47FC8211"/>
    <w:rsid w:val="47FD27B9"/>
    <w:rsid w:val="48007ECE"/>
    <w:rsid w:val="480D8061"/>
    <w:rsid w:val="4814FE8D"/>
    <w:rsid w:val="481889D4"/>
    <w:rsid w:val="481B8B64"/>
    <w:rsid w:val="481E29DF"/>
    <w:rsid w:val="4820EEAE"/>
    <w:rsid w:val="48213351"/>
    <w:rsid w:val="4822D2FE"/>
    <w:rsid w:val="48244301"/>
    <w:rsid w:val="482F7E4B"/>
    <w:rsid w:val="4833297D"/>
    <w:rsid w:val="48347030"/>
    <w:rsid w:val="483B84BD"/>
    <w:rsid w:val="48483793"/>
    <w:rsid w:val="4850449C"/>
    <w:rsid w:val="48507766"/>
    <w:rsid w:val="485237E2"/>
    <w:rsid w:val="4856D130"/>
    <w:rsid w:val="485AFC5F"/>
    <w:rsid w:val="485C5F2D"/>
    <w:rsid w:val="4864AD7A"/>
    <w:rsid w:val="4865CE0F"/>
    <w:rsid w:val="4866650B"/>
    <w:rsid w:val="486C61F7"/>
    <w:rsid w:val="486C82CE"/>
    <w:rsid w:val="486E65C3"/>
    <w:rsid w:val="486F7920"/>
    <w:rsid w:val="48823E20"/>
    <w:rsid w:val="48846E31"/>
    <w:rsid w:val="48884CB4"/>
    <w:rsid w:val="488C9F4D"/>
    <w:rsid w:val="489230CB"/>
    <w:rsid w:val="4892FEF6"/>
    <w:rsid w:val="48948275"/>
    <w:rsid w:val="489AEB29"/>
    <w:rsid w:val="489BBEF5"/>
    <w:rsid w:val="48A3B606"/>
    <w:rsid w:val="48A3F5C3"/>
    <w:rsid w:val="48A46A6B"/>
    <w:rsid w:val="48ABF9A1"/>
    <w:rsid w:val="48B05263"/>
    <w:rsid w:val="48B24B47"/>
    <w:rsid w:val="48B41889"/>
    <w:rsid w:val="48B8EEE1"/>
    <w:rsid w:val="48BD7226"/>
    <w:rsid w:val="48BFB28D"/>
    <w:rsid w:val="48C494E2"/>
    <w:rsid w:val="48C8643F"/>
    <w:rsid w:val="48C89C07"/>
    <w:rsid w:val="48CA7659"/>
    <w:rsid w:val="48CA8828"/>
    <w:rsid w:val="48D2EC44"/>
    <w:rsid w:val="48D8CF02"/>
    <w:rsid w:val="48E0C549"/>
    <w:rsid w:val="48EBE590"/>
    <w:rsid w:val="48EE6A1F"/>
    <w:rsid w:val="48F049C0"/>
    <w:rsid w:val="48F93930"/>
    <w:rsid w:val="48F9DCA4"/>
    <w:rsid w:val="48FB2256"/>
    <w:rsid w:val="48FE9767"/>
    <w:rsid w:val="49101312"/>
    <w:rsid w:val="49166E31"/>
    <w:rsid w:val="49199039"/>
    <w:rsid w:val="4931243C"/>
    <w:rsid w:val="49362E77"/>
    <w:rsid w:val="4944A27D"/>
    <w:rsid w:val="49454140"/>
    <w:rsid w:val="4948ED21"/>
    <w:rsid w:val="4949E771"/>
    <w:rsid w:val="494A548F"/>
    <w:rsid w:val="494B5F2E"/>
    <w:rsid w:val="494F9529"/>
    <w:rsid w:val="495BC5F9"/>
    <w:rsid w:val="495C965E"/>
    <w:rsid w:val="49625465"/>
    <w:rsid w:val="49632AC6"/>
    <w:rsid w:val="497071CC"/>
    <w:rsid w:val="49774CE9"/>
    <w:rsid w:val="4982E771"/>
    <w:rsid w:val="49917D7F"/>
    <w:rsid w:val="4992DE9A"/>
    <w:rsid w:val="49989400"/>
    <w:rsid w:val="4998AC69"/>
    <w:rsid w:val="49996C8F"/>
    <w:rsid w:val="49A3CC51"/>
    <w:rsid w:val="49ADF11B"/>
    <w:rsid w:val="49B1418B"/>
    <w:rsid w:val="49BB6722"/>
    <w:rsid w:val="49BD8CA2"/>
    <w:rsid w:val="49C4C8E3"/>
    <w:rsid w:val="49C67F1A"/>
    <w:rsid w:val="49C73400"/>
    <w:rsid w:val="49CE806F"/>
    <w:rsid w:val="49D2AD42"/>
    <w:rsid w:val="49E06F8E"/>
    <w:rsid w:val="49E57A0B"/>
    <w:rsid w:val="49E758D7"/>
    <w:rsid w:val="49E7E728"/>
    <w:rsid w:val="49EA15B6"/>
    <w:rsid w:val="49EC0B8A"/>
    <w:rsid w:val="49FA7BAD"/>
    <w:rsid w:val="49FC98CD"/>
    <w:rsid w:val="4A037E0E"/>
    <w:rsid w:val="4A1474FC"/>
    <w:rsid w:val="4A1558D3"/>
    <w:rsid w:val="4A15B9A6"/>
    <w:rsid w:val="4A299901"/>
    <w:rsid w:val="4A2AB8F8"/>
    <w:rsid w:val="4A349DAC"/>
    <w:rsid w:val="4A38A82E"/>
    <w:rsid w:val="4A3B2D75"/>
    <w:rsid w:val="4A456A8F"/>
    <w:rsid w:val="4A4F9F0C"/>
    <w:rsid w:val="4A50A6D9"/>
    <w:rsid w:val="4A50E50A"/>
    <w:rsid w:val="4A588C31"/>
    <w:rsid w:val="4A65492E"/>
    <w:rsid w:val="4A657B43"/>
    <w:rsid w:val="4A6B7D53"/>
    <w:rsid w:val="4A6D6491"/>
    <w:rsid w:val="4A77EE63"/>
    <w:rsid w:val="4A7BBFD6"/>
    <w:rsid w:val="4A7CADDC"/>
    <w:rsid w:val="4A83361E"/>
    <w:rsid w:val="4A860BE3"/>
    <w:rsid w:val="4A9350DA"/>
    <w:rsid w:val="4A97E5C2"/>
    <w:rsid w:val="4A9954E9"/>
    <w:rsid w:val="4AA2F356"/>
    <w:rsid w:val="4AB49E01"/>
    <w:rsid w:val="4AB75689"/>
    <w:rsid w:val="4ABBED97"/>
    <w:rsid w:val="4AC020AC"/>
    <w:rsid w:val="4AC259F0"/>
    <w:rsid w:val="4AD55EB3"/>
    <w:rsid w:val="4ADD368A"/>
    <w:rsid w:val="4AE0F8AF"/>
    <w:rsid w:val="4AE25262"/>
    <w:rsid w:val="4AE2BA78"/>
    <w:rsid w:val="4AE6A66A"/>
    <w:rsid w:val="4AFD58E7"/>
    <w:rsid w:val="4B18034B"/>
    <w:rsid w:val="4B1BE73D"/>
    <w:rsid w:val="4B1ED70C"/>
    <w:rsid w:val="4B209EF4"/>
    <w:rsid w:val="4B21796D"/>
    <w:rsid w:val="4B241450"/>
    <w:rsid w:val="4B2D5377"/>
    <w:rsid w:val="4B37F9F5"/>
    <w:rsid w:val="4B3A3F13"/>
    <w:rsid w:val="4B3B6161"/>
    <w:rsid w:val="4B44E8B6"/>
    <w:rsid w:val="4B45D341"/>
    <w:rsid w:val="4B4944E6"/>
    <w:rsid w:val="4B4B6273"/>
    <w:rsid w:val="4B4BFA4A"/>
    <w:rsid w:val="4B4F3B2B"/>
    <w:rsid w:val="4B504126"/>
    <w:rsid w:val="4B59C2A3"/>
    <w:rsid w:val="4B59D21A"/>
    <w:rsid w:val="4B5B6129"/>
    <w:rsid w:val="4B5C2366"/>
    <w:rsid w:val="4B64F7B3"/>
    <w:rsid w:val="4B6E3689"/>
    <w:rsid w:val="4B6F5F0F"/>
    <w:rsid w:val="4B76D2EF"/>
    <w:rsid w:val="4B770B55"/>
    <w:rsid w:val="4B797BDE"/>
    <w:rsid w:val="4B803FF9"/>
    <w:rsid w:val="4B878015"/>
    <w:rsid w:val="4B88DC04"/>
    <w:rsid w:val="4B891D73"/>
    <w:rsid w:val="4B922004"/>
    <w:rsid w:val="4B9263B1"/>
    <w:rsid w:val="4B94948E"/>
    <w:rsid w:val="4B9DE5BD"/>
    <w:rsid w:val="4BA278A8"/>
    <w:rsid w:val="4BA6F07E"/>
    <w:rsid w:val="4BAB2E40"/>
    <w:rsid w:val="4BBD967F"/>
    <w:rsid w:val="4BBF7C40"/>
    <w:rsid w:val="4BCD9C88"/>
    <w:rsid w:val="4BD5AB6E"/>
    <w:rsid w:val="4BD7D306"/>
    <w:rsid w:val="4BD9CD04"/>
    <w:rsid w:val="4BDE2431"/>
    <w:rsid w:val="4BE1599E"/>
    <w:rsid w:val="4BE53BC6"/>
    <w:rsid w:val="4BF11625"/>
    <w:rsid w:val="4BF1E46A"/>
    <w:rsid w:val="4BF38DF1"/>
    <w:rsid w:val="4BF60CF5"/>
    <w:rsid w:val="4BF7481C"/>
    <w:rsid w:val="4BFB499C"/>
    <w:rsid w:val="4BFDF166"/>
    <w:rsid w:val="4BFDF3C6"/>
    <w:rsid w:val="4C01F6BB"/>
    <w:rsid w:val="4C071FD8"/>
    <w:rsid w:val="4C16D7AB"/>
    <w:rsid w:val="4C1C0ACF"/>
    <w:rsid w:val="4C1D8929"/>
    <w:rsid w:val="4C1DF531"/>
    <w:rsid w:val="4C23563A"/>
    <w:rsid w:val="4C24F65E"/>
    <w:rsid w:val="4C313986"/>
    <w:rsid w:val="4C32169E"/>
    <w:rsid w:val="4C3742F7"/>
    <w:rsid w:val="4C3E2D95"/>
    <w:rsid w:val="4C3EFDA4"/>
    <w:rsid w:val="4C4D9FDB"/>
    <w:rsid w:val="4C4ECFA8"/>
    <w:rsid w:val="4C55C58F"/>
    <w:rsid w:val="4C58C923"/>
    <w:rsid w:val="4C5E7787"/>
    <w:rsid w:val="4C5F00FC"/>
    <w:rsid w:val="4C5FE020"/>
    <w:rsid w:val="4C61C41A"/>
    <w:rsid w:val="4C6F492D"/>
    <w:rsid w:val="4C70D72E"/>
    <w:rsid w:val="4C710138"/>
    <w:rsid w:val="4C738C32"/>
    <w:rsid w:val="4C790040"/>
    <w:rsid w:val="4C7CEF61"/>
    <w:rsid w:val="4C89C040"/>
    <w:rsid w:val="4C8E3DB9"/>
    <w:rsid w:val="4C927726"/>
    <w:rsid w:val="4C95533D"/>
    <w:rsid w:val="4CA031DD"/>
    <w:rsid w:val="4CA3AF33"/>
    <w:rsid w:val="4CA7DBEC"/>
    <w:rsid w:val="4CAA5801"/>
    <w:rsid w:val="4CB79644"/>
    <w:rsid w:val="4CBE4A27"/>
    <w:rsid w:val="4CC2981C"/>
    <w:rsid w:val="4CC5A941"/>
    <w:rsid w:val="4CC9A050"/>
    <w:rsid w:val="4CCB1381"/>
    <w:rsid w:val="4CCCAF14"/>
    <w:rsid w:val="4CD30C0A"/>
    <w:rsid w:val="4CE14342"/>
    <w:rsid w:val="4CE73739"/>
    <w:rsid w:val="4CE87F1F"/>
    <w:rsid w:val="4CF5BA1A"/>
    <w:rsid w:val="4CF75543"/>
    <w:rsid w:val="4CFFC87B"/>
    <w:rsid w:val="4D07FD7D"/>
    <w:rsid w:val="4D0BDD74"/>
    <w:rsid w:val="4D15A853"/>
    <w:rsid w:val="4D18557C"/>
    <w:rsid w:val="4D1CADD4"/>
    <w:rsid w:val="4D1EDA8B"/>
    <w:rsid w:val="4D2041D9"/>
    <w:rsid w:val="4D208B80"/>
    <w:rsid w:val="4D308D0A"/>
    <w:rsid w:val="4D39A96B"/>
    <w:rsid w:val="4D3A2ACA"/>
    <w:rsid w:val="4D3AFC5E"/>
    <w:rsid w:val="4D406A98"/>
    <w:rsid w:val="4D50C651"/>
    <w:rsid w:val="4D5E715E"/>
    <w:rsid w:val="4D6168EE"/>
    <w:rsid w:val="4D6BB5B3"/>
    <w:rsid w:val="4D6D117C"/>
    <w:rsid w:val="4D6EBF03"/>
    <w:rsid w:val="4D75EA62"/>
    <w:rsid w:val="4D79A0CC"/>
    <w:rsid w:val="4D845C41"/>
    <w:rsid w:val="4D85B1F9"/>
    <w:rsid w:val="4D905294"/>
    <w:rsid w:val="4D909C93"/>
    <w:rsid w:val="4D9110CA"/>
    <w:rsid w:val="4D9BDCF7"/>
    <w:rsid w:val="4DA075C7"/>
    <w:rsid w:val="4DA1C764"/>
    <w:rsid w:val="4DACB5C1"/>
    <w:rsid w:val="4DB04E5F"/>
    <w:rsid w:val="4DB71923"/>
    <w:rsid w:val="4DBA84C1"/>
    <w:rsid w:val="4DBFA233"/>
    <w:rsid w:val="4DCFE5A8"/>
    <w:rsid w:val="4DD46B60"/>
    <w:rsid w:val="4DDAA21E"/>
    <w:rsid w:val="4DDBE9AC"/>
    <w:rsid w:val="4DE4426B"/>
    <w:rsid w:val="4DEBBDAD"/>
    <w:rsid w:val="4DEE869B"/>
    <w:rsid w:val="4DF15C79"/>
    <w:rsid w:val="4DF20749"/>
    <w:rsid w:val="4DF5D8B8"/>
    <w:rsid w:val="4DF75ACE"/>
    <w:rsid w:val="4E02AAE4"/>
    <w:rsid w:val="4E08C040"/>
    <w:rsid w:val="4E11A271"/>
    <w:rsid w:val="4E17CE22"/>
    <w:rsid w:val="4E2C275A"/>
    <w:rsid w:val="4E2D309F"/>
    <w:rsid w:val="4E370177"/>
    <w:rsid w:val="4E40D680"/>
    <w:rsid w:val="4E442DBC"/>
    <w:rsid w:val="4E4C3D36"/>
    <w:rsid w:val="4E56222A"/>
    <w:rsid w:val="4E5ECA79"/>
    <w:rsid w:val="4E630A77"/>
    <w:rsid w:val="4E657BFB"/>
    <w:rsid w:val="4E7AA230"/>
    <w:rsid w:val="4E87D076"/>
    <w:rsid w:val="4E902382"/>
    <w:rsid w:val="4E91D18F"/>
    <w:rsid w:val="4E9DAA87"/>
    <w:rsid w:val="4E9FCF7B"/>
    <w:rsid w:val="4EA93CD2"/>
    <w:rsid w:val="4EADECAA"/>
    <w:rsid w:val="4EAF3794"/>
    <w:rsid w:val="4EBE5B53"/>
    <w:rsid w:val="4EC8BC9F"/>
    <w:rsid w:val="4ED71682"/>
    <w:rsid w:val="4ED80111"/>
    <w:rsid w:val="4EE2088F"/>
    <w:rsid w:val="4EE8F50E"/>
    <w:rsid w:val="4EE97306"/>
    <w:rsid w:val="4EEBC177"/>
    <w:rsid w:val="4EF3C85A"/>
    <w:rsid w:val="4EF72BC3"/>
    <w:rsid w:val="4F03EB38"/>
    <w:rsid w:val="4F041A99"/>
    <w:rsid w:val="4F106CDD"/>
    <w:rsid w:val="4F1187E4"/>
    <w:rsid w:val="4F133942"/>
    <w:rsid w:val="4F1453ED"/>
    <w:rsid w:val="4F191DDD"/>
    <w:rsid w:val="4F1E6170"/>
    <w:rsid w:val="4F22049F"/>
    <w:rsid w:val="4F22A9BA"/>
    <w:rsid w:val="4F248BC5"/>
    <w:rsid w:val="4F2BC5E9"/>
    <w:rsid w:val="4F2CD74E"/>
    <w:rsid w:val="4F3ABC80"/>
    <w:rsid w:val="4F3AD3CC"/>
    <w:rsid w:val="4F3F45E4"/>
    <w:rsid w:val="4F4CFEC6"/>
    <w:rsid w:val="4F65203B"/>
    <w:rsid w:val="4F6803F2"/>
    <w:rsid w:val="4F6B56D3"/>
    <w:rsid w:val="4F71FA09"/>
    <w:rsid w:val="4F72B958"/>
    <w:rsid w:val="4F797A08"/>
    <w:rsid w:val="4F7E6AA8"/>
    <w:rsid w:val="4F81C754"/>
    <w:rsid w:val="4F83BDC9"/>
    <w:rsid w:val="4F8C361B"/>
    <w:rsid w:val="4F92C7A4"/>
    <w:rsid w:val="4F98AEA0"/>
    <w:rsid w:val="4F9B67C1"/>
    <w:rsid w:val="4F9EB260"/>
    <w:rsid w:val="4FA32A75"/>
    <w:rsid w:val="4FAD3009"/>
    <w:rsid w:val="4FB70E44"/>
    <w:rsid w:val="4FB92974"/>
    <w:rsid w:val="4FBB2795"/>
    <w:rsid w:val="4FBFE78C"/>
    <w:rsid w:val="4FCA83BD"/>
    <w:rsid w:val="4FCD8BD6"/>
    <w:rsid w:val="4FD40B4B"/>
    <w:rsid w:val="4FD453FF"/>
    <w:rsid w:val="4FD59203"/>
    <w:rsid w:val="4FD6669E"/>
    <w:rsid w:val="4FDC8978"/>
    <w:rsid w:val="4FDD54C1"/>
    <w:rsid w:val="4FDE03F1"/>
    <w:rsid w:val="4FE33098"/>
    <w:rsid w:val="4FE8F36E"/>
    <w:rsid w:val="4FEA62D2"/>
    <w:rsid w:val="4FED90EE"/>
    <w:rsid w:val="4FF9D62F"/>
    <w:rsid w:val="5002078C"/>
    <w:rsid w:val="500EA2A2"/>
    <w:rsid w:val="501569B6"/>
    <w:rsid w:val="501BE68D"/>
    <w:rsid w:val="501CB9E9"/>
    <w:rsid w:val="50253CC9"/>
    <w:rsid w:val="503082EA"/>
    <w:rsid w:val="5038A4BF"/>
    <w:rsid w:val="5046B025"/>
    <w:rsid w:val="504B4750"/>
    <w:rsid w:val="504CD274"/>
    <w:rsid w:val="504D5970"/>
    <w:rsid w:val="5053250E"/>
    <w:rsid w:val="505353EA"/>
    <w:rsid w:val="5056DB8E"/>
    <w:rsid w:val="505D4931"/>
    <w:rsid w:val="50674AA6"/>
    <w:rsid w:val="507F4CC1"/>
    <w:rsid w:val="508C9FF7"/>
    <w:rsid w:val="509485EF"/>
    <w:rsid w:val="50983963"/>
    <w:rsid w:val="509FE2C5"/>
    <w:rsid w:val="50A425CD"/>
    <w:rsid w:val="50AFF3D4"/>
    <w:rsid w:val="50B6CBFA"/>
    <w:rsid w:val="50B7C45B"/>
    <w:rsid w:val="50BE4997"/>
    <w:rsid w:val="50CB25B6"/>
    <w:rsid w:val="50CEA4C0"/>
    <w:rsid w:val="50D9AEB5"/>
    <w:rsid w:val="50DB62C2"/>
    <w:rsid w:val="50DB9CFC"/>
    <w:rsid w:val="50E226C5"/>
    <w:rsid w:val="50E82976"/>
    <w:rsid w:val="50E86EFA"/>
    <w:rsid w:val="50F38F10"/>
    <w:rsid w:val="51042539"/>
    <w:rsid w:val="510D53B4"/>
    <w:rsid w:val="51167259"/>
    <w:rsid w:val="5121D592"/>
    <w:rsid w:val="512EF1C9"/>
    <w:rsid w:val="51307D2F"/>
    <w:rsid w:val="51338A0C"/>
    <w:rsid w:val="51379676"/>
    <w:rsid w:val="5137E09F"/>
    <w:rsid w:val="513A6A62"/>
    <w:rsid w:val="513B7A8E"/>
    <w:rsid w:val="513CBD6B"/>
    <w:rsid w:val="513E2385"/>
    <w:rsid w:val="5140FCF5"/>
    <w:rsid w:val="514535C7"/>
    <w:rsid w:val="51508E53"/>
    <w:rsid w:val="515659E9"/>
    <w:rsid w:val="515CD935"/>
    <w:rsid w:val="515FB689"/>
    <w:rsid w:val="51616D5F"/>
    <w:rsid w:val="516323A5"/>
    <w:rsid w:val="51672970"/>
    <w:rsid w:val="5168B932"/>
    <w:rsid w:val="516ABFC8"/>
    <w:rsid w:val="516AD2CA"/>
    <w:rsid w:val="51714C7D"/>
    <w:rsid w:val="51882D9B"/>
    <w:rsid w:val="51904F2B"/>
    <w:rsid w:val="51A09A57"/>
    <w:rsid w:val="51A89492"/>
    <w:rsid w:val="51ABBBCC"/>
    <w:rsid w:val="51AF7A0F"/>
    <w:rsid w:val="51B930FB"/>
    <w:rsid w:val="51C5BA55"/>
    <w:rsid w:val="51C5BDC5"/>
    <w:rsid w:val="51C9F3FE"/>
    <w:rsid w:val="51CD82D6"/>
    <w:rsid w:val="51CDFA14"/>
    <w:rsid w:val="51D6B62C"/>
    <w:rsid w:val="51D865C7"/>
    <w:rsid w:val="51DC5379"/>
    <w:rsid w:val="51E73250"/>
    <w:rsid w:val="51E841B9"/>
    <w:rsid w:val="51FC4AE7"/>
    <w:rsid w:val="5206D957"/>
    <w:rsid w:val="5206FE8B"/>
    <w:rsid w:val="5209DDA0"/>
    <w:rsid w:val="520C4845"/>
    <w:rsid w:val="5214D0B7"/>
    <w:rsid w:val="521779A1"/>
    <w:rsid w:val="52184B29"/>
    <w:rsid w:val="5219F1BE"/>
    <w:rsid w:val="521A34C9"/>
    <w:rsid w:val="521A51F6"/>
    <w:rsid w:val="521ABCCE"/>
    <w:rsid w:val="521BA113"/>
    <w:rsid w:val="521DFA5B"/>
    <w:rsid w:val="5226852F"/>
    <w:rsid w:val="522BD3CA"/>
    <w:rsid w:val="522E2805"/>
    <w:rsid w:val="5232068D"/>
    <w:rsid w:val="5233D19C"/>
    <w:rsid w:val="523D9EC5"/>
    <w:rsid w:val="52463E6F"/>
    <w:rsid w:val="52496C29"/>
    <w:rsid w:val="5249AF27"/>
    <w:rsid w:val="524C0C64"/>
    <w:rsid w:val="524D357C"/>
    <w:rsid w:val="52502269"/>
    <w:rsid w:val="5258F172"/>
    <w:rsid w:val="5269A028"/>
    <w:rsid w:val="52724BDD"/>
    <w:rsid w:val="527A03B5"/>
    <w:rsid w:val="5287850F"/>
    <w:rsid w:val="5289665A"/>
    <w:rsid w:val="529E0C2F"/>
    <w:rsid w:val="529FBFE8"/>
    <w:rsid w:val="52A202CC"/>
    <w:rsid w:val="52AD03E2"/>
    <w:rsid w:val="52ADC665"/>
    <w:rsid w:val="52B4FB08"/>
    <w:rsid w:val="52B6D9FD"/>
    <w:rsid w:val="52B93BB3"/>
    <w:rsid w:val="52B9C96B"/>
    <w:rsid w:val="52BE6ED8"/>
    <w:rsid w:val="52C03D79"/>
    <w:rsid w:val="52C19A0C"/>
    <w:rsid w:val="52C88C9D"/>
    <w:rsid w:val="52CAABA2"/>
    <w:rsid w:val="52CB161D"/>
    <w:rsid w:val="52CC16BC"/>
    <w:rsid w:val="52CE71CB"/>
    <w:rsid w:val="52D341A8"/>
    <w:rsid w:val="52DE9E48"/>
    <w:rsid w:val="52E0028A"/>
    <w:rsid w:val="52E3D11A"/>
    <w:rsid w:val="52F4AB6D"/>
    <w:rsid w:val="52F82E91"/>
    <w:rsid w:val="52FC6E22"/>
    <w:rsid w:val="53005F4E"/>
    <w:rsid w:val="53043BAA"/>
    <w:rsid w:val="53054C39"/>
    <w:rsid w:val="5308145D"/>
    <w:rsid w:val="530A53CC"/>
    <w:rsid w:val="530B0B07"/>
    <w:rsid w:val="530E622E"/>
    <w:rsid w:val="5310A17E"/>
    <w:rsid w:val="531252F0"/>
    <w:rsid w:val="53175CEB"/>
    <w:rsid w:val="5325BE1D"/>
    <w:rsid w:val="5328B67D"/>
    <w:rsid w:val="532BF8D1"/>
    <w:rsid w:val="5337316E"/>
    <w:rsid w:val="533DAED1"/>
    <w:rsid w:val="533E8396"/>
    <w:rsid w:val="533EE9EB"/>
    <w:rsid w:val="5346B3D2"/>
    <w:rsid w:val="534C3BF8"/>
    <w:rsid w:val="5358902F"/>
    <w:rsid w:val="535918A1"/>
    <w:rsid w:val="535AA9DB"/>
    <w:rsid w:val="535AE5CD"/>
    <w:rsid w:val="535FA257"/>
    <w:rsid w:val="5361B47E"/>
    <w:rsid w:val="53629DC7"/>
    <w:rsid w:val="536BEB1A"/>
    <w:rsid w:val="536E43D0"/>
    <w:rsid w:val="536FA8DD"/>
    <w:rsid w:val="537035BE"/>
    <w:rsid w:val="5379389E"/>
    <w:rsid w:val="5383DC3E"/>
    <w:rsid w:val="53851790"/>
    <w:rsid w:val="5385E0B6"/>
    <w:rsid w:val="53892F77"/>
    <w:rsid w:val="538FBF24"/>
    <w:rsid w:val="539062BB"/>
    <w:rsid w:val="5395216F"/>
    <w:rsid w:val="5396D7E2"/>
    <w:rsid w:val="53A7DE82"/>
    <w:rsid w:val="53B47466"/>
    <w:rsid w:val="53B76DB6"/>
    <w:rsid w:val="53B79135"/>
    <w:rsid w:val="53BA0220"/>
    <w:rsid w:val="53BDD70C"/>
    <w:rsid w:val="53C49E5F"/>
    <w:rsid w:val="53C7B67E"/>
    <w:rsid w:val="53D26F5F"/>
    <w:rsid w:val="53D4CA14"/>
    <w:rsid w:val="53DFABFB"/>
    <w:rsid w:val="53E05E6B"/>
    <w:rsid w:val="53E233C2"/>
    <w:rsid w:val="53ED97C8"/>
    <w:rsid w:val="53F86F45"/>
    <w:rsid w:val="53F9BD8D"/>
    <w:rsid w:val="53FC55D0"/>
    <w:rsid w:val="53FE295B"/>
    <w:rsid w:val="54034B25"/>
    <w:rsid w:val="5411D245"/>
    <w:rsid w:val="541AAA3E"/>
    <w:rsid w:val="541D7C69"/>
    <w:rsid w:val="54204375"/>
    <w:rsid w:val="54247981"/>
    <w:rsid w:val="542A36A3"/>
    <w:rsid w:val="542E04C8"/>
    <w:rsid w:val="542E0C65"/>
    <w:rsid w:val="542FF6A4"/>
    <w:rsid w:val="543286FB"/>
    <w:rsid w:val="544F49CA"/>
    <w:rsid w:val="54517B24"/>
    <w:rsid w:val="54600FE1"/>
    <w:rsid w:val="5462FC8F"/>
    <w:rsid w:val="546B0D42"/>
    <w:rsid w:val="5473411B"/>
    <w:rsid w:val="5473D387"/>
    <w:rsid w:val="54756BF9"/>
    <w:rsid w:val="547B6ACA"/>
    <w:rsid w:val="547C4A98"/>
    <w:rsid w:val="5480DC6B"/>
    <w:rsid w:val="54850CE7"/>
    <w:rsid w:val="548FE6C3"/>
    <w:rsid w:val="54B3059D"/>
    <w:rsid w:val="54BC886B"/>
    <w:rsid w:val="54BF02A5"/>
    <w:rsid w:val="54C49EE9"/>
    <w:rsid w:val="54CCBEE9"/>
    <w:rsid w:val="54CFA9F7"/>
    <w:rsid w:val="54D3A68B"/>
    <w:rsid w:val="54D5F7B5"/>
    <w:rsid w:val="54D9FC48"/>
    <w:rsid w:val="54E5A3E8"/>
    <w:rsid w:val="54FDAA8C"/>
    <w:rsid w:val="54FE7BEF"/>
    <w:rsid w:val="5507F0B8"/>
    <w:rsid w:val="550DE37A"/>
    <w:rsid w:val="550F14A8"/>
    <w:rsid w:val="551268FD"/>
    <w:rsid w:val="551DCD45"/>
    <w:rsid w:val="551F28ED"/>
    <w:rsid w:val="551FDC48"/>
    <w:rsid w:val="5527D77E"/>
    <w:rsid w:val="552C65A7"/>
    <w:rsid w:val="552F634F"/>
    <w:rsid w:val="55361BBC"/>
    <w:rsid w:val="55395CD2"/>
    <w:rsid w:val="553BCF20"/>
    <w:rsid w:val="5545E267"/>
    <w:rsid w:val="554B359F"/>
    <w:rsid w:val="554C000B"/>
    <w:rsid w:val="5550C41E"/>
    <w:rsid w:val="55529DF2"/>
    <w:rsid w:val="55533A56"/>
    <w:rsid w:val="555C733F"/>
    <w:rsid w:val="555CE17A"/>
    <w:rsid w:val="55615D52"/>
    <w:rsid w:val="5567353A"/>
    <w:rsid w:val="5568BA76"/>
    <w:rsid w:val="55712B29"/>
    <w:rsid w:val="5571D691"/>
    <w:rsid w:val="5573088E"/>
    <w:rsid w:val="558B3677"/>
    <w:rsid w:val="558E3C65"/>
    <w:rsid w:val="5591CC9E"/>
    <w:rsid w:val="5594E692"/>
    <w:rsid w:val="5596B7DE"/>
    <w:rsid w:val="5596D411"/>
    <w:rsid w:val="5599193F"/>
    <w:rsid w:val="559C97CC"/>
    <w:rsid w:val="55A6E3E1"/>
    <w:rsid w:val="55A874B7"/>
    <w:rsid w:val="55AA4F27"/>
    <w:rsid w:val="55B35283"/>
    <w:rsid w:val="55B46C80"/>
    <w:rsid w:val="55BAFF9C"/>
    <w:rsid w:val="55C700D9"/>
    <w:rsid w:val="55C7BF10"/>
    <w:rsid w:val="55D2FB76"/>
    <w:rsid w:val="55D45DA5"/>
    <w:rsid w:val="55DE38D9"/>
    <w:rsid w:val="55E1B0F4"/>
    <w:rsid w:val="55E76371"/>
    <w:rsid w:val="55E9190C"/>
    <w:rsid w:val="55EDCF5A"/>
    <w:rsid w:val="55F057D3"/>
    <w:rsid w:val="55F1FA22"/>
    <w:rsid w:val="55F7D1C5"/>
    <w:rsid w:val="55FE9085"/>
    <w:rsid w:val="560DAA0F"/>
    <w:rsid w:val="56110F54"/>
    <w:rsid w:val="561E632C"/>
    <w:rsid w:val="561E7267"/>
    <w:rsid w:val="562219FA"/>
    <w:rsid w:val="5629D7AE"/>
    <w:rsid w:val="562A9198"/>
    <w:rsid w:val="56467A62"/>
    <w:rsid w:val="5649787C"/>
    <w:rsid w:val="5651D419"/>
    <w:rsid w:val="56557F16"/>
    <w:rsid w:val="565EDCEB"/>
    <w:rsid w:val="5662F155"/>
    <w:rsid w:val="566A251C"/>
    <w:rsid w:val="56709F0A"/>
    <w:rsid w:val="5671D280"/>
    <w:rsid w:val="567AB1E8"/>
    <w:rsid w:val="56888C59"/>
    <w:rsid w:val="568C2863"/>
    <w:rsid w:val="5691232F"/>
    <w:rsid w:val="569E1CB0"/>
    <w:rsid w:val="56A65F68"/>
    <w:rsid w:val="56AE9C4B"/>
    <w:rsid w:val="56AEA4A3"/>
    <w:rsid w:val="56B53E4E"/>
    <w:rsid w:val="56B5E163"/>
    <w:rsid w:val="56B69E7D"/>
    <w:rsid w:val="56C64A61"/>
    <w:rsid w:val="56CCEE5B"/>
    <w:rsid w:val="56D43040"/>
    <w:rsid w:val="56D6FF78"/>
    <w:rsid w:val="56DB0780"/>
    <w:rsid w:val="56E2B41D"/>
    <w:rsid w:val="56E320BE"/>
    <w:rsid w:val="56E7853B"/>
    <w:rsid w:val="56E995D7"/>
    <w:rsid w:val="56E9B881"/>
    <w:rsid w:val="56ECCEA3"/>
    <w:rsid w:val="56F2561C"/>
    <w:rsid w:val="56F39B7E"/>
    <w:rsid w:val="56F56CA4"/>
    <w:rsid w:val="56F88C4D"/>
    <w:rsid w:val="56FE0279"/>
    <w:rsid w:val="5701A254"/>
    <w:rsid w:val="5709D1F7"/>
    <w:rsid w:val="570ECA00"/>
    <w:rsid w:val="570EF1D0"/>
    <w:rsid w:val="5713A967"/>
    <w:rsid w:val="5717ADC2"/>
    <w:rsid w:val="571BDF13"/>
    <w:rsid w:val="571BF6F1"/>
    <w:rsid w:val="57216141"/>
    <w:rsid w:val="572EC351"/>
    <w:rsid w:val="5732CC1A"/>
    <w:rsid w:val="5737BEDA"/>
    <w:rsid w:val="5741165B"/>
    <w:rsid w:val="57429BC9"/>
    <w:rsid w:val="574E63F6"/>
    <w:rsid w:val="57529610"/>
    <w:rsid w:val="57577C0F"/>
    <w:rsid w:val="575A530A"/>
    <w:rsid w:val="5764AA65"/>
    <w:rsid w:val="57667E57"/>
    <w:rsid w:val="577338B0"/>
    <w:rsid w:val="577F1B00"/>
    <w:rsid w:val="5790AD25"/>
    <w:rsid w:val="579FC33B"/>
    <w:rsid w:val="57A05682"/>
    <w:rsid w:val="57A11D29"/>
    <w:rsid w:val="57AED47E"/>
    <w:rsid w:val="57AF8A96"/>
    <w:rsid w:val="57BBB12F"/>
    <w:rsid w:val="57BD2789"/>
    <w:rsid w:val="57BF40D5"/>
    <w:rsid w:val="57CD2AFA"/>
    <w:rsid w:val="57CF6C20"/>
    <w:rsid w:val="57DFB322"/>
    <w:rsid w:val="57E02726"/>
    <w:rsid w:val="57EA1165"/>
    <w:rsid w:val="57F3DD2E"/>
    <w:rsid w:val="57F76AE2"/>
    <w:rsid w:val="57FE2462"/>
    <w:rsid w:val="580115D9"/>
    <w:rsid w:val="5814DA15"/>
    <w:rsid w:val="5818E1DD"/>
    <w:rsid w:val="582161AC"/>
    <w:rsid w:val="5821A0F8"/>
    <w:rsid w:val="5829618D"/>
    <w:rsid w:val="58301487"/>
    <w:rsid w:val="58351DF6"/>
    <w:rsid w:val="583B2E0C"/>
    <w:rsid w:val="58424831"/>
    <w:rsid w:val="5844BC49"/>
    <w:rsid w:val="5844C91C"/>
    <w:rsid w:val="58465F46"/>
    <w:rsid w:val="5852347D"/>
    <w:rsid w:val="585260EA"/>
    <w:rsid w:val="58527252"/>
    <w:rsid w:val="5853ADE4"/>
    <w:rsid w:val="5853E7CC"/>
    <w:rsid w:val="585E6D97"/>
    <w:rsid w:val="58693E75"/>
    <w:rsid w:val="586C507F"/>
    <w:rsid w:val="5871E4D8"/>
    <w:rsid w:val="587412B6"/>
    <w:rsid w:val="588122A3"/>
    <w:rsid w:val="5887EA87"/>
    <w:rsid w:val="588E255F"/>
    <w:rsid w:val="5895E8FA"/>
    <w:rsid w:val="5896E2D5"/>
    <w:rsid w:val="589F16E6"/>
    <w:rsid w:val="589FCA98"/>
    <w:rsid w:val="58A03662"/>
    <w:rsid w:val="58A22F1E"/>
    <w:rsid w:val="58A2919B"/>
    <w:rsid w:val="58A627EF"/>
    <w:rsid w:val="58A666B0"/>
    <w:rsid w:val="58AAFD61"/>
    <w:rsid w:val="58AB9B2B"/>
    <w:rsid w:val="58B30A01"/>
    <w:rsid w:val="58B801AA"/>
    <w:rsid w:val="58B9EA5F"/>
    <w:rsid w:val="58BF4A1B"/>
    <w:rsid w:val="58C1EC82"/>
    <w:rsid w:val="58C415BC"/>
    <w:rsid w:val="58C782FA"/>
    <w:rsid w:val="58CA9716"/>
    <w:rsid w:val="58CF9E25"/>
    <w:rsid w:val="58D5AE8E"/>
    <w:rsid w:val="58D9BED2"/>
    <w:rsid w:val="58DDBF4C"/>
    <w:rsid w:val="58E0DE96"/>
    <w:rsid w:val="58E8EA50"/>
    <w:rsid w:val="58EB4156"/>
    <w:rsid w:val="58F4643B"/>
    <w:rsid w:val="58FF9E59"/>
    <w:rsid w:val="59017E61"/>
    <w:rsid w:val="59030077"/>
    <w:rsid w:val="5912455E"/>
    <w:rsid w:val="59139C89"/>
    <w:rsid w:val="5914BEBC"/>
    <w:rsid w:val="591928EC"/>
    <w:rsid w:val="591C150B"/>
    <w:rsid w:val="591C63BD"/>
    <w:rsid w:val="591C91BD"/>
    <w:rsid w:val="5930DD21"/>
    <w:rsid w:val="593EE2EA"/>
    <w:rsid w:val="59409FBD"/>
    <w:rsid w:val="594152C5"/>
    <w:rsid w:val="59454C6C"/>
    <w:rsid w:val="594A013E"/>
    <w:rsid w:val="595732CE"/>
    <w:rsid w:val="59627788"/>
    <w:rsid w:val="59663A66"/>
    <w:rsid w:val="59805078"/>
    <w:rsid w:val="5980F2FF"/>
    <w:rsid w:val="598EA32A"/>
    <w:rsid w:val="598F1C7D"/>
    <w:rsid w:val="59918079"/>
    <w:rsid w:val="5991994A"/>
    <w:rsid w:val="59955A9E"/>
    <w:rsid w:val="599B47B7"/>
    <w:rsid w:val="599BF782"/>
    <w:rsid w:val="59A61317"/>
    <w:rsid w:val="59A78BD4"/>
    <w:rsid w:val="59B5D101"/>
    <w:rsid w:val="59B74CB0"/>
    <w:rsid w:val="59B7F3A5"/>
    <w:rsid w:val="59B8C69C"/>
    <w:rsid w:val="59BB0213"/>
    <w:rsid w:val="59BB4143"/>
    <w:rsid w:val="59BFA629"/>
    <w:rsid w:val="59C3EF16"/>
    <w:rsid w:val="59C803D1"/>
    <w:rsid w:val="59CD3633"/>
    <w:rsid w:val="59CE04B8"/>
    <w:rsid w:val="59DE89F2"/>
    <w:rsid w:val="59DF0B69"/>
    <w:rsid w:val="59DFE11E"/>
    <w:rsid w:val="59E02641"/>
    <w:rsid w:val="59EECD23"/>
    <w:rsid w:val="59FAF633"/>
    <w:rsid w:val="59FD068C"/>
    <w:rsid w:val="59FDF7F4"/>
    <w:rsid w:val="59FEFE69"/>
    <w:rsid w:val="5A074CB9"/>
    <w:rsid w:val="5A10927E"/>
    <w:rsid w:val="5A1D261F"/>
    <w:rsid w:val="5A209FEF"/>
    <w:rsid w:val="5A2F93AC"/>
    <w:rsid w:val="5A36A13F"/>
    <w:rsid w:val="5A372A46"/>
    <w:rsid w:val="5A383182"/>
    <w:rsid w:val="5A43714E"/>
    <w:rsid w:val="5A459BCD"/>
    <w:rsid w:val="5A46D9C7"/>
    <w:rsid w:val="5A4B7D5A"/>
    <w:rsid w:val="5A4E73B5"/>
    <w:rsid w:val="5A528837"/>
    <w:rsid w:val="5A5296F5"/>
    <w:rsid w:val="5A54B63F"/>
    <w:rsid w:val="5A5A3A50"/>
    <w:rsid w:val="5A5EAFC7"/>
    <w:rsid w:val="5A5FC454"/>
    <w:rsid w:val="5A600F53"/>
    <w:rsid w:val="5A60AF63"/>
    <w:rsid w:val="5A64C92E"/>
    <w:rsid w:val="5A696497"/>
    <w:rsid w:val="5A75FD90"/>
    <w:rsid w:val="5A8078F7"/>
    <w:rsid w:val="5A88996A"/>
    <w:rsid w:val="5A8C276C"/>
    <w:rsid w:val="5A9AB08A"/>
    <w:rsid w:val="5A9C7971"/>
    <w:rsid w:val="5AA4BA7D"/>
    <w:rsid w:val="5AAAC7B6"/>
    <w:rsid w:val="5AAB455B"/>
    <w:rsid w:val="5AB1829F"/>
    <w:rsid w:val="5AB846D1"/>
    <w:rsid w:val="5AB85515"/>
    <w:rsid w:val="5AB8B122"/>
    <w:rsid w:val="5ABE1E17"/>
    <w:rsid w:val="5AC631D2"/>
    <w:rsid w:val="5AC97249"/>
    <w:rsid w:val="5ACA5776"/>
    <w:rsid w:val="5ACAD1D7"/>
    <w:rsid w:val="5ACDD7E8"/>
    <w:rsid w:val="5AE00163"/>
    <w:rsid w:val="5AE5E6F2"/>
    <w:rsid w:val="5AE7470B"/>
    <w:rsid w:val="5AEDFCEA"/>
    <w:rsid w:val="5AF19E22"/>
    <w:rsid w:val="5AF1CBE6"/>
    <w:rsid w:val="5AF33778"/>
    <w:rsid w:val="5AF3A43E"/>
    <w:rsid w:val="5B030374"/>
    <w:rsid w:val="5B06449A"/>
    <w:rsid w:val="5B095355"/>
    <w:rsid w:val="5B1EF37A"/>
    <w:rsid w:val="5B2209F6"/>
    <w:rsid w:val="5B23650D"/>
    <w:rsid w:val="5B274671"/>
    <w:rsid w:val="5B31F8D9"/>
    <w:rsid w:val="5B36A8DC"/>
    <w:rsid w:val="5B3BDD37"/>
    <w:rsid w:val="5B3CA0CC"/>
    <w:rsid w:val="5B4988B7"/>
    <w:rsid w:val="5B57673F"/>
    <w:rsid w:val="5B5C0133"/>
    <w:rsid w:val="5B5D6719"/>
    <w:rsid w:val="5B5FB078"/>
    <w:rsid w:val="5B63B9F0"/>
    <w:rsid w:val="5B6EA5A6"/>
    <w:rsid w:val="5B7740A9"/>
    <w:rsid w:val="5B7E5C37"/>
    <w:rsid w:val="5B89F1A4"/>
    <w:rsid w:val="5B927D74"/>
    <w:rsid w:val="5B991169"/>
    <w:rsid w:val="5B9AF989"/>
    <w:rsid w:val="5BA464DF"/>
    <w:rsid w:val="5BA8E218"/>
    <w:rsid w:val="5BB2DAA3"/>
    <w:rsid w:val="5BB73F16"/>
    <w:rsid w:val="5BCE9AF3"/>
    <w:rsid w:val="5BD1D40E"/>
    <w:rsid w:val="5BD6A3CD"/>
    <w:rsid w:val="5BD7CCBB"/>
    <w:rsid w:val="5BDB4B58"/>
    <w:rsid w:val="5BDF0E08"/>
    <w:rsid w:val="5BDFE236"/>
    <w:rsid w:val="5BE2974B"/>
    <w:rsid w:val="5BEED347"/>
    <w:rsid w:val="5BEF9BA1"/>
    <w:rsid w:val="5BF12011"/>
    <w:rsid w:val="5BF21F76"/>
    <w:rsid w:val="5BF27494"/>
    <w:rsid w:val="5BF8882F"/>
    <w:rsid w:val="5BFD32A8"/>
    <w:rsid w:val="5C04C52C"/>
    <w:rsid w:val="5C0BA702"/>
    <w:rsid w:val="5C0C4F8A"/>
    <w:rsid w:val="5C110F6F"/>
    <w:rsid w:val="5C12ACAD"/>
    <w:rsid w:val="5C15625A"/>
    <w:rsid w:val="5C17F614"/>
    <w:rsid w:val="5C18F897"/>
    <w:rsid w:val="5C19A4CF"/>
    <w:rsid w:val="5C228743"/>
    <w:rsid w:val="5C23BCE3"/>
    <w:rsid w:val="5C27A56B"/>
    <w:rsid w:val="5C2B96B1"/>
    <w:rsid w:val="5C33DA3B"/>
    <w:rsid w:val="5C4302CE"/>
    <w:rsid w:val="5C4FB90F"/>
    <w:rsid w:val="5C55E43C"/>
    <w:rsid w:val="5C6ABDA4"/>
    <w:rsid w:val="5C6CD893"/>
    <w:rsid w:val="5C75D5A7"/>
    <w:rsid w:val="5C790A56"/>
    <w:rsid w:val="5C7C0F1A"/>
    <w:rsid w:val="5C7FB559"/>
    <w:rsid w:val="5C85B8C6"/>
    <w:rsid w:val="5C8A799E"/>
    <w:rsid w:val="5C8BDB3C"/>
    <w:rsid w:val="5C914CB3"/>
    <w:rsid w:val="5C919051"/>
    <w:rsid w:val="5C9BE498"/>
    <w:rsid w:val="5C9EFC8B"/>
    <w:rsid w:val="5CA0AD0B"/>
    <w:rsid w:val="5CA224ED"/>
    <w:rsid w:val="5CAFD3FB"/>
    <w:rsid w:val="5CB11711"/>
    <w:rsid w:val="5CB18045"/>
    <w:rsid w:val="5CB5C7D2"/>
    <w:rsid w:val="5CD5530F"/>
    <w:rsid w:val="5CD7B1F5"/>
    <w:rsid w:val="5CDB31B2"/>
    <w:rsid w:val="5CDBFBA8"/>
    <w:rsid w:val="5CDD6A83"/>
    <w:rsid w:val="5CE8110D"/>
    <w:rsid w:val="5CEB5161"/>
    <w:rsid w:val="5CED435A"/>
    <w:rsid w:val="5CF0B645"/>
    <w:rsid w:val="5CF56012"/>
    <w:rsid w:val="5CF93C65"/>
    <w:rsid w:val="5CFCBD58"/>
    <w:rsid w:val="5D063969"/>
    <w:rsid w:val="5D0857FD"/>
    <w:rsid w:val="5D0C1F7E"/>
    <w:rsid w:val="5D214D53"/>
    <w:rsid w:val="5D26AD9D"/>
    <w:rsid w:val="5D29A53A"/>
    <w:rsid w:val="5D2DF913"/>
    <w:rsid w:val="5D30E9C2"/>
    <w:rsid w:val="5D31BF9F"/>
    <w:rsid w:val="5D393387"/>
    <w:rsid w:val="5D3B0DC0"/>
    <w:rsid w:val="5D3C8B46"/>
    <w:rsid w:val="5D46838B"/>
    <w:rsid w:val="5D4E0BD0"/>
    <w:rsid w:val="5D536ACB"/>
    <w:rsid w:val="5D57821C"/>
    <w:rsid w:val="5D5987AA"/>
    <w:rsid w:val="5D5E3524"/>
    <w:rsid w:val="5D61FF82"/>
    <w:rsid w:val="5D65416C"/>
    <w:rsid w:val="5D68BA04"/>
    <w:rsid w:val="5D7109AD"/>
    <w:rsid w:val="5D7783C5"/>
    <w:rsid w:val="5D7BCC93"/>
    <w:rsid w:val="5D88BAB6"/>
    <w:rsid w:val="5D9629AE"/>
    <w:rsid w:val="5D988160"/>
    <w:rsid w:val="5D9FA744"/>
    <w:rsid w:val="5DA69E5B"/>
    <w:rsid w:val="5DA980AE"/>
    <w:rsid w:val="5DAB8BC9"/>
    <w:rsid w:val="5DC38DB6"/>
    <w:rsid w:val="5DCEB0F2"/>
    <w:rsid w:val="5DD31A96"/>
    <w:rsid w:val="5DD63E47"/>
    <w:rsid w:val="5DDB072A"/>
    <w:rsid w:val="5DE41F28"/>
    <w:rsid w:val="5DE44094"/>
    <w:rsid w:val="5DE448CD"/>
    <w:rsid w:val="5DF1BA76"/>
    <w:rsid w:val="5DF3ED3C"/>
    <w:rsid w:val="5DFA6B8D"/>
    <w:rsid w:val="5DFC8D4D"/>
    <w:rsid w:val="5DFF27E6"/>
    <w:rsid w:val="5E0160CC"/>
    <w:rsid w:val="5E0283C8"/>
    <w:rsid w:val="5E0777DA"/>
    <w:rsid w:val="5E0CA13C"/>
    <w:rsid w:val="5E1668E2"/>
    <w:rsid w:val="5E1A19D3"/>
    <w:rsid w:val="5E1D81AB"/>
    <w:rsid w:val="5E2629AD"/>
    <w:rsid w:val="5E2C9343"/>
    <w:rsid w:val="5E3506BF"/>
    <w:rsid w:val="5E364A7D"/>
    <w:rsid w:val="5E3873D5"/>
    <w:rsid w:val="5E4C25EA"/>
    <w:rsid w:val="5E4F30B9"/>
    <w:rsid w:val="5E4FF8F2"/>
    <w:rsid w:val="5E5115FC"/>
    <w:rsid w:val="5E53B042"/>
    <w:rsid w:val="5E5CAA71"/>
    <w:rsid w:val="5E5CEEBB"/>
    <w:rsid w:val="5E67BCD3"/>
    <w:rsid w:val="5E683640"/>
    <w:rsid w:val="5E70115C"/>
    <w:rsid w:val="5E707DF5"/>
    <w:rsid w:val="5E7B9589"/>
    <w:rsid w:val="5E7D0FCC"/>
    <w:rsid w:val="5E841A6A"/>
    <w:rsid w:val="5E848FA4"/>
    <w:rsid w:val="5E8646DD"/>
    <w:rsid w:val="5E877B2B"/>
    <w:rsid w:val="5E89A806"/>
    <w:rsid w:val="5E8B22C4"/>
    <w:rsid w:val="5E8EE748"/>
    <w:rsid w:val="5E948F54"/>
    <w:rsid w:val="5E97ACCB"/>
    <w:rsid w:val="5E97EE5B"/>
    <w:rsid w:val="5E9BCCCD"/>
    <w:rsid w:val="5EA0A4A5"/>
    <w:rsid w:val="5EA166BB"/>
    <w:rsid w:val="5EA1CA05"/>
    <w:rsid w:val="5EB23E6B"/>
    <w:rsid w:val="5EB4BFA6"/>
    <w:rsid w:val="5EC151C8"/>
    <w:rsid w:val="5EC30DE8"/>
    <w:rsid w:val="5ECE43BD"/>
    <w:rsid w:val="5EE1974F"/>
    <w:rsid w:val="5EE8E21F"/>
    <w:rsid w:val="5EE95D59"/>
    <w:rsid w:val="5EE992AC"/>
    <w:rsid w:val="5EEC52F1"/>
    <w:rsid w:val="5EF1811B"/>
    <w:rsid w:val="5EF6FEFC"/>
    <w:rsid w:val="5F0DA9F2"/>
    <w:rsid w:val="5F0E1C5F"/>
    <w:rsid w:val="5F119353"/>
    <w:rsid w:val="5F126F67"/>
    <w:rsid w:val="5F1399B3"/>
    <w:rsid w:val="5F18A620"/>
    <w:rsid w:val="5F1C6E75"/>
    <w:rsid w:val="5F2560FC"/>
    <w:rsid w:val="5F26E7A2"/>
    <w:rsid w:val="5F2B22D5"/>
    <w:rsid w:val="5F2EADAC"/>
    <w:rsid w:val="5F3C3F1C"/>
    <w:rsid w:val="5F3F7BAC"/>
    <w:rsid w:val="5F4188A1"/>
    <w:rsid w:val="5F47EE67"/>
    <w:rsid w:val="5F4C6EE5"/>
    <w:rsid w:val="5F50405B"/>
    <w:rsid w:val="5F51E88B"/>
    <w:rsid w:val="5F542E75"/>
    <w:rsid w:val="5F560EBB"/>
    <w:rsid w:val="5F594EBD"/>
    <w:rsid w:val="5F5C3E29"/>
    <w:rsid w:val="5F5F359F"/>
    <w:rsid w:val="5F6596A6"/>
    <w:rsid w:val="5F67B0B6"/>
    <w:rsid w:val="5F6CB113"/>
    <w:rsid w:val="5F6D1867"/>
    <w:rsid w:val="5F6DC0D0"/>
    <w:rsid w:val="5F736252"/>
    <w:rsid w:val="5F73F060"/>
    <w:rsid w:val="5F79C7C8"/>
    <w:rsid w:val="5F86087D"/>
    <w:rsid w:val="5F9214B7"/>
    <w:rsid w:val="5F955F13"/>
    <w:rsid w:val="5F9F0777"/>
    <w:rsid w:val="5F9FCD3A"/>
    <w:rsid w:val="5FA28E17"/>
    <w:rsid w:val="5FA487AE"/>
    <w:rsid w:val="5FAB4E0F"/>
    <w:rsid w:val="5FB71BF0"/>
    <w:rsid w:val="5FB9F0AF"/>
    <w:rsid w:val="5FBA2D08"/>
    <w:rsid w:val="5FBFEE2A"/>
    <w:rsid w:val="5FC0E573"/>
    <w:rsid w:val="5FC5EDBD"/>
    <w:rsid w:val="5FC640EE"/>
    <w:rsid w:val="5FC6D8DF"/>
    <w:rsid w:val="5FCA8D0C"/>
    <w:rsid w:val="5FE738EA"/>
    <w:rsid w:val="5FEACE41"/>
    <w:rsid w:val="5FED6D8D"/>
    <w:rsid w:val="5FFA81CF"/>
    <w:rsid w:val="5FFAD455"/>
    <w:rsid w:val="600B9514"/>
    <w:rsid w:val="600E551B"/>
    <w:rsid w:val="601289C9"/>
    <w:rsid w:val="6017A55C"/>
    <w:rsid w:val="6018BF1E"/>
    <w:rsid w:val="601C7383"/>
    <w:rsid w:val="601F092A"/>
    <w:rsid w:val="60250303"/>
    <w:rsid w:val="602E06B7"/>
    <w:rsid w:val="602ED0BA"/>
    <w:rsid w:val="602F0119"/>
    <w:rsid w:val="6046BA1A"/>
    <w:rsid w:val="6047AF11"/>
    <w:rsid w:val="60490071"/>
    <w:rsid w:val="604CC8D6"/>
    <w:rsid w:val="60505CF1"/>
    <w:rsid w:val="6050D709"/>
    <w:rsid w:val="6056C820"/>
    <w:rsid w:val="605CEA40"/>
    <w:rsid w:val="605EA637"/>
    <w:rsid w:val="6066B2A7"/>
    <w:rsid w:val="606A5CED"/>
    <w:rsid w:val="6072C34B"/>
    <w:rsid w:val="6079D44F"/>
    <w:rsid w:val="607AE62C"/>
    <w:rsid w:val="607E9A66"/>
    <w:rsid w:val="60890C19"/>
    <w:rsid w:val="60920F92"/>
    <w:rsid w:val="60952943"/>
    <w:rsid w:val="60993785"/>
    <w:rsid w:val="609AF11D"/>
    <w:rsid w:val="60A601CD"/>
    <w:rsid w:val="60A96C8B"/>
    <w:rsid w:val="60AC3B7A"/>
    <w:rsid w:val="60AC48AD"/>
    <w:rsid w:val="60ADC519"/>
    <w:rsid w:val="60AF1C3B"/>
    <w:rsid w:val="60B16B03"/>
    <w:rsid w:val="60B3A02B"/>
    <w:rsid w:val="60B5ADDC"/>
    <w:rsid w:val="60B9A2F5"/>
    <w:rsid w:val="60BBAD35"/>
    <w:rsid w:val="60BEF2F8"/>
    <w:rsid w:val="60CB3FA5"/>
    <w:rsid w:val="60D3C00A"/>
    <w:rsid w:val="60D72C16"/>
    <w:rsid w:val="60E704E5"/>
    <w:rsid w:val="60EE005F"/>
    <w:rsid w:val="60F44960"/>
    <w:rsid w:val="60F99AC2"/>
    <w:rsid w:val="60FCA462"/>
    <w:rsid w:val="610C51F6"/>
    <w:rsid w:val="6110CB90"/>
    <w:rsid w:val="61126FC3"/>
    <w:rsid w:val="61149CA6"/>
    <w:rsid w:val="611D4F41"/>
    <w:rsid w:val="611F1186"/>
    <w:rsid w:val="612BFC5B"/>
    <w:rsid w:val="612D154A"/>
    <w:rsid w:val="612D64E1"/>
    <w:rsid w:val="61344AF3"/>
    <w:rsid w:val="61458BB4"/>
    <w:rsid w:val="61572690"/>
    <w:rsid w:val="61581A69"/>
    <w:rsid w:val="615C0A6E"/>
    <w:rsid w:val="615EA08F"/>
    <w:rsid w:val="61663A64"/>
    <w:rsid w:val="6166ED30"/>
    <w:rsid w:val="616EA16F"/>
    <w:rsid w:val="61728119"/>
    <w:rsid w:val="617C9321"/>
    <w:rsid w:val="6181FB21"/>
    <w:rsid w:val="61825DB4"/>
    <w:rsid w:val="61833AB3"/>
    <w:rsid w:val="618D78DF"/>
    <w:rsid w:val="618FEDF7"/>
    <w:rsid w:val="6198091F"/>
    <w:rsid w:val="619D2A4E"/>
    <w:rsid w:val="61B443D9"/>
    <w:rsid w:val="61B5E2D2"/>
    <w:rsid w:val="61B621D9"/>
    <w:rsid w:val="61D0022A"/>
    <w:rsid w:val="61D6F60E"/>
    <w:rsid w:val="61DDB7D7"/>
    <w:rsid w:val="61E1EF4C"/>
    <w:rsid w:val="61E3986C"/>
    <w:rsid w:val="61E3F7BE"/>
    <w:rsid w:val="61F64D90"/>
    <w:rsid w:val="61FBDE87"/>
    <w:rsid w:val="61FCEF80"/>
    <w:rsid w:val="61FEAC41"/>
    <w:rsid w:val="620F721F"/>
    <w:rsid w:val="621508E3"/>
    <w:rsid w:val="62226F27"/>
    <w:rsid w:val="6225D5F6"/>
    <w:rsid w:val="623783A8"/>
    <w:rsid w:val="623A707E"/>
    <w:rsid w:val="624192BA"/>
    <w:rsid w:val="6248260B"/>
    <w:rsid w:val="62529190"/>
    <w:rsid w:val="625B0EB4"/>
    <w:rsid w:val="625CB4B5"/>
    <w:rsid w:val="625E549D"/>
    <w:rsid w:val="6262FA22"/>
    <w:rsid w:val="626CA77C"/>
    <w:rsid w:val="6270CC33"/>
    <w:rsid w:val="627716DB"/>
    <w:rsid w:val="6280A6A6"/>
    <w:rsid w:val="6288034D"/>
    <w:rsid w:val="628988A6"/>
    <w:rsid w:val="628F9EEC"/>
    <w:rsid w:val="629C5AF0"/>
    <w:rsid w:val="62A26C61"/>
    <w:rsid w:val="62A406D8"/>
    <w:rsid w:val="62A5B0F6"/>
    <w:rsid w:val="62AB0220"/>
    <w:rsid w:val="62B09B0E"/>
    <w:rsid w:val="62B8F62A"/>
    <w:rsid w:val="62BD0BEE"/>
    <w:rsid w:val="62BEA8D9"/>
    <w:rsid w:val="62BF1C57"/>
    <w:rsid w:val="62C1E8C5"/>
    <w:rsid w:val="62C4BED6"/>
    <w:rsid w:val="62C85B88"/>
    <w:rsid w:val="62D74ABA"/>
    <w:rsid w:val="62D7BE02"/>
    <w:rsid w:val="62E775B6"/>
    <w:rsid w:val="62EA3C51"/>
    <w:rsid w:val="62EE3387"/>
    <w:rsid w:val="62F6CF75"/>
    <w:rsid w:val="62FBB785"/>
    <w:rsid w:val="63001148"/>
    <w:rsid w:val="63126456"/>
    <w:rsid w:val="63129D4E"/>
    <w:rsid w:val="632210A8"/>
    <w:rsid w:val="6326DA83"/>
    <w:rsid w:val="632C6A7B"/>
    <w:rsid w:val="6342CB2C"/>
    <w:rsid w:val="6344AFA9"/>
    <w:rsid w:val="634666B0"/>
    <w:rsid w:val="635087B5"/>
    <w:rsid w:val="635229B6"/>
    <w:rsid w:val="6353A7FA"/>
    <w:rsid w:val="6356B7D6"/>
    <w:rsid w:val="6367C802"/>
    <w:rsid w:val="6368E294"/>
    <w:rsid w:val="637099B8"/>
    <w:rsid w:val="63758F44"/>
    <w:rsid w:val="6381ECDA"/>
    <w:rsid w:val="63904A17"/>
    <w:rsid w:val="6390634D"/>
    <w:rsid w:val="6392ABE7"/>
    <w:rsid w:val="639E4FA1"/>
    <w:rsid w:val="63A871F1"/>
    <w:rsid w:val="63B7F175"/>
    <w:rsid w:val="63BDAB28"/>
    <w:rsid w:val="63C20F9F"/>
    <w:rsid w:val="63C457CA"/>
    <w:rsid w:val="63C79A60"/>
    <w:rsid w:val="63C9A28C"/>
    <w:rsid w:val="63D65B46"/>
    <w:rsid w:val="63D80D5E"/>
    <w:rsid w:val="63DF9DD8"/>
    <w:rsid w:val="63E9DC2A"/>
    <w:rsid w:val="63EA79CA"/>
    <w:rsid w:val="63F88953"/>
    <w:rsid w:val="63F9C88A"/>
    <w:rsid w:val="64044331"/>
    <w:rsid w:val="6409E214"/>
    <w:rsid w:val="6414FC19"/>
    <w:rsid w:val="6415D4F1"/>
    <w:rsid w:val="6416FD68"/>
    <w:rsid w:val="641BE9AD"/>
    <w:rsid w:val="641DA583"/>
    <w:rsid w:val="6421EF35"/>
    <w:rsid w:val="642F6E8B"/>
    <w:rsid w:val="6430C933"/>
    <w:rsid w:val="643439A3"/>
    <w:rsid w:val="64358E3E"/>
    <w:rsid w:val="64431F71"/>
    <w:rsid w:val="6444BF76"/>
    <w:rsid w:val="6446D837"/>
    <w:rsid w:val="6450C446"/>
    <w:rsid w:val="64536067"/>
    <w:rsid w:val="645D94EB"/>
    <w:rsid w:val="64648367"/>
    <w:rsid w:val="646B86A5"/>
    <w:rsid w:val="6470BD49"/>
    <w:rsid w:val="6472190D"/>
    <w:rsid w:val="64722AC8"/>
    <w:rsid w:val="64726CAD"/>
    <w:rsid w:val="6472BBEB"/>
    <w:rsid w:val="647516FC"/>
    <w:rsid w:val="64776CC7"/>
    <w:rsid w:val="64785FFE"/>
    <w:rsid w:val="647D88E7"/>
    <w:rsid w:val="64855118"/>
    <w:rsid w:val="648D688D"/>
    <w:rsid w:val="649678AD"/>
    <w:rsid w:val="6499A4AE"/>
    <w:rsid w:val="64AA587C"/>
    <w:rsid w:val="64AE04A1"/>
    <w:rsid w:val="64B200F1"/>
    <w:rsid w:val="64B266D2"/>
    <w:rsid w:val="64B5BED8"/>
    <w:rsid w:val="64C00578"/>
    <w:rsid w:val="64C51380"/>
    <w:rsid w:val="64D62B59"/>
    <w:rsid w:val="64D64BFA"/>
    <w:rsid w:val="64DAE55D"/>
    <w:rsid w:val="64DB50B4"/>
    <w:rsid w:val="64DBA77D"/>
    <w:rsid w:val="64E1F689"/>
    <w:rsid w:val="64E2BF5F"/>
    <w:rsid w:val="64EC17EB"/>
    <w:rsid w:val="64F0D878"/>
    <w:rsid w:val="64F4281B"/>
    <w:rsid w:val="64F8D21C"/>
    <w:rsid w:val="64FCBEBA"/>
    <w:rsid w:val="65016167"/>
    <w:rsid w:val="65028B26"/>
    <w:rsid w:val="65042E01"/>
    <w:rsid w:val="650B45A4"/>
    <w:rsid w:val="650C6695"/>
    <w:rsid w:val="650D63ED"/>
    <w:rsid w:val="65173EAB"/>
    <w:rsid w:val="65256CC8"/>
    <w:rsid w:val="653029FE"/>
    <w:rsid w:val="653C949D"/>
    <w:rsid w:val="6542F62B"/>
    <w:rsid w:val="6542FA79"/>
    <w:rsid w:val="654324F1"/>
    <w:rsid w:val="654F81B6"/>
    <w:rsid w:val="6557EF68"/>
    <w:rsid w:val="655D386B"/>
    <w:rsid w:val="655D7E5F"/>
    <w:rsid w:val="65605F99"/>
    <w:rsid w:val="6564CFE1"/>
    <w:rsid w:val="65684CEB"/>
    <w:rsid w:val="657090C2"/>
    <w:rsid w:val="65726549"/>
    <w:rsid w:val="657C74DD"/>
    <w:rsid w:val="657CE61F"/>
    <w:rsid w:val="65802F88"/>
    <w:rsid w:val="658C1939"/>
    <w:rsid w:val="658C6BAC"/>
    <w:rsid w:val="658F59E1"/>
    <w:rsid w:val="65921E9F"/>
    <w:rsid w:val="65935131"/>
    <w:rsid w:val="6593C40A"/>
    <w:rsid w:val="6599C6F5"/>
    <w:rsid w:val="65A0BB8C"/>
    <w:rsid w:val="65ADBA72"/>
    <w:rsid w:val="65B187DA"/>
    <w:rsid w:val="65B27504"/>
    <w:rsid w:val="65B60F96"/>
    <w:rsid w:val="65BB050D"/>
    <w:rsid w:val="65BC91BB"/>
    <w:rsid w:val="65C061CD"/>
    <w:rsid w:val="65C1B109"/>
    <w:rsid w:val="65C59971"/>
    <w:rsid w:val="65C73B40"/>
    <w:rsid w:val="65C99327"/>
    <w:rsid w:val="65D453B8"/>
    <w:rsid w:val="65D4F95B"/>
    <w:rsid w:val="65E4E3BA"/>
    <w:rsid w:val="65EDFFC7"/>
    <w:rsid w:val="65EF117D"/>
    <w:rsid w:val="65EFC5E7"/>
    <w:rsid w:val="65F3D40C"/>
    <w:rsid w:val="65F642A7"/>
    <w:rsid w:val="65FA32B6"/>
    <w:rsid w:val="6600131E"/>
    <w:rsid w:val="6605D5C3"/>
    <w:rsid w:val="66092043"/>
    <w:rsid w:val="66111867"/>
    <w:rsid w:val="66159149"/>
    <w:rsid w:val="66292216"/>
    <w:rsid w:val="6629C13A"/>
    <w:rsid w:val="664261EA"/>
    <w:rsid w:val="66500758"/>
    <w:rsid w:val="66533649"/>
    <w:rsid w:val="6654A845"/>
    <w:rsid w:val="665CEE78"/>
    <w:rsid w:val="666B84DF"/>
    <w:rsid w:val="666CE09D"/>
    <w:rsid w:val="6672946D"/>
    <w:rsid w:val="6672B210"/>
    <w:rsid w:val="6678FA0C"/>
    <w:rsid w:val="667B5B71"/>
    <w:rsid w:val="667C01ED"/>
    <w:rsid w:val="6683B163"/>
    <w:rsid w:val="668B655C"/>
    <w:rsid w:val="669041C3"/>
    <w:rsid w:val="6691D03B"/>
    <w:rsid w:val="6697C6DF"/>
    <w:rsid w:val="669B7162"/>
    <w:rsid w:val="66A37B37"/>
    <w:rsid w:val="66B598D8"/>
    <w:rsid w:val="66C513AF"/>
    <w:rsid w:val="66C690F8"/>
    <w:rsid w:val="66CAC337"/>
    <w:rsid w:val="66CD7F6A"/>
    <w:rsid w:val="66CDAC15"/>
    <w:rsid w:val="66D4512A"/>
    <w:rsid w:val="66F124B9"/>
    <w:rsid w:val="66F396D7"/>
    <w:rsid w:val="66F7EE39"/>
    <w:rsid w:val="66F82672"/>
    <w:rsid w:val="66FBF61B"/>
    <w:rsid w:val="66FE1175"/>
    <w:rsid w:val="66FF18EB"/>
    <w:rsid w:val="670307A5"/>
    <w:rsid w:val="67053DF1"/>
    <w:rsid w:val="670BE97F"/>
    <w:rsid w:val="670D4693"/>
    <w:rsid w:val="6710206C"/>
    <w:rsid w:val="671EE234"/>
    <w:rsid w:val="67321110"/>
    <w:rsid w:val="6732F051"/>
    <w:rsid w:val="673D05D6"/>
    <w:rsid w:val="6741A4F1"/>
    <w:rsid w:val="6741FB98"/>
    <w:rsid w:val="67470202"/>
    <w:rsid w:val="674903B7"/>
    <w:rsid w:val="6749A3B0"/>
    <w:rsid w:val="674DB8F7"/>
    <w:rsid w:val="675997EF"/>
    <w:rsid w:val="675DA9E2"/>
    <w:rsid w:val="675F9643"/>
    <w:rsid w:val="675FBB93"/>
    <w:rsid w:val="67698F42"/>
    <w:rsid w:val="6774FF13"/>
    <w:rsid w:val="6779C80F"/>
    <w:rsid w:val="6783409A"/>
    <w:rsid w:val="678644F0"/>
    <w:rsid w:val="678A2D5D"/>
    <w:rsid w:val="678D5708"/>
    <w:rsid w:val="6798B30D"/>
    <w:rsid w:val="679F2BBF"/>
    <w:rsid w:val="67A415B8"/>
    <w:rsid w:val="67A764D3"/>
    <w:rsid w:val="67B17D2F"/>
    <w:rsid w:val="67B3FC88"/>
    <w:rsid w:val="67C67939"/>
    <w:rsid w:val="67C94214"/>
    <w:rsid w:val="67CB65DC"/>
    <w:rsid w:val="67CF0D25"/>
    <w:rsid w:val="67D70EBA"/>
    <w:rsid w:val="67DA110D"/>
    <w:rsid w:val="67DB92F3"/>
    <w:rsid w:val="67DCA5C6"/>
    <w:rsid w:val="67DE54FA"/>
    <w:rsid w:val="67DEFE98"/>
    <w:rsid w:val="67E8AB8D"/>
    <w:rsid w:val="67EB75CC"/>
    <w:rsid w:val="67EEA074"/>
    <w:rsid w:val="67F57352"/>
    <w:rsid w:val="67F63CE7"/>
    <w:rsid w:val="67F7564B"/>
    <w:rsid w:val="67F7C002"/>
    <w:rsid w:val="6802E06F"/>
    <w:rsid w:val="6810D650"/>
    <w:rsid w:val="681BF09B"/>
    <w:rsid w:val="681F6EFE"/>
    <w:rsid w:val="6824812A"/>
    <w:rsid w:val="6826D7F4"/>
    <w:rsid w:val="682B55A8"/>
    <w:rsid w:val="682BAD6D"/>
    <w:rsid w:val="682C3762"/>
    <w:rsid w:val="682F32D2"/>
    <w:rsid w:val="68311623"/>
    <w:rsid w:val="683B0092"/>
    <w:rsid w:val="683B78D4"/>
    <w:rsid w:val="683E73BD"/>
    <w:rsid w:val="683EE2EE"/>
    <w:rsid w:val="6844054B"/>
    <w:rsid w:val="684E7141"/>
    <w:rsid w:val="6850D379"/>
    <w:rsid w:val="6852395C"/>
    <w:rsid w:val="685911EA"/>
    <w:rsid w:val="685D96AC"/>
    <w:rsid w:val="685E6D5B"/>
    <w:rsid w:val="685F222A"/>
    <w:rsid w:val="686144AE"/>
    <w:rsid w:val="6863C0B3"/>
    <w:rsid w:val="68653AB7"/>
    <w:rsid w:val="68654A6F"/>
    <w:rsid w:val="6873934F"/>
    <w:rsid w:val="687692A1"/>
    <w:rsid w:val="6884926B"/>
    <w:rsid w:val="688F49A9"/>
    <w:rsid w:val="689CAC2C"/>
    <w:rsid w:val="689DB284"/>
    <w:rsid w:val="68A2AE8C"/>
    <w:rsid w:val="68AC68BF"/>
    <w:rsid w:val="68AE1AC1"/>
    <w:rsid w:val="68AED5B4"/>
    <w:rsid w:val="68B0EB9A"/>
    <w:rsid w:val="68B59306"/>
    <w:rsid w:val="68BB7AE5"/>
    <w:rsid w:val="68BFA6F1"/>
    <w:rsid w:val="68C38790"/>
    <w:rsid w:val="68C4AF5F"/>
    <w:rsid w:val="68C7A91D"/>
    <w:rsid w:val="68CA3533"/>
    <w:rsid w:val="68CD2AD4"/>
    <w:rsid w:val="68D753E2"/>
    <w:rsid w:val="68DD48BD"/>
    <w:rsid w:val="68E1A262"/>
    <w:rsid w:val="68EE7A31"/>
    <w:rsid w:val="68F9BD2D"/>
    <w:rsid w:val="68FAB4D3"/>
    <w:rsid w:val="68FBF7FF"/>
    <w:rsid w:val="69045244"/>
    <w:rsid w:val="691623C4"/>
    <w:rsid w:val="691873E3"/>
    <w:rsid w:val="69197304"/>
    <w:rsid w:val="691EBA50"/>
    <w:rsid w:val="6923C747"/>
    <w:rsid w:val="692CAE55"/>
    <w:rsid w:val="6931AB81"/>
    <w:rsid w:val="6937060D"/>
    <w:rsid w:val="69386BE2"/>
    <w:rsid w:val="693A4E05"/>
    <w:rsid w:val="694060A1"/>
    <w:rsid w:val="6949BD34"/>
    <w:rsid w:val="69578DDC"/>
    <w:rsid w:val="69592AD9"/>
    <w:rsid w:val="695E7840"/>
    <w:rsid w:val="6961370F"/>
    <w:rsid w:val="6965CDC8"/>
    <w:rsid w:val="696B4EE6"/>
    <w:rsid w:val="6974BF10"/>
    <w:rsid w:val="698B3EB3"/>
    <w:rsid w:val="698B4DDB"/>
    <w:rsid w:val="699863D4"/>
    <w:rsid w:val="699F599C"/>
    <w:rsid w:val="69B2AB46"/>
    <w:rsid w:val="69B3DBCC"/>
    <w:rsid w:val="69B834EA"/>
    <w:rsid w:val="69B87713"/>
    <w:rsid w:val="69C0DCB1"/>
    <w:rsid w:val="69C68704"/>
    <w:rsid w:val="69C699BB"/>
    <w:rsid w:val="69C8A05B"/>
    <w:rsid w:val="69D0DDB7"/>
    <w:rsid w:val="69D108EF"/>
    <w:rsid w:val="69DD65DB"/>
    <w:rsid w:val="69DE9BBD"/>
    <w:rsid w:val="69DF7F9D"/>
    <w:rsid w:val="69E53241"/>
    <w:rsid w:val="69EA3F96"/>
    <w:rsid w:val="69EEAD4C"/>
    <w:rsid w:val="69F6DABD"/>
    <w:rsid w:val="69F9F73B"/>
    <w:rsid w:val="69FA9D2E"/>
    <w:rsid w:val="69FBBE5E"/>
    <w:rsid w:val="6A027FDC"/>
    <w:rsid w:val="6A02A061"/>
    <w:rsid w:val="6A05980D"/>
    <w:rsid w:val="6A06F9B0"/>
    <w:rsid w:val="6A0AB161"/>
    <w:rsid w:val="6A0B5A59"/>
    <w:rsid w:val="6A15501A"/>
    <w:rsid w:val="6A259732"/>
    <w:rsid w:val="6A271B3B"/>
    <w:rsid w:val="6A2E513D"/>
    <w:rsid w:val="6A41493E"/>
    <w:rsid w:val="6A445C3A"/>
    <w:rsid w:val="6A46B785"/>
    <w:rsid w:val="6A527F97"/>
    <w:rsid w:val="6A5B370D"/>
    <w:rsid w:val="6A647FAE"/>
    <w:rsid w:val="6A6A58ED"/>
    <w:rsid w:val="6A6C57FC"/>
    <w:rsid w:val="6A6C5C32"/>
    <w:rsid w:val="6A7284CB"/>
    <w:rsid w:val="6A77197F"/>
    <w:rsid w:val="6A7A4080"/>
    <w:rsid w:val="6A7FCBEC"/>
    <w:rsid w:val="6A86D1AA"/>
    <w:rsid w:val="6A8A955E"/>
    <w:rsid w:val="6A8C88B6"/>
    <w:rsid w:val="6A8D9A36"/>
    <w:rsid w:val="6AA1073D"/>
    <w:rsid w:val="6AA24CEC"/>
    <w:rsid w:val="6AA9AE3E"/>
    <w:rsid w:val="6AAA3F51"/>
    <w:rsid w:val="6AAD93EB"/>
    <w:rsid w:val="6AB11DCE"/>
    <w:rsid w:val="6AB5ADF9"/>
    <w:rsid w:val="6AB678B0"/>
    <w:rsid w:val="6AB765F7"/>
    <w:rsid w:val="6ABD6788"/>
    <w:rsid w:val="6AC54F63"/>
    <w:rsid w:val="6AC9439A"/>
    <w:rsid w:val="6ACF303E"/>
    <w:rsid w:val="6AD5E16E"/>
    <w:rsid w:val="6ADA0C8D"/>
    <w:rsid w:val="6ADA3E23"/>
    <w:rsid w:val="6ADF9892"/>
    <w:rsid w:val="6AEEE796"/>
    <w:rsid w:val="6AF96988"/>
    <w:rsid w:val="6AFDA34C"/>
    <w:rsid w:val="6B0217A5"/>
    <w:rsid w:val="6B034DCC"/>
    <w:rsid w:val="6B0956B0"/>
    <w:rsid w:val="6B1075BC"/>
    <w:rsid w:val="6B238C1F"/>
    <w:rsid w:val="6B27BED2"/>
    <w:rsid w:val="6B2AB6E6"/>
    <w:rsid w:val="6B2EED61"/>
    <w:rsid w:val="6B32EADA"/>
    <w:rsid w:val="6B342EC4"/>
    <w:rsid w:val="6B36AAB8"/>
    <w:rsid w:val="6B4643CC"/>
    <w:rsid w:val="6B4A8D81"/>
    <w:rsid w:val="6B572FB3"/>
    <w:rsid w:val="6B6035F7"/>
    <w:rsid w:val="6B614EB0"/>
    <w:rsid w:val="6B65A146"/>
    <w:rsid w:val="6B6C20C8"/>
    <w:rsid w:val="6B8BAF2D"/>
    <w:rsid w:val="6B8E657E"/>
    <w:rsid w:val="6B95D55B"/>
    <w:rsid w:val="6B97BBC8"/>
    <w:rsid w:val="6BA8F6C2"/>
    <w:rsid w:val="6BABBBE6"/>
    <w:rsid w:val="6BADDC94"/>
    <w:rsid w:val="6BAE82D8"/>
    <w:rsid w:val="6BB59E48"/>
    <w:rsid w:val="6BB87217"/>
    <w:rsid w:val="6BB950B6"/>
    <w:rsid w:val="6BC2AB50"/>
    <w:rsid w:val="6BC48466"/>
    <w:rsid w:val="6BCB07EE"/>
    <w:rsid w:val="6BCC0242"/>
    <w:rsid w:val="6BD09F18"/>
    <w:rsid w:val="6BD709DA"/>
    <w:rsid w:val="6BD712DC"/>
    <w:rsid w:val="6BDF0FC0"/>
    <w:rsid w:val="6BE23CA6"/>
    <w:rsid w:val="6BEEF8A6"/>
    <w:rsid w:val="6BFA2FA1"/>
    <w:rsid w:val="6BFB4218"/>
    <w:rsid w:val="6BFF0156"/>
    <w:rsid w:val="6C035684"/>
    <w:rsid w:val="6C0E0A9C"/>
    <w:rsid w:val="6C0EA8EA"/>
    <w:rsid w:val="6C0EE508"/>
    <w:rsid w:val="6C16CC4C"/>
    <w:rsid w:val="6C1A365C"/>
    <w:rsid w:val="6C1D5163"/>
    <w:rsid w:val="6C25F1BD"/>
    <w:rsid w:val="6C292CF5"/>
    <w:rsid w:val="6C2BBA9E"/>
    <w:rsid w:val="6C31DB08"/>
    <w:rsid w:val="6C32F8C9"/>
    <w:rsid w:val="6C36EAC4"/>
    <w:rsid w:val="6C394EE3"/>
    <w:rsid w:val="6C3F4802"/>
    <w:rsid w:val="6C43945F"/>
    <w:rsid w:val="6C456052"/>
    <w:rsid w:val="6C46311E"/>
    <w:rsid w:val="6C465B9A"/>
    <w:rsid w:val="6C4E4712"/>
    <w:rsid w:val="6C4FEC0B"/>
    <w:rsid w:val="6C51F77B"/>
    <w:rsid w:val="6C577009"/>
    <w:rsid w:val="6C591B4A"/>
    <w:rsid w:val="6C5BADF6"/>
    <w:rsid w:val="6C5D3858"/>
    <w:rsid w:val="6C5E670C"/>
    <w:rsid w:val="6C641157"/>
    <w:rsid w:val="6C6D77EA"/>
    <w:rsid w:val="6C76425D"/>
    <w:rsid w:val="6C79A90D"/>
    <w:rsid w:val="6C79B674"/>
    <w:rsid w:val="6C7FBB38"/>
    <w:rsid w:val="6C8243E1"/>
    <w:rsid w:val="6C881CC1"/>
    <w:rsid w:val="6C94ACDD"/>
    <w:rsid w:val="6C974275"/>
    <w:rsid w:val="6C999881"/>
    <w:rsid w:val="6CA0A7D3"/>
    <w:rsid w:val="6CA12A05"/>
    <w:rsid w:val="6CA53CC2"/>
    <w:rsid w:val="6CA73EF2"/>
    <w:rsid w:val="6CB21E89"/>
    <w:rsid w:val="6CC20190"/>
    <w:rsid w:val="6CCDB380"/>
    <w:rsid w:val="6CD50838"/>
    <w:rsid w:val="6CDD4E1A"/>
    <w:rsid w:val="6CF825F8"/>
    <w:rsid w:val="6CF8C295"/>
    <w:rsid w:val="6D0461AA"/>
    <w:rsid w:val="6D04B0DA"/>
    <w:rsid w:val="6D062191"/>
    <w:rsid w:val="6D074BB2"/>
    <w:rsid w:val="6D11036D"/>
    <w:rsid w:val="6D1110DF"/>
    <w:rsid w:val="6D18E258"/>
    <w:rsid w:val="6D1B862A"/>
    <w:rsid w:val="6D1EFE0E"/>
    <w:rsid w:val="6D2246B4"/>
    <w:rsid w:val="6D24D0DE"/>
    <w:rsid w:val="6D2843DE"/>
    <w:rsid w:val="6D2B5F22"/>
    <w:rsid w:val="6D2E1FD1"/>
    <w:rsid w:val="6D3632E1"/>
    <w:rsid w:val="6D373AAD"/>
    <w:rsid w:val="6D39550F"/>
    <w:rsid w:val="6D67CB88"/>
    <w:rsid w:val="6D68A90D"/>
    <w:rsid w:val="6D709151"/>
    <w:rsid w:val="6D79C3EC"/>
    <w:rsid w:val="6D7B4FEC"/>
    <w:rsid w:val="6D7E8EBC"/>
    <w:rsid w:val="6D8AA821"/>
    <w:rsid w:val="6D8CBE69"/>
    <w:rsid w:val="6D944296"/>
    <w:rsid w:val="6D954D3B"/>
    <w:rsid w:val="6D96C9EE"/>
    <w:rsid w:val="6D987E91"/>
    <w:rsid w:val="6D9997AC"/>
    <w:rsid w:val="6D9D4E1E"/>
    <w:rsid w:val="6DA8E887"/>
    <w:rsid w:val="6DB368C0"/>
    <w:rsid w:val="6DBDC362"/>
    <w:rsid w:val="6DC3908C"/>
    <w:rsid w:val="6DC58CDF"/>
    <w:rsid w:val="6DD2A413"/>
    <w:rsid w:val="6DD6674A"/>
    <w:rsid w:val="6DD72CB2"/>
    <w:rsid w:val="6DD9EFE4"/>
    <w:rsid w:val="6DDAB998"/>
    <w:rsid w:val="6DDB72BE"/>
    <w:rsid w:val="6DE24842"/>
    <w:rsid w:val="6DE7B009"/>
    <w:rsid w:val="6DF09B15"/>
    <w:rsid w:val="6DF76BA7"/>
    <w:rsid w:val="6DFC6558"/>
    <w:rsid w:val="6DFF06A5"/>
    <w:rsid w:val="6E000AC7"/>
    <w:rsid w:val="6E007C4A"/>
    <w:rsid w:val="6E1E1B49"/>
    <w:rsid w:val="6E22F5F7"/>
    <w:rsid w:val="6E23CC4A"/>
    <w:rsid w:val="6E27FD13"/>
    <w:rsid w:val="6E322271"/>
    <w:rsid w:val="6E3DEC07"/>
    <w:rsid w:val="6E460F1B"/>
    <w:rsid w:val="6E4F1F6C"/>
    <w:rsid w:val="6E55DDB5"/>
    <w:rsid w:val="6E5E7A20"/>
    <w:rsid w:val="6E5FA2BF"/>
    <w:rsid w:val="6E651527"/>
    <w:rsid w:val="6E70C8C2"/>
    <w:rsid w:val="6E764E07"/>
    <w:rsid w:val="6E7688AF"/>
    <w:rsid w:val="6E7AF171"/>
    <w:rsid w:val="6E7B1F76"/>
    <w:rsid w:val="6E7C9DAE"/>
    <w:rsid w:val="6E7EA9DE"/>
    <w:rsid w:val="6E8199F5"/>
    <w:rsid w:val="6E83300A"/>
    <w:rsid w:val="6E95254F"/>
    <w:rsid w:val="6E96B67B"/>
    <w:rsid w:val="6EA17D00"/>
    <w:rsid w:val="6EA2BB7E"/>
    <w:rsid w:val="6EAF073A"/>
    <w:rsid w:val="6EAFB7CB"/>
    <w:rsid w:val="6EB19FE3"/>
    <w:rsid w:val="6EB1FBB0"/>
    <w:rsid w:val="6EBDC45F"/>
    <w:rsid w:val="6EC12168"/>
    <w:rsid w:val="6EC18207"/>
    <w:rsid w:val="6EC8ABB0"/>
    <w:rsid w:val="6ED41E44"/>
    <w:rsid w:val="6EDD07FB"/>
    <w:rsid w:val="6EDD9A0D"/>
    <w:rsid w:val="6EDF547E"/>
    <w:rsid w:val="6EE05610"/>
    <w:rsid w:val="6EE806B8"/>
    <w:rsid w:val="6EEF02DE"/>
    <w:rsid w:val="6EF5657A"/>
    <w:rsid w:val="6EFA2920"/>
    <w:rsid w:val="6EFC4F2E"/>
    <w:rsid w:val="6EFC801C"/>
    <w:rsid w:val="6EFEE4AB"/>
    <w:rsid w:val="6F05D828"/>
    <w:rsid w:val="6F0742E7"/>
    <w:rsid w:val="6F092424"/>
    <w:rsid w:val="6F09BFE3"/>
    <w:rsid w:val="6F0A9900"/>
    <w:rsid w:val="6F0EAC57"/>
    <w:rsid w:val="6F1A1915"/>
    <w:rsid w:val="6F1B275E"/>
    <w:rsid w:val="6F252431"/>
    <w:rsid w:val="6F2B9C55"/>
    <w:rsid w:val="6F37CC57"/>
    <w:rsid w:val="6F3842C9"/>
    <w:rsid w:val="6F3AF351"/>
    <w:rsid w:val="6F46A6FE"/>
    <w:rsid w:val="6F481862"/>
    <w:rsid w:val="6F564C88"/>
    <w:rsid w:val="6F5A5904"/>
    <w:rsid w:val="6F5DD983"/>
    <w:rsid w:val="6F674710"/>
    <w:rsid w:val="6F6BA5CE"/>
    <w:rsid w:val="6F6C49F9"/>
    <w:rsid w:val="6F7124ED"/>
    <w:rsid w:val="6F75954B"/>
    <w:rsid w:val="6F76C8A7"/>
    <w:rsid w:val="6F79325E"/>
    <w:rsid w:val="6F7B38D1"/>
    <w:rsid w:val="6F800878"/>
    <w:rsid w:val="6F814412"/>
    <w:rsid w:val="6F82B173"/>
    <w:rsid w:val="6F928B4C"/>
    <w:rsid w:val="6F95A618"/>
    <w:rsid w:val="6F9C8405"/>
    <w:rsid w:val="6FA18599"/>
    <w:rsid w:val="6FA5C404"/>
    <w:rsid w:val="6FAF8AF0"/>
    <w:rsid w:val="6FB0C48B"/>
    <w:rsid w:val="6FB697AA"/>
    <w:rsid w:val="6FB98BE9"/>
    <w:rsid w:val="6FBB0CF8"/>
    <w:rsid w:val="6FBECE97"/>
    <w:rsid w:val="6FBFD322"/>
    <w:rsid w:val="6FC4F678"/>
    <w:rsid w:val="6FCF4896"/>
    <w:rsid w:val="6FD1C74F"/>
    <w:rsid w:val="6FD5E408"/>
    <w:rsid w:val="6FD72644"/>
    <w:rsid w:val="6FE3B17B"/>
    <w:rsid w:val="6FEB660D"/>
    <w:rsid w:val="6FEF7DCF"/>
    <w:rsid w:val="6FF1282E"/>
    <w:rsid w:val="6FF1DA20"/>
    <w:rsid w:val="6FF55810"/>
    <w:rsid w:val="7003C0E2"/>
    <w:rsid w:val="700C3FD1"/>
    <w:rsid w:val="70155CB5"/>
    <w:rsid w:val="701C8326"/>
    <w:rsid w:val="702712CB"/>
    <w:rsid w:val="7029E3EA"/>
    <w:rsid w:val="70313BA6"/>
    <w:rsid w:val="7031C775"/>
    <w:rsid w:val="70398AF8"/>
    <w:rsid w:val="7039FFBF"/>
    <w:rsid w:val="703EA82F"/>
    <w:rsid w:val="7040FCB7"/>
    <w:rsid w:val="70489AFF"/>
    <w:rsid w:val="7049839C"/>
    <w:rsid w:val="704AEB97"/>
    <w:rsid w:val="704B4609"/>
    <w:rsid w:val="704B4757"/>
    <w:rsid w:val="704BD738"/>
    <w:rsid w:val="704F7090"/>
    <w:rsid w:val="704FB7EF"/>
    <w:rsid w:val="705518A3"/>
    <w:rsid w:val="705B44E6"/>
    <w:rsid w:val="705D4759"/>
    <w:rsid w:val="706310D1"/>
    <w:rsid w:val="7067BFEE"/>
    <w:rsid w:val="70693B3D"/>
    <w:rsid w:val="706F054B"/>
    <w:rsid w:val="70719CF0"/>
    <w:rsid w:val="70752930"/>
    <w:rsid w:val="707B2DDB"/>
    <w:rsid w:val="707E4FEF"/>
    <w:rsid w:val="707FEBED"/>
    <w:rsid w:val="708C3D10"/>
    <w:rsid w:val="7097C199"/>
    <w:rsid w:val="709F20DE"/>
    <w:rsid w:val="70A27369"/>
    <w:rsid w:val="70A4595E"/>
    <w:rsid w:val="70A8D471"/>
    <w:rsid w:val="70B69146"/>
    <w:rsid w:val="70B87C33"/>
    <w:rsid w:val="70BA47FD"/>
    <w:rsid w:val="70C6E1A0"/>
    <w:rsid w:val="70C94307"/>
    <w:rsid w:val="70CBCF2F"/>
    <w:rsid w:val="70D56A82"/>
    <w:rsid w:val="70D64BC7"/>
    <w:rsid w:val="70D9EB56"/>
    <w:rsid w:val="70DE0FF1"/>
    <w:rsid w:val="70E09AF9"/>
    <w:rsid w:val="70E2E8E8"/>
    <w:rsid w:val="70E81092"/>
    <w:rsid w:val="70EAEB10"/>
    <w:rsid w:val="70EC28B1"/>
    <w:rsid w:val="70F17C00"/>
    <w:rsid w:val="70F2AF1F"/>
    <w:rsid w:val="70F5F905"/>
    <w:rsid w:val="71016BA2"/>
    <w:rsid w:val="71019E38"/>
    <w:rsid w:val="71020428"/>
    <w:rsid w:val="7102B9DC"/>
    <w:rsid w:val="710DC664"/>
    <w:rsid w:val="710F340F"/>
    <w:rsid w:val="7117B88B"/>
    <w:rsid w:val="71199173"/>
    <w:rsid w:val="711C9DFD"/>
    <w:rsid w:val="711E09BE"/>
    <w:rsid w:val="71239DF1"/>
    <w:rsid w:val="7124BF8F"/>
    <w:rsid w:val="7124D6A0"/>
    <w:rsid w:val="712CC856"/>
    <w:rsid w:val="712E67CE"/>
    <w:rsid w:val="71301FCC"/>
    <w:rsid w:val="71337C0F"/>
    <w:rsid w:val="713AE65B"/>
    <w:rsid w:val="713F605F"/>
    <w:rsid w:val="714767B1"/>
    <w:rsid w:val="714BFC32"/>
    <w:rsid w:val="7155F256"/>
    <w:rsid w:val="715A2226"/>
    <w:rsid w:val="71644E6E"/>
    <w:rsid w:val="7165682C"/>
    <w:rsid w:val="716CD7A4"/>
    <w:rsid w:val="71751F4A"/>
    <w:rsid w:val="718B63D4"/>
    <w:rsid w:val="718CDBBA"/>
    <w:rsid w:val="718D0A46"/>
    <w:rsid w:val="718D7F0C"/>
    <w:rsid w:val="71920918"/>
    <w:rsid w:val="71996708"/>
    <w:rsid w:val="71A1F15E"/>
    <w:rsid w:val="71A3B3D9"/>
    <w:rsid w:val="71A3BCC4"/>
    <w:rsid w:val="71A676A9"/>
    <w:rsid w:val="71AA8021"/>
    <w:rsid w:val="71ADF76F"/>
    <w:rsid w:val="71B0B317"/>
    <w:rsid w:val="71B33071"/>
    <w:rsid w:val="71B37D5C"/>
    <w:rsid w:val="71C2345B"/>
    <w:rsid w:val="71D4B29C"/>
    <w:rsid w:val="71DA642C"/>
    <w:rsid w:val="71EBFBDB"/>
    <w:rsid w:val="71F2618A"/>
    <w:rsid w:val="71F406A9"/>
    <w:rsid w:val="71F481BA"/>
    <w:rsid w:val="71F5EBD4"/>
    <w:rsid w:val="71F854D1"/>
    <w:rsid w:val="71FB5BF2"/>
    <w:rsid w:val="71FDC666"/>
    <w:rsid w:val="71FEC1E8"/>
    <w:rsid w:val="71FF210C"/>
    <w:rsid w:val="720452A2"/>
    <w:rsid w:val="72053260"/>
    <w:rsid w:val="7205FB7C"/>
    <w:rsid w:val="720ABE7B"/>
    <w:rsid w:val="7210AA87"/>
    <w:rsid w:val="721691F1"/>
    <w:rsid w:val="722B635C"/>
    <w:rsid w:val="722BFA93"/>
    <w:rsid w:val="722FEFDF"/>
    <w:rsid w:val="72334614"/>
    <w:rsid w:val="72371DE7"/>
    <w:rsid w:val="7242529C"/>
    <w:rsid w:val="72503B2C"/>
    <w:rsid w:val="72573D27"/>
    <w:rsid w:val="7257CB18"/>
    <w:rsid w:val="725A1AA0"/>
    <w:rsid w:val="7260277A"/>
    <w:rsid w:val="7261C0AC"/>
    <w:rsid w:val="72668F89"/>
    <w:rsid w:val="727074E6"/>
    <w:rsid w:val="7278F05D"/>
    <w:rsid w:val="72830C9D"/>
    <w:rsid w:val="7283C717"/>
    <w:rsid w:val="72847390"/>
    <w:rsid w:val="7287482F"/>
    <w:rsid w:val="72888164"/>
    <w:rsid w:val="728E653F"/>
    <w:rsid w:val="7292E344"/>
    <w:rsid w:val="72934182"/>
    <w:rsid w:val="729ACA23"/>
    <w:rsid w:val="729EB49B"/>
    <w:rsid w:val="72AA91DA"/>
    <w:rsid w:val="72AC2DA0"/>
    <w:rsid w:val="72ACFA0A"/>
    <w:rsid w:val="72AF1925"/>
    <w:rsid w:val="72B8FA9C"/>
    <w:rsid w:val="72C758E5"/>
    <w:rsid w:val="72C891C5"/>
    <w:rsid w:val="72CA6476"/>
    <w:rsid w:val="72CE9C9A"/>
    <w:rsid w:val="72D269F1"/>
    <w:rsid w:val="72E270D9"/>
    <w:rsid w:val="72ECD8C6"/>
    <w:rsid w:val="72EDEDC3"/>
    <w:rsid w:val="72F24CB7"/>
    <w:rsid w:val="72F79FEF"/>
    <w:rsid w:val="73054ED3"/>
    <w:rsid w:val="730BB082"/>
    <w:rsid w:val="730C1507"/>
    <w:rsid w:val="730C901D"/>
    <w:rsid w:val="730E50F0"/>
    <w:rsid w:val="731BE778"/>
    <w:rsid w:val="731C8721"/>
    <w:rsid w:val="7328A0DC"/>
    <w:rsid w:val="7331FC72"/>
    <w:rsid w:val="733EF234"/>
    <w:rsid w:val="7346145E"/>
    <w:rsid w:val="734D2EE3"/>
    <w:rsid w:val="734E2941"/>
    <w:rsid w:val="7359D605"/>
    <w:rsid w:val="735AB453"/>
    <w:rsid w:val="736097D2"/>
    <w:rsid w:val="73672ED6"/>
    <w:rsid w:val="737BC87F"/>
    <w:rsid w:val="738159EE"/>
    <w:rsid w:val="7383C135"/>
    <w:rsid w:val="73877DF9"/>
    <w:rsid w:val="738D5391"/>
    <w:rsid w:val="738E5851"/>
    <w:rsid w:val="73934C6E"/>
    <w:rsid w:val="73A0878A"/>
    <w:rsid w:val="73AC0FC6"/>
    <w:rsid w:val="73AE7CBA"/>
    <w:rsid w:val="73B00C00"/>
    <w:rsid w:val="73B55EE4"/>
    <w:rsid w:val="73B7E59B"/>
    <w:rsid w:val="73BA970F"/>
    <w:rsid w:val="73C9C7C6"/>
    <w:rsid w:val="73CD39F3"/>
    <w:rsid w:val="73DB2368"/>
    <w:rsid w:val="73DE8E75"/>
    <w:rsid w:val="73E9AE5D"/>
    <w:rsid w:val="73EAF53F"/>
    <w:rsid w:val="73ED6F26"/>
    <w:rsid w:val="73F1873F"/>
    <w:rsid w:val="73F5F641"/>
    <w:rsid w:val="73FAF753"/>
    <w:rsid w:val="73FB1751"/>
    <w:rsid w:val="73FDC473"/>
    <w:rsid w:val="73FFC22C"/>
    <w:rsid w:val="740494EE"/>
    <w:rsid w:val="7404D464"/>
    <w:rsid w:val="740658DE"/>
    <w:rsid w:val="740BBF10"/>
    <w:rsid w:val="741539FC"/>
    <w:rsid w:val="741650EC"/>
    <w:rsid w:val="74189332"/>
    <w:rsid w:val="74249734"/>
    <w:rsid w:val="7428BF50"/>
    <w:rsid w:val="742DA405"/>
    <w:rsid w:val="743C9A38"/>
    <w:rsid w:val="743CCF29"/>
    <w:rsid w:val="743CD9D8"/>
    <w:rsid w:val="743D0F13"/>
    <w:rsid w:val="743E6DDC"/>
    <w:rsid w:val="743E902B"/>
    <w:rsid w:val="743F1C71"/>
    <w:rsid w:val="744CEB7F"/>
    <w:rsid w:val="7451D342"/>
    <w:rsid w:val="7451FD63"/>
    <w:rsid w:val="745519CC"/>
    <w:rsid w:val="7465F102"/>
    <w:rsid w:val="74831862"/>
    <w:rsid w:val="748FAFED"/>
    <w:rsid w:val="7495FA76"/>
    <w:rsid w:val="74A77BB3"/>
    <w:rsid w:val="74B2E2A1"/>
    <w:rsid w:val="74BCCA82"/>
    <w:rsid w:val="74BE66F6"/>
    <w:rsid w:val="74BFF4F3"/>
    <w:rsid w:val="74C03617"/>
    <w:rsid w:val="74C07906"/>
    <w:rsid w:val="74C1BCE4"/>
    <w:rsid w:val="74C34B99"/>
    <w:rsid w:val="74C3ADDD"/>
    <w:rsid w:val="74C90D82"/>
    <w:rsid w:val="74D25208"/>
    <w:rsid w:val="74D3CFC6"/>
    <w:rsid w:val="74D4AC46"/>
    <w:rsid w:val="74E3E66C"/>
    <w:rsid w:val="74EDD606"/>
    <w:rsid w:val="74EE3F24"/>
    <w:rsid w:val="74F1355E"/>
    <w:rsid w:val="7508A49B"/>
    <w:rsid w:val="750CB731"/>
    <w:rsid w:val="751E3310"/>
    <w:rsid w:val="75287D3D"/>
    <w:rsid w:val="7529F143"/>
    <w:rsid w:val="752BD441"/>
    <w:rsid w:val="7532C33C"/>
    <w:rsid w:val="75357578"/>
    <w:rsid w:val="7543CB33"/>
    <w:rsid w:val="75458CFF"/>
    <w:rsid w:val="7547F9ED"/>
    <w:rsid w:val="75525A7A"/>
    <w:rsid w:val="75549FA9"/>
    <w:rsid w:val="7555CACD"/>
    <w:rsid w:val="755DF5C2"/>
    <w:rsid w:val="75643454"/>
    <w:rsid w:val="75674C0C"/>
    <w:rsid w:val="75723F20"/>
    <w:rsid w:val="7575AAE2"/>
    <w:rsid w:val="7577FB6F"/>
    <w:rsid w:val="757AC252"/>
    <w:rsid w:val="7581A326"/>
    <w:rsid w:val="758C3E5D"/>
    <w:rsid w:val="758F67AB"/>
    <w:rsid w:val="75ABD6FD"/>
    <w:rsid w:val="75AC7E5B"/>
    <w:rsid w:val="75B0492F"/>
    <w:rsid w:val="75B084CC"/>
    <w:rsid w:val="75B44C75"/>
    <w:rsid w:val="75B76AE9"/>
    <w:rsid w:val="75BB0944"/>
    <w:rsid w:val="75C79EDE"/>
    <w:rsid w:val="75CA48D5"/>
    <w:rsid w:val="75CA49E2"/>
    <w:rsid w:val="75CB78FF"/>
    <w:rsid w:val="75D2A3BE"/>
    <w:rsid w:val="75D517D2"/>
    <w:rsid w:val="75D6F5E9"/>
    <w:rsid w:val="75DBC6E3"/>
    <w:rsid w:val="75EAC4C4"/>
    <w:rsid w:val="75FBBC30"/>
    <w:rsid w:val="7602FD0B"/>
    <w:rsid w:val="76043D16"/>
    <w:rsid w:val="7605EC92"/>
    <w:rsid w:val="76136820"/>
    <w:rsid w:val="76149F45"/>
    <w:rsid w:val="7616E0C1"/>
    <w:rsid w:val="761B2575"/>
    <w:rsid w:val="7623038B"/>
    <w:rsid w:val="76267491"/>
    <w:rsid w:val="7627196C"/>
    <w:rsid w:val="762A39F5"/>
    <w:rsid w:val="762B5D6A"/>
    <w:rsid w:val="762E6138"/>
    <w:rsid w:val="762F8564"/>
    <w:rsid w:val="7636A6DB"/>
    <w:rsid w:val="7638212C"/>
    <w:rsid w:val="76389C3D"/>
    <w:rsid w:val="764096C2"/>
    <w:rsid w:val="7640CFCA"/>
    <w:rsid w:val="76509F90"/>
    <w:rsid w:val="7652A3EB"/>
    <w:rsid w:val="76590B29"/>
    <w:rsid w:val="7662FE69"/>
    <w:rsid w:val="76674F01"/>
    <w:rsid w:val="766821A9"/>
    <w:rsid w:val="766AF0CD"/>
    <w:rsid w:val="766D5F11"/>
    <w:rsid w:val="766F6EB6"/>
    <w:rsid w:val="7672301F"/>
    <w:rsid w:val="7682205D"/>
    <w:rsid w:val="76859A8D"/>
    <w:rsid w:val="76866AA9"/>
    <w:rsid w:val="7692F6AE"/>
    <w:rsid w:val="76993487"/>
    <w:rsid w:val="769E321B"/>
    <w:rsid w:val="769E8102"/>
    <w:rsid w:val="769F8BB0"/>
    <w:rsid w:val="76A0B557"/>
    <w:rsid w:val="76AB25E5"/>
    <w:rsid w:val="76ABFF91"/>
    <w:rsid w:val="76ACF6F5"/>
    <w:rsid w:val="76AF733E"/>
    <w:rsid w:val="76AFD6D6"/>
    <w:rsid w:val="76B047B8"/>
    <w:rsid w:val="76B07A8F"/>
    <w:rsid w:val="76B1124E"/>
    <w:rsid w:val="76B56723"/>
    <w:rsid w:val="76B9C7FD"/>
    <w:rsid w:val="76BF0543"/>
    <w:rsid w:val="76BFF03F"/>
    <w:rsid w:val="76C04E34"/>
    <w:rsid w:val="76C1665B"/>
    <w:rsid w:val="76C40BFD"/>
    <w:rsid w:val="76C7FD84"/>
    <w:rsid w:val="76E2C491"/>
    <w:rsid w:val="76EAA1CB"/>
    <w:rsid w:val="76EE09C1"/>
    <w:rsid w:val="7700633E"/>
    <w:rsid w:val="770ADB47"/>
    <w:rsid w:val="770C3994"/>
    <w:rsid w:val="770F74AB"/>
    <w:rsid w:val="77131002"/>
    <w:rsid w:val="7718644A"/>
    <w:rsid w:val="771B68D8"/>
    <w:rsid w:val="771B7D40"/>
    <w:rsid w:val="772EE8C2"/>
    <w:rsid w:val="7731BBED"/>
    <w:rsid w:val="7734E204"/>
    <w:rsid w:val="773DA510"/>
    <w:rsid w:val="7740D79A"/>
    <w:rsid w:val="7740FD69"/>
    <w:rsid w:val="77497506"/>
    <w:rsid w:val="774D8274"/>
    <w:rsid w:val="77508966"/>
    <w:rsid w:val="77550751"/>
    <w:rsid w:val="77555298"/>
    <w:rsid w:val="775F3DFD"/>
    <w:rsid w:val="776D24A7"/>
    <w:rsid w:val="7775955D"/>
    <w:rsid w:val="77768D27"/>
    <w:rsid w:val="777C8CD1"/>
    <w:rsid w:val="777E499E"/>
    <w:rsid w:val="77804F86"/>
    <w:rsid w:val="778EFC69"/>
    <w:rsid w:val="7796056A"/>
    <w:rsid w:val="779A89B9"/>
    <w:rsid w:val="779B1019"/>
    <w:rsid w:val="779CBB39"/>
    <w:rsid w:val="779D7C58"/>
    <w:rsid w:val="77A2E2D6"/>
    <w:rsid w:val="77AF146F"/>
    <w:rsid w:val="77B06BF4"/>
    <w:rsid w:val="77B90F8B"/>
    <w:rsid w:val="77BAD299"/>
    <w:rsid w:val="77BB3600"/>
    <w:rsid w:val="77C4EC15"/>
    <w:rsid w:val="77C82CD8"/>
    <w:rsid w:val="77CD79D0"/>
    <w:rsid w:val="77CDB37B"/>
    <w:rsid w:val="77D5F0A8"/>
    <w:rsid w:val="77DA32EA"/>
    <w:rsid w:val="77DB9DED"/>
    <w:rsid w:val="77DE96BF"/>
    <w:rsid w:val="77DE98B9"/>
    <w:rsid w:val="77E1B530"/>
    <w:rsid w:val="77EACEBE"/>
    <w:rsid w:val="77EF9FDB"/>
    <w:rsid w:val="77F5DA03"/>
    <w:rsid w:val="77F7BF6E"/>
    <w:rsid w:val="77F8257D"/>
    <w:rsid w:val="77FAA020"/>
    <w:rsid w:val="77FFF7E4"/>
    <w:rsid w:val="78068E42"/>
    <w:rsid w:val="7807668F"/>
    <w:rsid w:val="780A1770"/>
    <w:rsid w:val="781532E9"/>
    <w:rsid w:val="7822F93E"/>
    <w:rsid w:val="7825CF29"/>
    <w:rsid w:val="782BAD98"/>
    <w:rsid w:val="7838B154"/>
    <w:rsid w:val="7838F177"/>
    <w:rsid w:val="78391639"/>
    <w:rsid w:val="784D55DA"/>
    <w:rsid w:val="784E45E9"/>
    <w:rsid w:val="78549C73"/>
    <w:rsid w:val="7856041E"/>
    <w:rsid w:val="7857DCA8"/>
    <w:rsid w:val="785A46F7"/>
    <w:rsid w:val="785AB079"/>
    <w:rsid w:val="785AF8B6"/>
    <w:rsid w:val="78626913"/>
    <w:rsid w:val="78653F29"/>
    <w:rsid w:val="7866684F"/>
    <w:rsid w:val="786A5519"/>
    <w:rsid w:val="786A5895"/>
    <w:rsid w:val="78756263"/>
    <w:rsid w:val="78790DD1"/>
    <w:rsid w:val="788202C9"/>
    <w:rsid w:val="7883D4DA"/>
    <w:rsid w:val="78971D5F"/>
    <w:rsid w:val="789C894F"/>
    <w:rsid w:val="78A2B21A"/>
    <w:rsid w:val="78B10648"/>
    <w:rsid w:val="78C23FF6"/>
    <w:rsid w:val="78CFCDBC"/>
    <w:rsid w:val="78D33A96"/>
    <w:rsid w:val="78D6DF6E"/>
    <w:rsid w:val="78D7DE36"/>
    <w:rsid w:val="78DB05A7"/>
    <w:rsid w:val="78E6F8C8"/>
    <w:rsid w:val="78EB6FCA"/>
    <w:rsid w:val="78ECFC70"/>
    <w:rsid w:val="78EE6E26"/>
    <w:rsid w:val="78F74CE9"/>
    <w:rsid w:val="78FA4510"/>
    <w:rsid w:val="78FA77F1"/>
    <w:rsid w:val="78FC729A"/>
    <w:rsid w:val="7901673F"/>
    <w:rsid w:val="7903C638"/>
    <w:rsid w:val="79065D9D"/>
    <w:rsid w:val="7906CB81"/>
    <w:rsid w:val="790C6B5A"/>
    <w:rsid w:val="790E0872"/>
    <w:rsid w:val="79138277"/>
    <w:rsid w:val="791A7004"/>
    <w:rsid w:val="791E24BB"/>
    <w:rsid w:val="791E7869"/>
    <w:rsid w:val="791F0736"/>
    <w:rsid w:val="792D208B"/>
    <w:rsid w:val="79328DF5"/>
    <w:rsid w:val="7936AEB2"/>
    <w:rsid w:val="79399A99"/>
    <w:rsid w:val="793E99AF"/>
    <w:rsid w:val="793F0C1E"/>
    <w:rsid w:val="7940351D"/>
    <w:rsid w:val="79455D60"/>
    <w:rsid w:val="7950A399"/>
    <w:rsid w:val="795152E7"/>
    <w:rsid w:val="795E9CDB"/>
    <w:rsid w:val="796C2CBF"/>
    <w:rsid w:val="796C8900"/>
    <w:rsid w:val="7971FE11"/>
    <w:rsid w:val="79738A3C"/>
    <w:rsid w:val="79762121"/>
    <w:rsid w:val="7978475A"/>
    <w:rsid w:val="797AF4FC"/>
    <w:rsid w:val="79826292"/>
    <w:rsid w:val="798358BD"/>
    <w:rsid w:val="798CFF42"/>
    <w:rsid w:val="7992A118"/>
    <w:rsid w:val="799B9D76"/>
    <w:rsid w:val="799E4AEC"/>
    <w:rsid w:val="79A29B4E"/>
    <w:rsid w:val="79ACE0DA"/>
    <w:rsid w:val="79B023D5"/>
    <w:rsid w:val="79B490AE"/>
    <w:rsid w:val="79B4FD73"/>
    <w:rsid w:val="79B59D92"/>
    <w:rsid w:val="79C05806"/>
    <w:rsid w:val="79C542E7"/>
    <w:rsid w:val="79C71D5E"/>
    <w:rsid w:val="79E77B91"/>
    <w:rsid w:val="79EC41AB"/>
    <w:rsid w:val="79F2B7EA"/>
    <w:rsid w:val="79F30190"/>
    <w:rsid w:val="79F4B562"/>
    <w:rsid w:val="79F5109E"/>
    <w:rsid w:val="79FA1601"/>
    <w:rsid w:val="79FB399F"/>
    <w:rsid w:val="79FCD85B"/>
    <w:rsid w:val="79FF7D29"/>
    <w:rsid w:val="7A005DFF"/>
    <w:rsid w:val="7A12799E"/>
    <w:rsid w:val="7A17CCDC"/>
    <w:rsid w:val="7A23692F"/>
    <w:rsid w:val="7A2A5C86"/>
    <w:rsid w:val="7A309D20"/>
    <w:rsid w:val="7A348F8A"/>
    <w:rsid w:val="7A3DEAAF"/>
    <w:rsid w:val="7A3FAE7D"/>
    <w:rsid w:val="7A420B70"/>
    <w:rsid w:val="7A4831DB"/>
    <w:rsid w:val="7A4AC4BC"/>
    <w:rsid w:val="7A4C62AB"/>
    <w:rsid w:val="7A5828D8"/>
    <w:rsid w:val="7A5F04A6"/>
    <w:rsid w:val="7A62E04D"/>
    <w:rsid w:val="7A63CAAF"/>
    <w:rsid w:val="7A6F2EA3"/>
    <w:rsid w:val="7A6FA55B"/>
    <w:rsid w:val="7A7CE061"/>
    <w:rsid w:val="7A7E5D73"/>
    <w:rsid w:val="7A84B940"/>
    <w:rsid w:val="7A870A7A"/>
    <w:rsid w:val="7A8C3861"/>
    <w:rsid w:val="7A95CB27"/>
    <w:rsid w:val="7A960FE4"/>
    <w:rsid w:val="7A9DCC40"/>
    <w:rsid w:val="7AA47253"/>
    <w:rsid w:val="7ABB2718"/>
    <w:rsid w:val="7AC008B8"/>
    <w:rsid w:val="7AC4EEA0"/>
    <w:rsid w:val="7ACC11D6"/>
    <w:rsid w:val="7AD18C31"/>
    <w:rsid w:val="7AD3C596"/>
    <w:rsid w:val="7AD88112"/>
    <w:rsid w:val="7ADFE6C0"/>
    <w:rsid w:val="7AE4C1EA"/>
    <w:rsid w:val="7AE9CDC8"/>
    <w:rsid w:val="7AEF6936"/>
    <w:rsid w:val="7AF586EB"/>
    <w:rsid w:val="7AF90C3B"/>
    <w:rsid w:val="7AFE5BB8"/>
    <w:rsid w:val="7B019C0B"/>
    <w:rsid w:val="7B02F7BF"/>
    <w:rsid w:val="7B03D0CD"/>
    <w:rsid w:val="7B04251B"/>
    <w:rsid w:val="7B05B0BC"/>
    <w:rsid w:val="7B076FE3"/>
    <w:rsid w:val="7B0FAEEC"/>
    <w:rsid w:val="7B118843"/>
    <w:rsid w:val="7B124913"/>
    <w:rsid w:val="7B14BFBD"/>
    <w:rsid w:val="7B168C44"/>
    <w:rsid w:val="7B191B0F"/>
    <w:rsid w:val="7B1C8707"/>
    <w:rsid w:val="7B2E038F"/>
    <w:rsid w:val="7B2F23FD"/>
    <w:rsid w:val="7B300B6D"/>
    <w:rsid w:val="7B34F36B"/>
    <w:rsid w:val="7B3FDDF7"/>
    <w:rsid w:val="7B42EB04"/>
    <w:rsid w:val="7B43F9C5"/>
    <w:rsid w:val="7B4E1377"/>
    <w:rsid w:val="7B5542A8"/>
    <w:rsid w:val="7B55594B"/>
    <w:rsid w:val="7B587233"/>
    <w:rsid w:val="7B5B10DC"/>
    <w:rsid w:val="7B5FCA8D"/>
    <w:rsid w:val="7B639D38"/>
    <w:rsid w:val="7B63EB4E"/>
    <w:rsid w:val="7B641D3D"/>
    <w:rsid w:val="7B68A255"/>
    <w:rsid w:val="7B6E0B00"/>
    <w:rsid w:val="7B71831A"/>
    <w:rsid w:val="7B7668FE"/>
    <w:rsid w:val="7B79C55D"/>
    <w:rsid w:val="7B7D158C"/>
    <w:rsid w:val="7B92035B"/>
    <w:rsid w:val="7B938691"/>
    <w:rsid w:val="7B955BA1"/>
    <w:rsid w:val="7B9D9DB0"/>
    <w:rsid w:val="7BA27E09"/>
    <w:rsid w:val="7BA2A743"/>
    <w:rsid w:val="7BAC538E"/>
    <w:rsid w:val="7BAD5EA2"/>
    <w:rsid w:val="7BBD5284"/>
    <w:rsid w:val="7BC3C2EA"/>
    <w:rsid w:val="7BCCF5D1"/>
    <w:rsid w:val="7BDD830F"/>
    <w:rsid w:val="7BF82A0E"/>
    <w:rsid w:val="7BFCE06C"/>
    <w:rsid w:val="7C02CBFF"/>
    <w:rsid w:val="7C050EA0"/>
    <w:rsid w:val="7C0FEE53"/>
    <w:rsid w:val="7C12BAF4"/>
    <w:rsid w:val="7C173ADA"/>
    <w:rsid w:val="7C1AB741"/>
    <w:rsid w:val="7C2089AD"/>
    <w:rsid w:val="7C213CE4"/>
    <w:rsid w:val="7C264527"/>
    <w:rsid w:val="7C298C28"/>
    <w:rsid w:val="7C2B9131"/>
    <w:rsid w:val="7C36789C"/>
    <w:rsid w:val="7C378E77"/>
    <w:rsid w:val="7C3CA8BB"/>
    <w:rsid w:val="7C3FCD11"/>
    <w:rsid w:val="7C400657"/>
    <w:rsid w:val="7C438D6F"/>
    <w:rsid w:val="7C43E6D8"/>
    <w:rsid w:val="7C43ED09"/>
    <w:rsid w:val="7C44AAD5"/>
    <w:rsid w:val="7C475055"/>
    <w:rsid w:val="7C4BA1FC"/>
    <w:rsid w:val="7C4BB794"/>
    <w:rsid w:val="7C525CEF"/>
    <w:rsid w:val="7C5294BC"/>
    <w:rsid w:val="7C5E5121"/>
    <w:rsid w:val="7C621CAA"/>
    <w:rsid w:val="7C642828"/>
    <w:rsid w:val="7C6513FA"/>
    <w:rsid w:val="7C68B836"/>
    <w:rsid w:val="7C6A0A0F"/>
    <w:rsid w:val="7C71F61D"/>
    <w:rsid w:val="7C7B2E3C"/>
    <w:rsid w:val="7C8B182A"/>
    <w:rsid w:val="7C8E1517"/>
    <w:rsid w:val="7C9C8F37"/>
    <w:rsid w:val="7C9D66DA"/>
    <w:rsid w:val="7CA05F75"/>
    <w:rsid w:val="7CA89CDE"/>
    <w:rsid w:val="7CA96100"/>
    <w:rsid w:val="7CD29043"/>
    <w:rsid w:val="7CE90B3C"/>
    <w:rsid w:val="7CEC3DBC"/>
    <w:rsid w:val="7CEC6D54"/>
    <w:rsid w:val="7CF60D1F"/>
    <w:rsid w:val="7CF72716"/>
    <w:rsid w:val="7D0045F6"/>
    <w:rsid w:val="7D02733F"/>
    <w:rsid w:val="7D092658"/>
    <w:rsid w:val="7D12EA0D"/>
    <w:rsid w:val="7D151F5C"/>
    <w:rsid w:val="7D1AD3C3"/>
    <w:rsid w:val="7D1EF586"/>
    <w:rsid w:val="7D2638FD"/>
    <w:rsid w:val="7D2AABE7"/>
    <w:rsid w:val="7D39F370"/>
    <w:rsid w:val="7D46A6B7"/>
    <w:rsid w:val="7D4E6665"/>
    <w:rsid w:val="7D4FB2C9"/>
    <w:rsid w:val="7D553E21"/>
    <w:rsid w:val="7D5839FD"/>
    <w:rsid w:val="7D6CE974"/>
    <w:rsid w:val="7D84E263"/>
    <w:rsid w:val="7D8604AE"/>
    <w:rsid w:val="7D881EC3"/>
    <w:rsid w:val="7D88CA67"/>
    <w:rsid w:val="7D8D97BE"/>
    <w:rsid w:val="7D8F40F6"/>
    <w:rsid w:val="7D9F6953"/>
    <w:rsid w:val="7DB34E8E"/>
    <w:rsid w:val="7DB4918A"/>
    <w:rsid w:val="7DBC8A93"/>
    <w:rsid w:val="7DC21FC1"/>
    <w:rsid w:val="7DC24367"/>
    <w:rsid w:val="7DCE318D"/>
    <w:rsid w:val="7DD54BFF"/>
    <w:rsid w:val="7DD9A822"/>
    <w:rsid w:val="7DDD360A"/>
    <w:rsid w:val="7DE0CF7D"/>
    <w:rsid w:val="7DE1567B"/>
    <w:rsid w:val="7DE6FEE5"/>
    <w:rsid w:val="7DE8F9B1"/>
    <w:rsid w:val="7E0329F6"/>
    <w:rsid w:val="7E04FC33"/>
    <w:rsid w:val="7E0C4955"/>
    <w:rsid w:val="7E1446FA"/>
    <w:rsid w:val="7E150703"/>
    <w:rsid w:val="7E1A0D99"/>
    <w:rsid w:val="7E21BBF0"/>
    <w:rsid w:val="7E22DBE3"/>
    <w:rsid w:val="7E272ED7"/>
    <w:rsid w:val="7E314B5B"/>
    <w:rsid w:val="7E3D90DC"/>
    <w:rsid w:val="7E42DB71"/>
    <w:rsid w:val="7E54FBB0"/>
    <w:rsid w:val="7E56DA28"/>
    <w:rsid w:val="7E5E5EEF"/>
    <w:rsid w:val="7E612677"/>
    <w:rsid w:val="7E644847"/>
    <w:rsid w:val="7E646C2A"/>
    <w:rsid w:val="7E6C37CC"/>
    <w:rsid w:val="7E6D25BC"/>
    <w:rsid w:val="7E6DFF61"/>
    <w:rsid w:val="7E6E9F69"/>
    <w:rsid w:val="7E6F10BE"/>
    <w:rsid w:val="7E77A06A"/>
    <w:rsid w:val="7E853797"/>
    <w:rsid w:val="7E8CB9B2"/>
    <w:rsid w:val="7E9CC40F"/>
    <w:rsid w:val="7EA2DCF7"/>
    <w:rsid w:val="7EA5F22A"/>
    <w:rsid w:val="7EB892FB"/>
    <w:rsid w:val="7EBCE0AC"/>
    <w:rsid w:val="7EC3D965"/>
    <w:rsid w:val="7EC8766D"/>
    <w:rsid w:val="7ECA8F78"/>
    <w:rsid w:val="7ECB9627"/>
    <w:rsid w:val="7ECCE4A9"/>
    <w:rsid w:val="7ED3D93A"/>
    <w:rsid w:val="7ED972D9"/>
    <w:rsid w:val="7EE0D5CB"/>
    <w:rsid w:val="7EE437B2"/>
    <w:rsid w:val="7EECA4E5"/>
    <w:rsid w:val="7EEFE5B5"/>
    <w:rsid w:val="7EF635B8"/>
    <w:rsid w:val="7EF6AC36"/>
    <w:rsid w:val="7EF7911A"/>
    <w:rsid w:val="7EF7EBFE"/>
    <w:rsid w:val="7EFCD42D"/>
    <w:rsid w:val="7F065533"/>
    <w:rsid w:val="7F06E3D3"/>
    <w:rsid w:val="7F0B8918"/>
    <w:rsid w:val="7F133F22"/>
    <w:rsid w:val="7F1777CB"/>
    <w:rsid w:val="7F187CDA"/>
    <w:rsid w:val="7F2354EA"/>
    <w:rsid w:val="7F245C2B"/>
    <w:rsid w:val="7F2F02CE"/>
    <w:rsid w:val="7F2F3BE4"/>
    <w:rsid w:val="7F3526EA"/>
    <w:rsid w:val="7F3900A7"/>
    <w:rsid w:val="7F3A039C"/>
    <w:rsid w:val="7F3F1773"/>
    <w:rsid w:val="7F3F706E"/>
    <w:rsid w:val="7F46011C"/>
    <w:rsid w:val="7F487C31"/>
    <w:rsid w:val="7F56017C"/>
    <w:rsid w:val="7F572B34"/>
    <w:rsid w:val="7F5B0603"/>
    <w:rsid w:val="7F5E9946"/>
    <w:rsid w:val="7F60362B"/>
    <w:rsid w:val="7F63A5D0"/>
    <w:rsid w:val="7F684927"/>
    <w:rsid w:val="7F78D107"/>
    <w:rsid w:val="7F81A46D"/>
    <w:rsid w:val="7F857916"/>
    <w:rsid w:val="7F87AB7D"/>
    <w:rsid w:val="7F8A5A75"/>
    <w:rsid w:val="7F8A8785"/>
    <w:rsid w:val="7F8BE0AA"/>
    <w:rsid w:val="7F91C2D7"/>
    <w:rsid w:val="7F9F9C38"/>
    <w:rsid w:val="7FA1BC6A"/>
    <w:rsid w:val="7FAB276F"/>
    <w:rsid w:val="7FB1E59C"/>
    <w:rsid w:val="7FB39D05"/>
    <w:rsid w:val="7FB54ECA"/>
    <w:rsid w:val="7FB73342"/>
    <w:rsid w:val="7FB81001"/>
    <w:rsid w:val="7FC6B2AB"/>
    <w:rsid w:val="7FCAD36D"/>
    <w:rsid w:val="7FD466EA"/>
    <w:rsid w:val="7FD69637"/>
    <w:rsid w:val="7FD94C8A"/>
    <w:rsid w:val="7FDB3501"/>
    <w:rsid w:val="7FE12127"/>
    <w:rsid w:val="7FE73E3D"/>
    <w:rsid w:val="7FE95467"/>
    <w:rsid w:val="7FEF4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1B5B"/>
  <w15:chartTrackingRefBased/>
  <w15:docId w15:val="{F2B34039-7A0D-4605-8F84-EC541484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7B7"/>
    <w:rPr>
      <w:rFonts w:ascii="Foundry Form Sans" w:eastAsia="Times New Roman" w:hAnsi="Foundry Form Sans"/>
      <w:color w:val="313231"/>
      <w:kern w:val="0"/>
      <w:sz w:val="24"/>
      <w:szCs w:val="24"/>
      <w:lang w:eastAsia="en-GB"/>
      <w14:ligatures w14:val="none"/>
    </w:rPr>
  </w:style>
  <w:style w:type="paragraph" w:styleId="Heading1">
    <w:name w:val="heading 1"/>
    <w:basedOn w:val="Normal"/>
    <w:next w:val="Normal"/>
    <w:link w:val="Heading1Char"/>
    <w:autoRedefine/>
    <w:qFormat/>
    <w:rsid w:val="006C4C6D"/>
    <w:pPr>
      <w:keepNext/>
      <w:numPr>
        <w:numId w:val="59"/>
      </w:numPr>
      <w:spacing w:before="240" w:after="60"/>
      <w:outlineLvl w:val="0"/>
    </w:pPr>
    <w:rPr>
      <w:rFonts w:eastAsiaTheme="minorEastAsia" w:cs="Arial"/>
      <w:b/>
      <w:bCs/>
      <w:color w:val="auto"/>
      <w:kern w:val="32"/>
      <w:sz w:val="32"/>
      <w:szCs w:val="32"/>
      <w:shd w:val="clear" w:color="auto" w:fill="FFFFFF"/>
    </w:rPr>
  </w:style>
  <w:style w:type="paragraph" w:styleId="Heading2">
    <w:name w:val="heading 2"/>
    <w:basedOn w:val="Normal"/>
    <w:next w:val="Normal"/>
    <w:link w:val="Heading2Char"/>
    <w:unhideWhenUsed/>
    <w:qFormat/>
    <w:rsid w:val="001F37B7"/>
    <w:pPr>
      <w:keepNext/>
      <w:spacing w:before="240" w:after="60"/>
      <w:outlineLvl w:val="1"/>
    </w:pPr>
    <w:rPr>
      <w:rFonts w:ascii="Arial" w:hAnsi="Arial" w:cs="Arial"/>
      <w:b/>
      <w:bCs/>
      <w:i/>
      <w:iCs/>
      <w:sz w:val="28"/>
      <w:szCs w:val="28"/>
    </w:rPr>
  </w:style>
  <w:style w:type="paragraph" w:styleId="Heading3">
    <w:name w:val="heading 3"/>
    <w:aliases w:val="Heading 3 - 1cm Indent"/>
    <w:basedOn w:val="Normal"/>
    <w:next w:val="Normal"/>
    <w:link w:val="Heading3Char"/>
    <w:unhideWhenUsed/>
    <w:qFormat/>
    <w:rsid w:val="001F37B7"/>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autoRedefine/>
    <w:semiHidden/>
    <w:unhideWhenUsed/>
    <w:qFormat/>
    <w:rsid w:val="001F37B7"/>
    <w:pPr>
      <w:keepNext/>
      <w:numPr>
        <w:ilvl w:val="3"/>
        <w:numId w:val="6"/>
      </w:numPr>
      <w:tabs>
        <w:tab w:val="num" w:pos="1492"/>
      </w:tabs>
      <w:spacing w:before="240" w:after="60"/>
      <w:ind w:left="1492"/>
      <w:outlineLvl w:val="3"/>
    </w:pPr>
    <w:rPr>
      <w:b/>
      <w:bCs/>
      <w:sz w:val="28"/>
      <w:szCs w:val="28"/>
    </w:rPr>
  </w:style>
  <w:style w:type="paragraph" w:styleId="Heading5">
    <w:name w:val="heading 5"/>
    <w:basedOn w:val="Normal"/>
    <w:next w:val="Normal"/>
    <w:link w:val="Heading5Char"/>
    <w:semiHidden/>
    <w:unhideWhenUsed/>
    <w:qFormat/>
    <w:rsid w:val="001F37B7"/>
    <w:pPr>
      <w:numPr>
        <w:ilvl w:val="4"/>
        <w:numId w:val="6"/>
      </w:numPr>
      <w:tabs>
        <w:tab w:val="num" w:pos="1492"/>
      </w:tabs>
      <w:spacing w:before="240" w:after="60"/>
      <w:ind w:left="1492"/>
      <w:outlineLvl w:val="4"/>
    </w:pPr>
    <w:rPr>
      <w:b/>
      <w:bCs/>
      <w:i/>
      <w:iCs/>
      <w:sz w:val="26"/>
      <w:szCs w:val="26"/>
    </w:rPr>
  </w:style>
  <w:style w:type="paragraph" w:styleId="Heading6">
    <w:name w:val="heading 6"/>
    <w:basedOn w:val="Normal"/>
    <w:next w:val="Normal"/>
    <w:link w:val="Heading6Char"/>
    <w:semiHidden/>
    <w:unhideWhenUsed/>
    <w:qFormat/>
    <w:rsid w:val="001F37B7"/>
    <w:pPr>
      <w:numPr>
        <w:ilvl w:val="5"/>
        <w:numId w:val="6"/>
      </w:numPr>
      <w:tabs>
        <w:tab w:val="num" w:pos="1492"/>
      </w:tabs>
      <w:spacing w:before="240" w:after="60"/>
      <w:ind w:left="1492"/>
      <w:outlineLvl w:val="5"/>
    </w:pPr>
    <w:rPr>
      <w:b/>
      <w:bCs/>
      <w:sz w:val="22"/>
      <w:szCs w:val="22"/>
    </w:rPr>
  </w:style>
  <w:style w:type="paragraph" w:styleId="Heading7">
    <w:name w:val="heading 7"/>
    <w:basedOn w:val="Normal"/>
    <w:next w:val="Normal"/>
    <w:link w:val="Heading7Char"/>
    <w:uiPriority w:val="99"/>
    <w:semiHidden/>
    <w:unhideWhenUsed/>
    <w:qFormat/>
    <w:rsid w:val="001F37B7"/>
    <w:pPr>
      <w:numPr>
        <w:ilvl w:val="6"/>
        <w:numId w:val="6"/>
      </w:numPr>
      <w:tabs>
        <w:tab w:val="num" w:pos="1492"/>
      </w:tabs>
      <w:spacing w:before="240" w:after="60"/>
      <w:ind w:left="1492"/>
      <w:outlineLvl w:val="6"/>
    </w:pPr>
  </w:style>
  <w:style w:type="paragraph" w:styleId="Heading8">
    <w:name w:val="heading 8"/>
    <w:basedOn w:val="Normal"/>
    <w:next w:val="Normal"/>
    <w:link w:val="Heading8Char"/>
    <w:semiHidden/>
    <w:unhideWhenUsed/>
    <w:qFormat/>
    <w:rsid w:val="001F37B7"/>
    <w:pPr>
      <w:numPr>
        <w:ilvl w:val="7"/>
        <w:numId w:val="6"/>
      </w:numPr>
      <w:tabs>
        <w:tab w:val="num" w:pos="1492"/>
      </w:tabs>
      <w:spacing w:before="240" w:after="60"/>
      <w:ind w:left="1492"/>
      <w:outlineLvl w:val="7"/>
    </w:pPr>
    <w:rPr>
      <w:i/>
      <w:iCs/>
    </w:rPr>
  </w:style>
  <w:style w:type="paragraph" w:styleId="Heading9">
    <w:name w:val="heading 9"/>
    <w:basedOn w:val="Normal"/>
    <w:next w:val="Normal"/>
    <w:link w:val="Heading9Char"/>
    <w:semiHidden/>
    <w:unhideWhenUsed/>
    <w:qFormat/>
    <w:rsid w:val="001F37B7"/>
    <w:pPr>
      <w:numPr>
        <w:ilvl w:val="8"/>
        <w:numId w:val="6"/>
      </w:numPr>
      <w:tabs>
        <w:tab w:val="num" w:pos="1492"/>
      </w:tabs>
      <w:spacing w:before="240" w:after="60"/>
      <w:ind w:left="1492"/>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C6D"/>
    <w:rPr>
      <w:rFonts w:ascii="Foundry Form Sans" w:eastAsiaTheme="minorEastAsia" w:hAnsi="Foundry Form Sans" w:cs="Arial"/>
      <w:b/>
      <w:bCs/>
      <w:kern w:val="32"/>
      <w:sz w:val="32"/>
      <w:szCs w:val="32"/>
      <w:lang w:eastAsia="en-GB"/>
      <w14:ligatures w14:val="none"/>
    </w:rPr>
  </w:style>
  <w:style w:type="character" w:customStyle="1" w:styleId="Heading2Char">
    <w:name w:val="Heading 2 Char"/>
    <w:basedOn w:val="DefaultParagraphFont"/>
    <w:link w:val="Heading2"/>
    <w:rsid w:val="001F37B7"/>
    <w:rPr>
      <w:rFonts w:ascii="Arial" w:eastAsia="Times New Roman" w:hAnsi="Arial" w:cs="Arial"/>
      <w:b/>
      <w:bCs/>
      <w:i/>
      <w:iCs/>
      <w:color w:val="313231"/>
      <w:kern w:val="0"/>
      <w:sz w:val="28"/>
      <w:szCs w:val="28"/>
      <w:lang w:eastAsia="en-GB"/>
      <w14:ligatures w14:val="none"/>
    </w:rPr>
  </w:style>
  <w:style w:type="character" w:customStyle="1" w:styleId="Heading3Char">
    <w:name w:val="Heading 3 Char"/>
    <w:aliases w:val="Heading 3 - 1cm Indent Char"/>
    <w:basedOn w:val="DefaultParagraphFont"/>
    <w:link w:val="Heading3"/>
    <w:rsid w:val="001F37B7"/>
    <w:rPr>
      <w:rFonts w:ascii="Arial" w:eastAsia="Times New Roman" w:hAnsi="Arial" w:cs="Arial"/>
      <w:b/>
      <w:bCs/>
      <w:color w:val="313231"/>
      <w:kern w:val="0"/>
      <w:sz w:val="26"/>
      <w:szCs w:val="26"/>
      <w:lang w:eastAsia="en-GB"/>
      <w14:ligatures w14:val="none"/>
    </w:rPr>
  </w:style>
  <w:style w:type="character" w:customStyle="1" w:styleId="Heading4Char">
    <w:name w:val="Heading 4 Char"/>
    <w:basedOn w:val="DefaultParagraphFont"/>
    <w:link w:val="Heading4"/>
    <w:semiHidden/>
    <w:rsid w:val="001F37B7"/>
    <w:rPr>
      <w:rFonts w:ascii="Foundry Form Sans" w:eastAsia="Times New Roman" w:hAnsi="Foundry Form Sans"/>
      <w:b/>
      <w:bCs/>
      <w:color w:val="313231"/>
      <w:kern w:val="0"/>
      <w:sz w:val="28"/>
      <w:szCs w:val="28"/>
      <w:lang w:eastAsia="en-GB"/>
      <w14:ligatures w14:val="none"/>
    </w:rPr>
  </w:style>
  <w:style w:type="character" w:customStyle="1" w:styleId="Heading5Char">
    <w:name w:val="Heading 5 Char"/>
    <w:basedOn w:val="DefaultParagraphFont"/>
    <w:link w:val="Heading5"/>
    <w:semiHidden/>
    <w:rsid w:val="001F37B7"/>
    <w:rPr>
      <w:rFonts w:ascii="Foundry Form Sans" w:eastAsia="Times New Roman" w:hAnsi="Foundry Form Sans"/>
      <w:b/>
      <w:bCs/>
      <w:i/>
      <w:iCs/>
      <w:color w:val="313231"/>
      <w:kern w:val="0"/>
      <w:sz w:val="26"/>
      <w:szCs w:val="26"/>
      <w:lang w:eastAsia="en-GB"/>
      <w14:ligatures w14:val="none"/>
    </w:rPr>
  </w:style>
  <w:style w:type="character" w:customStyle="1" w:styleId="Heading6Char">
    <w:name w:val="Heading 6 Char"/>
    <w:basedOn w:val="DefaultParagraphFont"/>
    <w:link w:val="Heading6"/>
    <w:semiHidden/>
    <w:rsid w:val="001F37B7"/>
    <w:rPr>
      <w:rFonts w:ascii="Foundry Form Sans" w:eastAsia="Times New Roman" w:hAnsi="Foundry Form Sans"/>
      <w:b/>
      <w:bCs/>
      <w:color w:val="313231"/>
      <w:kern w:val="0"/>
      <w:sz w:val="22"/>
      <w:szCs w:val="22"/>
      <w:lang w:eastAsia="en-GB"/>
      <w14:ligatures w14:val="none"/>
    </w:rPr>
  </w:style>
  <w:style w:type="character" w:customStyle="1" w:styleId="Heading7Char">
    <w:name w:val="Heading 7 Char"/>
    <w:basedOn w:val="DefaultParagraphFont"/>
    <w:link w:val="Heading7"/>
    <w:uiPriority w:val="99"/>
    <w:semiHidden/>
    <w:rsid w:val="001F37B7"/>
    <w:rPr>
      <w:rFonts w:ascii="Foundry Form Sans" w:eastAsia="Times New Roman" w:hAnsi="Foundry Form Sans"/>
      <w:color w:val="313231"/>
      <w:kern w:val="0"/>
      <w:sz w:val="24"/>
      <w:szCs w:val="24"/>
      <w:lang w:eastAsia="en-GB"/>
      <w14:ligatures w14:val="none"/>
    </w:rPr>
  </w:style>
  <w:style w:type="character" w:customStyle="1" w:styleId="Heading8Char">
    <w:name w:val="Heading 8 Char"/>
    <w:basedOn w:val="DefaultParagraphFont"/>
    <w:link w:val="Heading8"/>
    <w:semiHidden/>
    <w:rsid w:val="001F37B7"/>
    <w:rPr>
      <w:rFonts w:ascii="Foundry Form Sans" w:eastAsia="Times New Roman" w:hAnsi="Foundry Form Sans"/>
      <w:i/>
      <w:iCs/>
      <w:color w:val="313231"/>
      <w:kern w:val="0"/>
      <w:sz w:val="24"/>
      <w:szCs w:val="24"/>
      <w:lang w:eastAsia="en-GB"/>
      <w14:ligatures w14:val="none"/>
    </w:rPr>
  </w:style>
  <w:style w:type="character" w:customStyle="1" w:styleId="Heading9Char">
    <w:name w:val="Heading 9 Char"/>
    <w:basedOn w:val="DefaultParagraphFont"/>
    <w:link w:val="Heading9"/>
    <w:semiHidden/>
    <w:rsid w:val="001F37B7"/>
    <w:rPr>
      <w:rFonts w:ascii="Arial" w:eastAsia="Times New Roman" w:hAnsi="Arial" w:cs="Arial"/>
      <w:color w:val="313231"/>
      <w:kern w:val="0"/>
      <w:sz w:val="22"/>
      <w:szCs w:val="22"/>
      <w:lang w:eastAsia="en-GB"/>
      <w14:ligatures w14:val="none"/>
    </w:rPr>
  </w:style>
  <w:style w:type="character" w:styleId="Hyperlink">
    <w:name w:val="Hyperlink"/>
    <w:uiPriority w:val="99"/>
    <w:unhideWhenUsed/>
    <w:rsid w:val="001F37B7"/>
    <w:rPr>
      <w:strike w:val="0"/>
      <w:dstrike w:val="0"/>
      <w:color w:val="0062A3"/>
      <w:u w:val="none"/>
      <w:effect w:val="none"/>
    </w:rPr>
  </w:style>
  <w:style w:type="character" w:styleId="FollowedHyperlink">
    <w:name w:val="FollowedHyperlink"/>
    <w:semiHidden/>
    <w:unhideWhenUsed/>
    <w:rsid w:val="001F37B7"/>
    <w:rPr>
      <w:color w:val="AAB4BD"/>
      <w:u w:val="single"/>
    </w:rPr>
  </w:style>
  <w:style w:type="character" w:styleId="HTMLAcronym">
    <w:name w:val="HTML Acronym"/>
    <w:semiHidden/>
    <w:unhideWhenUsed/>
    <w:rsid w:val="001F37B7"/>
    <w:rPr>
      <w:color w:val="313231"/>
    </w:rPr>
  </w:style>
  <w:style w:type="paragraph" w:styleId="HTMLAddress">
    <w:name w:val="HTML Address"/>
    <w:basedOn w:val="Normal"/>
    <w:link w:val="HTMLAddressChar"/>
    <w:semiHidden/>
    <w:unhideWhenUsed/>
    <w:rsid w:val="001F37B7"/>
    <w:rPr>
      <w:i/>
      <w:iCs/>
    </w:rPr>
  </w:style>
  <w:style w:type="character" w:customStyle="1" w:styleId="HTMLAddressChar">
    <w:name w:val="HTML Address Char"/>
    <w:basedOn w:val="DefaultParagraphFont"/>
    <w:link w:val="HTMLAddress"/>
    <w:semiHidden/>
    <w:rsid w:val="001F37B7"/>
    <w:rPr>
      <w:rFonts w:ascii="Foundry Form Sans" w:eastAsia="Times New Roman" w:hAnsi="Foundry Form Sans"/>
      <w:i/>
      <w:iCs/>
      <w:color w:val="313231"/>
      <w:kern w:val="0"/>
      <w:sz w:val="24"/>
      <w:szCs w:val="24"/>
      <w:lang w:eastAsia="en-GB"/>
      <w14:ligatures w14:val="none"/>
    </w:rPr>
  </w:style>
  <w:style w:type="character" w:styleId="HTMLCite">
    <w:name w:val="HTML Cite"/>
    <w:semiHidden/>
    <w:unhideWhenUsed/>
    <w:rsid w:val="001F37B7"/>
    <w:rPr>
      <w:i/>
      <w:iCs/>
      <w:color w:val="313231"/>
    </w:rPr>
  </w:style>
  <w:style w:type="character" w:styleId="HTMLCode">
    <w:name w:val="HTML Code"/>
    <w:semiHidden/>
    <w:unhideWhenUsed/>
    <w:rsid w:val="001F37B7"/>
    <w:rPr>
      <w:rFonts w:ascii="Courier New" w:eastAsia="Times New Roman" w:hAnsi="Courier New" w:cs="Courier New" w:hint="default"/>
      <w:sz w:val="20"/>
      <w:szCs w:val="20"/>
    </w:rPr>
  </w:style>
  <w:style w:type="character" w:styleId="HTMLDefinition">
    <w:name w:val="HTML Definition"/>
    <w:semiHidden/>
    <w:unhideWhenUsed/>
    <w:rsid w:val="001F37B7"/>
    <w:rPr>
      <w:i/>
      <w:iCs/>
      <w:color w:val="313231"/>
    </w:rPr>
  </w:style>
  <w:style w:type="character" w:styleId="Emphasis">
    <w:name w:val="Emphasis"/>
    <w:qFormat/>
    <w:rsid w:val="001F37B7"/>
    <w:rPr>
      <w:i/>
      <w:iCs/>
      <w:color w:val="313231"/>
    </w:rPr>
  </w:style>
  <w:style w:type="character" w:customStyle="1" w:styleId="Heading3Char1">
    <w:name w:val="Heading 3 Char1"/>
    <w:aliases w:val="Heading 3 - 1cm Indent Char1"/>
    <w:basedOn w:val="DefaultParagraphFont"/>
    <w:semiHidden/>
    <w:rsid w:val="001F37B7"/>
    <w:rPr>
      <w:rFonts w:asciiTheme="majorHAnsi" w:eastAsiaTheme="majorEastAsia" w:hAnsiTheme="majorHAnsi" w:cstheme="majorBidi"/>
      <w:color w:val="1F3763" w:themeColor="accent1" w:themeShade="7F"/>
      <w:sz w:val="24"/>
      <w:szCs w:val="24"/>
      <w:lang w:eastAsia="en-GB"/>
    </w:rPr>
  </w:style>
  <w:style w:type="character" w:styleId="HTMLKeyboard">
    <w:name w:val="HTML Keyboard"/>
    <w:semiHidden/>
    <w:unhideWhenUsed/>
    <w:rsid w:val="001F37B7"/>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rsid w:val="001F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1F37B7"/>
    <w:rPr>
      <w:rFonts w:ascii="Courier New" w:eastAsia="Times New Roman" w:hAnsi="Courier New" w:cs="Courier New"/>
      <w:color w:val="313231"/>
      <w:kern w:val="0"/>
      <w:lang w:eastAsia="en-GB"/>
      <w14:ligatures w14:val="none"/>
    </w:rPr>
  </w:style>
  <w:style w:type="character" w:styleId="HTMLSample">
    <w:name w:val="HTML Sample"/>
    <w:semiHidden/>
    <w:unhideWhenUsed/>
    <w:rsid w:val="001F37B7"/>
    <w:rPr>
      <w:rFonts w:ascii="Courier New" w:eastAsia="Times New Roman" w:hAnsi="Courier New" w:cs="Courier New" w:hint="default"/>
    </w:rPr>
  </w:style>
  <w:style w:type="character" w:styleId="Strong">
    <w:name w:val="Strong"/>
    <w:aliases w:val="Numbered Body text"/>
    <w:qFormat/>
    <w:rsid w:val="001F37B7"/>
    <w:rPr>
      <w:color w:val="313231"/>
    </w:rPr>
  </w:style>
  <w:style w:type="character" w:styleId="HTMLTypewriter">
    <w:name w:val="HTML Typewriter"/>
    <w:semiHidden/>
    <w:unhideWhenUsed/>
    <w:rsid w:val="001F37B7"/>
    <w:rPr>
      <w:rFonts w:ascii="Courier New" w:eastAsia="Times New Roman" w:hAnsi="Courier New" w:cs="Courier New" w:hint="default"/>
      <w:sz w:val="20"/>
      <w:szCs w:val="20"/>
    </w:rPr>
  </w:style>
  <w:style w:type="character" w:styleId="HTMLVariable">
    <w:name w:val="HTML Variable"/>
    <w:semiHidden/>
    <w:unhideWhenUsed/>
    <w:rsid w:val="001F37B7"/>
    <w:rPr>
      <w:i/>
      <w:iCs/>
      <w:color w:val="313231"/>
    </w:rPr>
  </w:style>
  <w:style w:type="paragraph" w:customStyle="1" w:styleId="msonormal0">
    <w:name w:val="msonormal"/>
    <w:basedOn w:val="Normal"/>
    <w:semiHidden/>
    <w:rsid w:val="001F37B7"/>
  </w:style>
  <w:style w:type="paragraph" w:styleId="NormalWeb">
    <w:name w:val="Normal (Web)"/>
    <w:basedOn w:val="Normal"/>
    <w:semiHidden/>
    <w:unhideWhenUsed/>
    <w:rsid w:val="001F37B7"/>
  </w:style>
  <w:style w:type="paragraph" w:styleId="Index1">
    <w:name w:val="index 1"/>
    <w:basedOn w:val="Normal"/>
    <w:next w:val="Normal"/>
    <w:autoRedefine/>
    <w:semiHidden/>
    <w:unhideWhenUsed/>
    <w:rsid w:val="001F37B7"/>
    <w:pPr>
      <w:ind w:left="240" w:hanging="240"/>
    </w:pPr>
  </w:style>
  <w:style w:type="paragraph" w:styleId="Index2">
    <w:name w:val="index 2"/>
    <w:basedOn w:val="Normal"/>
    <w:next w:val="Normal"/>
    <w:autoRedefine/>
    <w:semiHidden/>
    <w:unhideWhenUsed/>
    <w:rsid w:val="001F37B7"/>
    <w:pPr>
      <w:ind w:left="480" w:hanging="240"/>
    </w:pPr>
  </w:style>
  <w:style w:type="paragraph" w:styleId="Index3">
    <w:name w:val="index 3"/>
    <w:basedOn w:val="Normal"/>
    <w:next w:val="Normal"/>
    <w:autoRedefine/>
    <w:semiHidden/>
    <w:unhideWhenUsed/>
    <w:rsid w:val="001F37B7"/>
    <w:pPr>
      <w:ind w:left="720" w:hanging="240"/>
    </w:pPr>
  </w:style>
  <w:style w:type="paragraph" w:styleId="Index4">
    <w:name w:val="index 4"/>
    <w:basedOn w:val="Normal"/>
    <w:next w:val="Normal"/>
    <w:autoRedefine/>
    <w:semiHidden/>
    <w:unhideWhenUsed/>
    <w:rsid w:val="001F37B7"/>
    <w:pPr>
      <w:ind w:left="960" w:hanging="240"/>
    </w:pPr>
  </w:style>
  <w:style w:type="paragraph" w:styleId="Index5">
    <w:name w:val="index 5"/>
    <w:basedOn w:val="Normal"/>
    <w:next w:val="Normal"/>
    <w:autoRedefine/>
    <w:semiHidden/>
    <w:unhideWhenUsed/>
    <w:rsid w:val="001F37B7"/>
    <w:pPr>
      <w:ind w:left="1200" w:hanging="240"/>
    </w:pPr>
  </w:style>
  <w:style w:type="paragraph" w:styleId="Index6">
    <w:name w:val="index 6"/>
    <w:basedOn w:val="Normal"/>
    <w:next w:val="Normal"/>
    <w:autoRedefine/>
    <w:semiHidden/>
    <w:unhideWhenUsed/>
    <w:rsid w:val="001F37B7"/>
    <w:pPr>
      <w:ind w:left="1440" w:hanging="240"/>
    </w:pPr>
  </w:style>
  <w:style w:type="paragraph" w:styleId="Index7">
    <w:name w:val="index 7"/>
    <w:basedOn w:val="Normal"/>
    <w:next w:val="Normal"/>
    <w:autoRedefine/>
    <w:semiHidden/>
    <w:unhideWhenUsed/>
    <w:rsid w:val="001F37B7"/>
    <w:pPr>
      <w:ind w:left="1680" w:hanging="240"/>
    </w:pPr>
  </w:style>
  <w:style w:type="paragraph" w:styleId="Index8">
    <w:name w:val="index 8"/>
    <w:basedOn w:val="Normal"/>
    <w:next w:val="Normal"/>
    <w:autoRedefine/>
    <w:semiHidden/>
    <w:unhideWhenUsed/>
    <w:rsid w:val="001F37B7"/>
    <w:pPr>
      <w:ind w:left="1920" w:hanging="240"/>
    </w:pPr>
  </w:style>
  <w:style w:type="paragraph" w:styleId="Index9">
    <w:name w:val="index 9"/>
    <w:basedOn w:val="Normal"/>
    <w:next w:val="Normal"/>
    <w:autoRedefine/>
    <w:semiHidden/>
    <w:unhideWhenUsed/>
    <w:rsid w:val="001F37B7"/>
    <w:pPr>
      <w:ind w:left="2160" w:hanging="240"/>
    </w:pPr>
  </w:style>
  <w:style w:type="paragraph" w:styleId="TOC4">
    <w:name w:val="toc 4"/>
    <w:basedOn w:val="Normal"/>
    <w:next w:val="Normal"/>
    <w:autoRedefine/>
    <w:semiHidden/>
    <w:unhideWhenUsed/>
    <w:rsid w:val="001F37B7"/>
    <w:pPr>
      <w:spacing w:after="300" w:line="300" w:lineRule="exact"/>
      <w:contextualSpacing/>
    </w:pPr>
  </w:style>
  <w:style w:type="paragraph" w:styleId="TOC5">
    <w:name w:val="toc 5"/>
    <w:basedOn w:val="Normal"/>
    <w:next w:val="Normal"/>
    <w:autoRedefine/>
    <w:semiHidden/>
    <w:unhideWhenUsed/>
    <w:rsid w:val="001F37B7"/>
    <w:pPr>
      <w:ind w:left="960"/>
    </w:pPr>
  </w:style>
  <w:style w:type="paragraph" w:styleId="TOC6">
    <w:name w:val="toc 6"/>
    <w:basedOn w:val="Normal"/>
    <w:next w:val="Normal"/>
    <w:autoRedefine/>
    <w:semiHidden/>
    <w:unhideWhenUsed/>
    <w:rsid w:val="001F37B7"/>
    <w:pPr>
      <w:ind w:left="1200"/>
    </w:pPr>
  </w:style>
  <w:style w:type="paragraph" w:styleId="TOC7">
    <w:name w:val="toc 7"/>
    <w:basedOn w:val="Normal"/>
    <w:next w:val="Normal"/>
    <w:autoRedefine/>
    <w:semiHidden/>
    <w:unhideWhenUsed/>
    <w:rsid w:val="001F37B7"/>
    <w:pPr>
      <w:ind w:left="1440"/>
    </w:pPr>
  </w:style>
  <w:style w:type="paragraph" w:styleId="TOC8">
    <w:name w:val="toc 8"/>
    <w:basedOn w:val="Normal"/>
    <w:next w:val="Normal"/>
    <w:autoRedefine/>
    <w:semiHidden/>
    <w:unhideWhenUsed/>
    <w:rsid w:val="001F37B7"/>
    <w:pPr>
      <w:ind w:left="1680"/>
    </w:pPr>
  </w:style>
  <w:style w:type="paragraph" w:styleId="TOC9">
    <w:name w:val="toc 9"/>
    <w:basedOn w:val="Normal"/>
    <w:next w:val="Normal"/>
    <w:autoRedefine/>
    <w:semiHidden/>
    <w:unhideWhenUsed/>
    <w:rsid w:val="001F37B7"/>
    <w:pPr>
      <w:ind w:left="1920"/>
    </w:pPr>
  </w:style>
  <w:style w:type="paragraph" w:styleId="NormalIndent">
    <w:name w:val="Normal Indent"/>
    <w:basedOn w:val="Normal"/>
    <w:semiHidden/>
    <w:unhideWhenUsed/>
    <w:rsid w:val="001F37B7"/>
    <w:pPr>
      <w:ind w:left="720"/>
    </w:pPr>
  </w:style>
  <w:style w:type="paragraph" w:styleId="FootnoteText">
    <w:name w:val="footnote text"/>
    <w:basedOn w:val="Normal"/>
    <w:link w:val="FootnoteTextChar"/>
    <w:semiHidden/>
    <w:unhideWhenUsed/>
    <w:rsid w:val="001F37B7"/>
    <w:rPr>
      <w:sz w:val="20"/>
      <w:szCs w:val="20"/>
    </w:rPr>
  </w:style>
  <w:style w:type="character" w:customStyle="1" w:styleId="FootnoteTextChar">
    <w:name w:val="Footnote Text Char"/>
    <w:basedOn w:val="DefaultParagraphFont"/>
    <w:link w:val="FootnoteText"/>
    <w:semiHidden/>
    <w:rsid w:val="001F37B7"/>
    <w:rPr>
      <w:rFonts w:ascii="Foundry Form Sans" w:eastAsia="Times New Roman" w:hAnsi="Foundry Form Sans"/>
      <w:color w:val="313231"/>
      <w:kern w:val="0"/>
      <w:lang w:eastAsia="en-GB"/>
      <w14:ligatures w14:val="none"/>
    </w:rPr>
  </w:style>
  <w:style w:type="paragraph" w:styleId="CommentText">
    <w:name w:val="annotation text"/>
    <w:basedOn w:val="Normal"/>
    <w:link w:val="CommentTextChar"/>
    <w:uiPriority w:val="99"/>
    <w:unhideWhenUsed/>
    <w:rsid w:val="001F37B7"/>
    <w:rPr>
      <w:sz w:val="20"/>
      <w:szCs w:val="20"/>
    </w:rPr>
  </w:style>
  <w:style w:type="character" w:customStyle="1" w:styleId="CommentTextChar">
    <w:name w:val="Comment Text Char"/>
    <w:basedOn w:val="DefaultParagraphFont"/>
    <w:link w:val="CommentText"/>
    <w:uiPriority w:val="99"/>
    <w:rsid w:val="001F37B7"/>
    <w:rPr>
      <w:rFonts w:ascii="Foundry Form Sans" w:eastAsia="Times New Roman" w:hAnsi="Foundry Form Sans"/>
      <w:color w:val="313231"/>
      <w:kern w:val="0"/>
      <w:lang w:eastAsia="en-GB"/>
      <w14:ligatures w14:val="none"/>
    </w:rPr>
  </w:style>
  <w:style w:type="paragraph" w:styleId="Header">
    <w:name w:val="header"/>
    <w:basedOn w:val="Normal"/>
    <w:link w:val="HeaderChar"/>
    <w:uiPriority w:val="99"/>
    <w:unhideWhenUsed/>
    <w:rsid w:val="001F37B7"/>
    <w:pPr>
      <w:tabs>
        <w:tab w:val="center" w:pos="4153"/>
        <w:tab w:val="right" w:pos="8306"/>
      </w:tabs>
    </w:pPr>
  </w:style>
  <w:style w:type="character" w:customStyle="1" w:styleId="HeaderChar">
    <w:name w:val="Header Char"/>
    <w:basedOn w:val="DefaultParagraphFont"/>
    <w:link w:val="Header"/>
    <w:uiPriority w:val="99"/>
    <w:rsid w:val="001F37B7"/>
    <w:rPr>
      <w:rFonts w:ascii="Foundry Form Sans" w:eastAsia="Times New Roman" w:hAnsi="Foundry Form Sans"/>
      <w:color w:val="313231"/>
      <w:kern w:val="0"/>
      <w:sz w:val="24"/>
      <w:szCs w:val="24"/>
      <w:lang w:eastAsia="en-GB"/>
      <w14:ligatures w14:val="none"/>
    </w:rPr>
  </w:style>
  <w:style w:type="paragraph" w:styleId="Footer">
    <w:name w:val="footer"/>
    <w:basedOn w:val="Normal"/>
    <w:link w:val="FooterChar"/>
    <w:unhideWhenUsed/>
    <w:rsid w:val="001F37B7"/>
    <w:pPr>
      <w:tabs>
        <w:tab w:val="center" w:pos="4153"/>
        <w:tab w:val="right" w:pos="8306"/>
      </w:tabs>
    </w:pPr>
  </w:style>
  <w:style w:type="character" w:customStyle="1" w:styleId="FooterChar">
    <w:name w:val="Footer Char"/>
    <w:basedOn w:val="DefaultParagraphFont"/>
    <w:link w:val="Footer"/>
    <w:rsid w:val="001F37B7"/>
    <w:rPr>
      <w:rFonts w:ascii="Foundry Form Sans" w:eastAsia="Times New Roman" w:hAnsi="Foundry Form Sans"/>
      <w:color w:val="313231"/>
      <w:kern w:val="0"/>
      <w:sz w:val="24"/>
      <w:szCs w:val="24"/>
      <w:lang w:eastAsia="en-GB"/>
      <w14:ligatures w14:val="none"/>
    </w:rPr>
  </w:style>
  <w:style w:type="paragraph" w:styleId="IndexHeading">
    <w:name w:val="index heading"/>
    <w:basedOn w:val="Normal"/>
    <w:next w:val="Index1"/>
    <w:semiHidden/>
    <w:unhideWhenUsed/>
    <w:rsid w:val="001F37B7"/>
    <w:rPr>
      <w:rFonts w:ascii="Arial" w:hAnsi="Arial" w:cs="Arial"/>
      <w:b/>
      <w:bCs/>
    </w:rPr>
  </w:style>
  <w:style w:type="paragraph" w:styleId="TableofFigures">
    <w:name w:val="table of figures"/>
    <w:basedOn w:val="Normal"/>
    <w:next w:val="Normal"/>
    <w:semiHidden/>
    <w:unhideWhenUsed/>
    <w:rsid w:val="001F37B7"/>
  </w:style>
  <w:style w:type="paragraph" w:styleId="EndnoteText">
    <w:name w:val="endnote text"/>
    <w:basedOn w:val="Normal"/>
    <w:link w:val="EndnoteTextChar"/>
    <w:semiHidden/>
    <w:unhideWhenUsed/>
    <w:rsid w:val="001F37B7"/>
    <w:rPr>
      <w:sz w:val="20"/>
      <w:szCs w:val="20"/>
    </w:rPr>
  </w:style>
  <w:style w:type="character" w:customStyle="1" w:styleId="EndnoteTextChar">
    <w:name w:val="Endnote Text Char"/>
    <w:basedOn w:val="DefaultParagraphFont"/>
    <w:link w:val="EndnoteText"/>
    <w:semiHidden/>
    <w:rsid w:val="001F37B7"/>
    <w:rPr>
      <w:rFonts w:ascii="Foundry Form Sans" w:eastAsia="Times New Roman" w:hAnsi="Foundry Form Sans"/>
      <w:color w:val="313231"/>
      <w:kern w:val="0"/>
      <w:lang w:eastAsia="en-GB"/>
      <w14:ligatures w14:val="none"/>
    </w:rPr>
  </w:style>
  <w:style w:type="paragraph" w:styleId="TableofAuthorities">
    <w:name w:val="table of authorities"/>
    <w:basedOn w:val="Normal"/>
    <w:next w:val="Normal"/>
    <w:semiHidden/>
    <w:unhideWhenUsed/>
    <w:rsid w:val="001F37B7"/>
    <w:pPr>
      <w:ind w:left="240" w:hanging="240"/>
    </w:pPr>
  </w:style>
  <w:style w:type="paragraph" w:styleId="MacroText">
    <w:name w:val="macro"/>
    <w:link w:val="MacroTextChar"/>
    <w:semiHidden/>
    <w:unhideWhenUsed/>
    <w:rsid w:val="001F37B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kern w:val="0"/>
      <w:lang w:eastAsia="en-GB"/>
      <w14:ligatures w14:val="none"/>
    </w:rPr>
  </w:style>
  <w:style w:type="character" w:customStyle="1" w:styleId="MacroTextChar">
    <w:name w:val="Macro Text Char"/>
    <w:basedOn w:val="DefaultParagraphFont"/>
    <w:link w:val="MacroText"/>
    <w:semiHidden/>
    <w:rsid w:val="001F37B7"/>
    <w:rPr>
      <w:rFonts w:ascii="Courier New" w:eastAsia="Times New Roman" w:hAnsi="Courier New" w:cs="Courier New"/>
      <w:kern w:val="0"/>
      <w:lang w:eastAsia="en-GB"/>
      <w14:ligatures w14:val="none"/>
    </w:rPr>
  </w:style>
  <w:style w:type="paragraph" w:styleId="TOAHeading">
    <w:name w:val="toa heading"/>
    <w:basedOn w:val="Normal"/>
    <w:next w:val="Normal"/>
    <w:semiHidden/>
    <w:unhideWhenUsed/>
    <w:rsid w:val="001F37B7"/>
    <w:pPr>
      <w:spacing w:before="120"/>
    </w:pPr>
    <w:rPr>
      <w:rFonts w:ascii="Arial" w:hAnsi="Arial" w:cs="Arial"/>
      <w:b/>
      <w:bCs/>
    </w:rPr>
  </w:style>
  <w:style w:type="paragraph" w:styleId="List">
    <w:name w:val="List"/>
    <w:basedOn w:val="Normal"/>
    <w:semiHidden/>
    <w:unhideWhenUsed/>
    <w:rsid w:val="001F37B7"/>
    <w:pPr>
      <w:ind w:left="283" w:hanging="283"/>
    </w:pPr>
  </w:style>
  <w:style w:type="paragraph" w:styleId="ListBullet">
    <w:name w:val="List Bullet"/>
    <w:basedOn w:val="Normal"/>
    <w:semiHidden/>
    <w:unhideWhenUsed/>
    <w:rsid w:val="001F37B7"/>
    <w:pPr>
      <w:numPr>
        <w:numId w:val="7"/>
      </w:numPr>
      <w:tabs>
        <w:tab w:val="num" w:pos="643"/>
      </w:tabs>
      <w:ind w:left="643"/>
    </w:pPr>
  </w:style>
  <w:style w:type="paragraph" w:styleId="ListNumber">
    <w:name w:val="List Number"/>
    <w:basedOn w:val="Normal"/>
    <w:semiHidden/>
    <w:unhideWhenUsed/>
    <w:rsid w:val="001F37B7"/>
    <w:pPr>
      <w:numPr>
        <w:numId w:val="8"/>
      </w:numPr>
      <w:tabs>
        <w:tab w:val="num" w:pos="926"/>
      </w:tabs>
      <w:ind w:left="926"/>
    </w:pPr>
  </w:style>
  <w:style w:type="paragraph" w:styleId="List2">
    <w:name w:val="List 2"/>
    <w:basedOn w:val="Normal"/>
    <w:semiHidden/>
    <w:unhideWhenUsed/>
    <w:rsid w:val="001F37B7"/>
    <w:pPr>
      <w:ind w:left="566" w:hanging="283"/>
    </w:pPr>
  </w:style>
  <w:style w:type="paragraph" w:styleId="List3">
    <w:name w:val="List 3"/>
    <w:basedOn w:val="Normal"/>
    <w:semiHidden/>
    <w:unhideWhenUsed/>
    <w:rsid w:val="001F37B7"/>
    <w:pPr>
      <w:ind w:left="849" w:hanging="283"/>
    </w:pPr>
  </w:style>
  <w:style w:type="paragraph" w:styleId="List4">
    <w:name w:val="List 4"/>
    <w:basedOn w:val="Normal"/>
    <w:semiHidden/>
    <w:unhideWhenUsed/>
    <w:rsid w:val="001F37B7"/>
    <w:pPr>
      <w:ind w:left="1132" w:hanging="283"/>
    </w:pPr>
  </w:style>
  <w:style w:type="paragraph" w:styleId="List5">
    <w:name w:val="List 5"/>
    <w:basedOn w:val="Normal"/>
    <w:semiHidden/>
    <w:unhideWhenUsed/>
    <w:rsid w:val="001F37B7"/>
    <w:pPr>
      <w:ind w:left="1415" w:hanging="283"/>
    </w:pPr>
  </w:style>
  <w:style w:type="paragraph" w:styleId="ListBullet2">
    <w:name w:val="List Bullet 2"/>
    <w:basedOn w:val="Normal"/>
    <w:semiHidden/>
    <w:unhideWhenUsed/>
    <w:rsid w:val="001F37B7"/>
    <w:pPr>
      <w:numPr>
        <w:numId w:val="9"/>
      </w:numPr>
      <w:tabs>
        <w:tab w:val="num" w:pos="1209"/>
      </w:tabs>
      <w:ind w:left="1209"/>
    </w:pPr>
  </w:style>
  <w:style w:type="paragraph" w:styleId="ListBullet3">
    <w:name w:val="List Bullet 3"/>
    <w:basedOn w:val="Normal"/>
    <w:semiHidden/>
    <w:unhideWhenUsed/>
    <w:rsid w:val="001F37B7"/>
    <w:pPr>
      <w:numPr>
        <w:numId w:val="10"/>
      </w:numPr>
      <w:tabs>
        <w:tab w:val="num" w:pos="1492"/>
      </w:tabs>
      <w:ind w:left="1492"/>
    </w:pPr>
  </w:style>
  <w:style w:type="paragraph" w:styleId="ListBullet4">
    <w:name w:val="List Bullet 4"/>
    <w:basedOn w:val="Normal"/>
    <w:semiHidden/>
    <w:unhideWhenUsed/>
    <w:rsid w:val="001F37B7"/>
    <w:pPr>
      <w:numPr>
        <w:numId w:val="11"/>
      </w:numPr>
      <w:tabs>
        <w:tab w:val="num" w:pos="1419"/>
      </w:tabs>
      <w:ind w:left="1419" w:hanging="284"/>
    </w:pPr>
  </w:style>
  <w:style w:type="paragraph" w:styleId="ListBullet5">
    <w:name w:val="List Bullet 5"/>
    <w:basedOn w:val="Normal"/>
    <w:semiHidden/>
    <w:unhideWhenUsed/>
    <w:rsid w:val="001F37B7"/>
    <w:pPr>
      <w:numPr>
        <w:numId w:val="12"/>
      </w:numPr>
      <w:tabs>
        <w:tab w:val="num" w:pos="567"/>
      </w:tabs>
      <w:ind w:left="567" w:hanging="283"/>
    </w:pPr>
  </w:style>
  <w:style w:type="paragraph" w:styleId="ListNumber2">
    <w:name w:val="List Number 2"/>
    <w:basedOn w:val="Normal"/>
    <w:semiHidden/>
    <w:unhideWhenUsed/>
    <w:rsid w:val="001F37B7"/>
    <w:pPr>
      <w:numPr>
        <w:numId w:val="13"/>
      </w:numPr>
      <w:ind w:hanging="567"/>
    </w:pPr>
  </w:style>
  <w:style w:type="paragraph" w:styleId="ListNumber3">
    <w:name w:val="List Number 3"/>
    <w:basedOn w:val="Normal"/>
    <w:semiHidden/>
    <w:unhideWhenUsed/>
    <w:rsid w:val="001F37B7"/>
    <w:pPr>
      <w:numPr>
        <w:numId w:val="14"/>
      </w:numPr>
      <w:ind w:left="360"/>
    </w:pPr>
  </w:style>
  <w:style w:type="paragraph" w:styleId="ListNumber4">
    <w:name w:val="List Number 4"/>
    <w:basedOn w:val="Normal"/>
    <w:semiHidden/>
    <w:unhideWhenUsed/>
    <w:rsid w:val="001F37B7"/>
    <w:pPr>
      <w:numPr>
        <w:numId w:val="15"/>
      </w:numPr>
      <w:tabs>
        <w:tab w:val="num" w:pos="340"/>
      </w:tabs>
      <w:ind w:left="340" w:hanging="340"/>
    </w:pPr>
  </w:style>
  <w:style w:type="paragraph" w:styleId="ListNumber5">
    <w:name w:val="List Number 5"/>
    <w:basedOn w:val="Normal"/>
    <w:semiHidden/>
    <w:unhideWhenUsed/>
    <w:rsid w:val="001F37B7"/>
    <w:pPr>
      <w:numPr>
        <w:numId w:val="16"/>
      </w:numPr>
      <w:ind w:left="1440"/>
    </w:pPr>
  </w:style>
  <w:style w:type="paragraph" w:styleId="Title">
    <w:name w:val="Title"/>
    <w:basedOn w:val="Normal"/>
    <w:link w:val="TitleChar"/>
    <w:qFormat/>
    <w:rsid w:val="001F37B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F37B7"/>
    <w:rPr>
      <w:rFonts w:ascii="Arial" w:eastAsia="Times New Roman" w:hAnsi="Arial" w:cs="Arial"/>
      <w:b/>
      <w:bCs/>
      <w:color w:val="313231"/>
      <w:kern w:val="28"/>
      <w:sz w:val="32"/>
      <w:szCs w:val="32"/>
      <w:lang w:eastAsia="en-GB"/>
      <w14:ligatures w14:val="none"/>
    </w:rPr>
  </w:style>
  <w:style w:type="paragraph" w:styleId="Closing">
    <w:name w:val="Closing"/>
    <w:basedOn w:val="Normal"/>
    <w:link w:val="ClosingChar"/>
    <w:semiHidden/>
    <w:unhideWhenUsed/>
    <w:rsid w:val="001F37B7"/>
    <w:pPr>
      <w:ind w:left="4252"/>
    </w:pPr>
  </w:style>
  <w:style w:type="character" w:customStyle="1" w:styleId="ClosingChar">
    <w:name w:val="Closing Char"/>
    <w:basedOn w:val="DefaultParagraphFont"/>
    <w:link w:val="Closing"/>
    <w:semiHidden/>
    <w:rsid w:val="001F37B7"/>
    <w:rPr>
      <w:rFonts w:ascii="Foundry Form Sans" w:eastAsia="Times New Roman" w:hAnsi="Foundry Form Sans"/>
      <w:color w:val="313231"/>
      <w:kern w:val="0"/>
      <w:sz w:val="24"/>
      <w:szCs w:val="24"/>
      <w:lang w:eastAsia="en-GB"/>
      <w14:ligatures w14:val="none"/>
    </w:rPr>
  </w:style>
  <w:style w:type="paragraph" w:styleId="Signature">
    <w:name w:val="Signature"/>
    <w:basedOn w:val="Normal"/>
    <w:link w:val="SignatureChar"/>
    <w:semiHidden/>
    <w:unhideWhenUsed/>
    <w:rsid w:val="001F37B7"/>
    <w:pPr>
      <w:ind w:left="4252"/>
    </w:pPr>
  </w:style>
  <w:style w:type="character" w:customStyle="1" w:styleId="SignatureChar">
    <w:name w:val="Signature Char"/>
    <w:basedOn w:val="DefaultParagraphFont"/>
    <w:link w:val="Signature"/>
    <w:semiHidden/>
    <w:rsid w:val="001F37B7"/>
    <w:rPr>
      <w:rFonts w:ascii="Foundry Form Sans" w:eastAsia="Times New Roman" w:hAnsi="Foundry Form Sans"/>
      <w:color w:val="313231"/>
      <w:kern w:val="0"/>
      <w:sz w:val="24"/>
      <w:szCs w:val="24"/>
      <w:lang w:eastAsia="en-GB"/>
      <w14:ligatures w14:val="none"/>
    </w:rPr>
  </w:style>
  <w:style w:type="paragraph" w:styleId="BodyText">
    <w:name w:val="Body Text"/>
    <w:basedOn w:val="Normal"/>
    <w:link w:val="BodyTextChar"/>
    <w:semiHidden/>
    <w:unhideWhenUsed/>
    <w:rsid w:val="001F37B7"/>
    <w:pPr>
      <w:spacing w:after="120"/>
    </w:pPr>
  </w:style>
  <w:style w:type="character" w:customStyle="1" w:styleId="BodyTextChar">
    <w:name w:val="Body Text Char"/>
    <w:basedOn w:val="DefaultParagraphFont"/>
    <w:link w:val="BodyText"/>
    <w:semiHidden/>
    <w:rsid w:val="001F37B7"/>
    <w:rPr>
      <w:rFonts w:ascii="Foundry Form Sans" w:eastAsia="Times New Roman" w:hAnsi="Foundry Form Sans"/>
      <w:color w:val="313231"/>
      <w:kern w:val="0"/>
      <w:sz w:val="24"/>
      <w:szCs w:val="24"/>
      <w:lang w:eastAsia="en-GB"/>
      <w14:ligatures w14:val="none"/>
    </w:rPr>
  </w:style>
  <w:style w:type="paragraph" w:styleId="BodyTextIndent">
    <w:name w:val="Body Text Indent"/>
    <w:basedOn w:val="Normal"/>
    <w:link w:val="BodyTextIndentChar"/>
    <w:semiHidden/>
    <w:unhideWhenUsed/>
    <w:rsid w:val="001F37B7"/>
    <w:pPr>
      <w:spacing w:after="120"/>
      <w:ind w:left="283"/>
    </w:pPr>
  </w:style>
  <w:style w:type="character" w:customStyle="1" w:styleId="BodyTextIndentChar">
    <w:name w:val="Body Text Indent Char"/>
    <w:basedOn w:val="DefaultParagraphFont"/>
    <w:link w:val="BodyTextIndent"/>
    <w:semiHidden/>
    <w:rsid w:val="001F37B7"/>
    <w:rPr>
      <w:rFonts w:ascii="Foundry Form Sans" w:eastAsia="Times New Roman" w:hAnsi="Foundry Form Sans"/>
      <w:color w:val="313231"/>
      <w:kern w:val="0"/>
      <w:sz w:val="24"/>
      <w:szCs w:val="24"/>
      <w:lang w:eastAsia="en-GB"/>
      <w14:ligatures w14:val="none"/>
    </w:rPr>
  </w:style>
  <w:style w:type="paragraph" w:styleId="ListContinue">
    <w:name w:val="List Continue"/>
    <w:basedOn w:val="Normal"/>
    <w:semiHidden/>
    <w:unhideWhenUsed/>
    <w:rsid w:val="001F37B7"/>
    <w:pPr>
      <w:spacing w:after="120"/>
      <w:ind w:left="283"/>
    </w:pPr>
  </w:style>
  <w:style w:type="paragraph" w:styleId="ListContinue2">
    <w:name w:val="List Continue 2"/>
    <w:basedOn w:val="Normal"/>
    <w:semiHidden/>
    <w:unhideWhenUsed/>
    <w:rsid w:val="001F37B7"/>
    <w:pPr>
      <w:spacing w:after="120"/>
      <w:ind w:left="566"/>
    </w:pPr>
  </w:style>
  <w:style w:type="paragraph" w:styleId="ListContinue3">
    <w:name w:val="List Continue 3"/>
    <w:basedOn w:val="Normal"/>
    <w:semiHidden/>
    <w:unhideWhenUsed/>
    <w:rsid w:val="001F37B7"/>
    <w:pPr>
      <w:spacing w:after="120"/>
      <w:ind w:left="849"/>
    </w:pPr>
  </w:style>
  <w:style w:type="paragraph" w:styleId="ListContinue4">
    <w:name w:val="List Continue 4"/>
    <w:basedOn w:val="Normal"/>
    <w:semiHidden/>
    <w:unhideWhenUsed/>
    <w:rsid w:val="001F37B7"/>
    <w:pPr>
      <w:spacing w:after="120"/>
      <w:ind w:left="1132"/>
    </w:pPr>
  </w:style>
  <w:style w:type="paragraph" w:styleId="ListContinue5">
    <w:name w:val="List Continue 5"/>
    <w:basedOn w:val="Normal"/>
    <w:semiHidden/>
    <w:unhideWhenUsed/>
    <w:rsid w:val="001F37B7"/>
    <w:pPr>
      <w:spacing w:after="120"/>
      <w:ind w:left="1415"/>
    </w:pPr>
  </w:style>
  <w:style w:type="paragraph" w:styleId="MessageHeader">
    <w:name w:val="Message Header"/>
    <w:basedOn w:val="Normal"/>
    <w:link w:val="MessageHeaderChar"/>
    <w:semiHidden/>
    <w:unhideWhenUsed/>
    <w:rsid w:val="001F37B7"/>
    <w:pPr>
      <w:shd w:val="clear" w:color="auto" w:fill="FFFF00"/>
      <w:ind w:left="1134" w:hanging="1134"/>
    </w:pPr>
    <w:rPr>
      <w:rFonts w:ascii="Arial" w:hAnsi="Arial" w:cs="Arial"/>
    </w:rPr>
  </w:style>
  <w:style w:type="character" w:customStyle="1" w:styleId="MessageHeaderChar">
    <w:name w:val="Message Header Char"/>
    <w:basedOn w:val="DefaultParagraphFont"/>
    <w:link w:val="MessageHeader"/>
    <w:semiHidden/>
    <w:rsid w:val="001F37B7"/>
    <w:rPr>
      <w:rFonts w:ascii="Arial" w:eastAsia="Times New Roman" w:hAnsi="Arial" w:cs="Arial"/>
      <w:color w:val="313231"/>
      <w:kern w:val="0"/>
      <w:sz w:val="24"/>
      <w:szCs w:val="24"/>
      <w:shd w:val="clear" w:color="auto" w:fill="FFFF00"/>
      <w:lang w:eastAsia="en-GB"/>
      <w14:ligatures w14:val="none"/>
    </w:rPr>
  </w:style>
  <w:style w:type="paragraph" w:styleId="Subtitle">
    <w:name w:val="Subtitle"/>
    <w:basedOn w:val="Normal"/>
    <w:link w:val="SubtitleChar"/>
    <w:qFormat/>
    <w:rsid w:val="001F37B7"/>
    <w:pPr>
      <w:spacing w:after="60"/>
      <w:jc w:val="center"/>
      <w:outlineLvl w:val="1"/>
    </w:pPr>
    <w:rPr>
      <w:rFonts w:ascii="Arial" w:hAnsi="Arial" w:cs="Arial"/>
    </w:rPr>
  </w:style>
  <w:style w:type="character" w:customStyle="1" w:styleId="SubtitleChar">
    <w:name w:val="Subtitle Char"/>
    <w:basedOn w:val="DefaultParagraphFont"/>
    <w:link w:val="Subtitle"/>
    <w:rsid w:val="001F37B7"/>
    <w:rPr>
      <w:rFonts w:ascii="Arial" w:eastAsia="Times New Roman" w:hAnsi="Arial" w:cs="Arial"/>
      <w:color w:val="313231"/>
      <w:kern w:val="0"/>
      <w:sz w:val="24"/>
      <w:szCs w:val="24"/>
      <w:lang w:eastAsia="en-GB"/>
      <w14:ligatures w14:val="none"/>
    </w:rPr>
  </w:style>
  <w:style w:type="paragraph" w:styleId="Salutation">
    <w:name w:val="Salutation"/>
    <w:basedOn w:val="Normal"/>
    <w:next w:val="Normal"/>
    <w:link w:val="SalutationChar"/>
    <w:semiHidden/>
    <w:unhideWhenUsed/>
    <w:rsid w:val="001F37B7"/>
  </w:style>
  <w:style w:type="character" w:customStyle="1" w:styleId="SalutationChar">
    <w:name w:val="Salutation Char"/>
    <w:basedOn w:val="DefaultParagraphFont"/>
    <w:link w:val="Salutation"/>
    <w:semiHidden/>
    <w:rsid w:val="001F37B7"/>
    <w:rPr>
      <w:rFonts w:ascii="Foundry Form Sans" w:eastAsia="Times New Roman" w:hAnsi="Foundry Form Sans"/>
      <w:color w:val="313231"/>
      <w:kern w:val="0"/>
      <w:sz w:val="24"/>
      <w:szCs w:val="24"/>
      <w:lang w:eastAsia="en-GB"/>
      <w14:ligatures w14:val="none"/>
    </w:rPr>
  </w:style>
  <w:style w:type="paragraph" w:styleId="Date">
    <w:name w:val="Date"/>
    <w:basedOn w:val="Normal"/>
    <w:next w:val="Normal"/>
    <w:link w:val="DateChar"/>
    <w:semiHidden/>
    <w:unhideWhenUsed/>
    <w:rsid w:val="001F37B7"/>
  </w:style>
  <w:style w:type="character" w:customStyle="1" w:styleId="DateChar">
    <w:name w:val="Date Char"/>
    <w:basedOn w:val="DefaultParagraphFont"/>
    <w:link w:val="Date"/>
    <w:semiHidden/>
    <w:rsid w:val="001F37B7"/>
    <w:rPr>
      <w:rFonts w:ascii="Foundry Form Sans" w:eastAsia="Times New Roman" w:hAnsi="Foundry Form Sans"/>
      <w:color w:val="313231"/>
      <w:kern w:val="0"/>
      <w:sz w:val="24"/>
      <w:szCs w:val="24"/>
      <w:lang w:eastAsia="en-GB"/>
      <w14:ligatures w14:val="none"/>
    </w:rPr>
  </w:style>
  <w:style w:type="paragraph" w:styleId="BodyTextFirstIndent">
    <w:name w:val="Body Text First Indent"/>
    <w:basedOn w:val="BodyText"/>
    <w:link w:val="BodyTextFirstIndentChar"/>
    <w:semiHidden/>
    <w:unhideWhenUsed/>
    <w:rsid w:val="001F37B7"/>
    <w:pPr>
      <w:ind w:firstLine="210"/>
    </w:pPr>
  </w:style>
  <w:style w:type="character" w:customStyle="1" w:styleId="BodyTextFirstIndentChar">
    <w:name w:val="Body Text First Indent Char"/>
    <w:basedOn w:val="BodyTextChar"/>
    <w:link w:val="BodyTextFirstIndent"/>
    <w:semiHidden/>
    <w:rsid w:val="001F37B7"/>
    <w:rPr>
      <w:rFonts w:ascii="Foundry Form Sans" w:eastAsia="Times New Roman" w:hAnsi="Foundry Form Sans"/>
      <w:color w:val="313231"/>
      <w:kern w:val="0"/>
      <w:sz w:val="24"/>
      <w:szCs w:val="24"/>
      <w:lang w:eastAsia="en-GB"/>
      <w14:ligatures w14:val="none"/>
    </w:rPr>
  </w:style>
  <w:style w:type="paragraph" w:styleId="BodyTextFirstIndent2">
    <w:name w:val="Body Text First Indent 2"/>
    <w:basedOn w:val="BodyTextIndent"/>
    <w:link w:val="BodyTextFirstIndent2Char"/>
    <w:semiHidden/>
    <w:unhideWhenUsed/>
    <w:rsid w:val="001F37B7"/>
    <w:pPr>
      <w:ind w:firstLine="210"/>
    </w:pPr>
  </w:style>
  <w:style w:type="character" w:customStyle="1" w:styleId="BodyTextFirstIndent2Char">
    <w:name w:val="Body Text First Indent 2 Char"/>
    <w:basedOn w:val="BodyTextIndentChar"/>
    <w:link w:val="BodyTextFirstIndent2"/>
    <w:semiHidden/>
    <w:rsid w:val="001F37B7"/>
    <w:rPr>
      <w:rFonts w:ascii="Foundry Form Sans" w:eastAsia="Times New Roman" w:hAnsi="Foundry Form Sans"/>
      <w:color w:val="313231"/>
      <w:kern w:val="0"/>
      <w:sz w:val="24"/>
      <w:szCs w:val="24"/>
      <w:lang w:eastAsia="en-GB"/>
      <w14:ligatures w14:val="none"/>
    </w:rPr>
  </w:style>
  <w:style w:type="paragraph" w:styleId="NoteHeading">
    <w:name w:val="Note Heading"/>
    <w:basedOn w:val="Normal"/>
    <w:next w:val="Normal"/>
    <w:link w:val="NoteHeadingChar"/>
    <w:semiHidden/>
    <w:unhideWhenUsed/>
    <w:rsid w:val="001F37B7"/>
  </w:style>
  <w:style w:type="character" w:customStyle="1" w:styleId="NoteHeadingChar">
    <w:name w:val="Note Heading Char"/>
    <w:basedOn w:val="DefaultParagraphFont"/>
    <w:link w:val="NoteHeading"/>
    <w:semiHidden/>
    <w:rsid w:val="001F37B7"/>
    <w:rPr>
      <w:rFonts w:ascii="Foundry Form Sans" w:eastAsia="Times New Roman" w:hAnsi="Foundry Form Sans"/>
      <w:color w:val="313231"/>
      <w:kern w:val="0"/>
      <w:sz w:val="24"/>
      <w:szCs w:val="24"/>
      <w:lang w:eastAsia="en-GB"/>
      <w14:ligatures w14:val="none"/>
    </w:rPr>
  </w:style>
  <w:style w:type="paragraph" w:styleId="BodyTextIndent2">
    <w:name w:val="Body Text Indent 2"/>
    <w:basedOn w:val="Normal"/>
    <w:link w:val="BodyTextIndent2Char"/>
    <w:semiHidden/>
    <w:unhideWhenUsed/>
    <w:rsid w:val="001F37B7"/>
    <w:pPr>
      <w:spacing w:after="120" w:line="480" w:lineRule="auto"/>
      <w:ind w:left="283"/>
    </w:pPr>
  </w:style>
  <w:style w:type="character" w:customStyle="1" w:styleId="BodyTextIndent2Char">
    <w:name w:val="Body Text Indent 2 Char"/>
    <w:basedOn w:val="DefaultParagraphFont"/>
    <w:link w:val="BodyTextIndent2"/>
    <w:semiHidden/>
    <w:rsid w:val="001F37B7"/>
    <w:rPr>
      <w:rFonts w:ascii="Foundry Form Sans" w:eastAsia="Times New Roman" w:hAnsi="Foundry Form Sans"/>
      <w:color w:val="313231"/>
      <w:kern w:val="0"/>
      <w:sz w:val="24"/>
      <w:szCs w:val="24"/>
      <w:lang w:eastAsia="en-GB"/>
      <w14:ligatures w14:val="none"/>
    </w:rPr>
  </w:style>
  <w:style w:type="paragraph" w:styleId="BodyTextIndent3">
    <w:name w:val="Body Text Indent 3"/>
    <w:basedOn w:val="Normal"/>
    <w:link w:val="BodyTextIndent3Char"/>
    <w:semiHidden/>
    <w:unhideWhenUsed/>
    <w:rsid w:val="001F37B7"/>
    <w:pPr>
      <w:spacing w:after="120"/>
      <w:ind w:left="283"/>
    </w:pPr>
    <w:rPr>
      <w:sz w:val="16"/>
      <w:szCs w:val="16"/>
    </w:rPr>
  </w:style>
  <w:style w:type="character" w:customStyle="1" w:styleId="BodyTextIndent3Char">
    <w:name w:val="Body Text Indent 3 Char"/>
    <w:basedOn w:val="DefaultParagraphFont"/>
    <w:link w:val="BodyTextIndent3"/>
    <w:semiHidden/>
    <w:rsid w:val="001F37B7"/>
    <w:rPr>
      <w:rFonts w:ascii="Foundry Form Sans" w:eastAsia="Times New Roman" w:hAnsi="Foundry Form Sans"/>
      <w:color w:val="313231"/>
      <w:kern w:val="0"/>
      <w:sz w:val="16"/>
      <w:szCs w:val="16"/>
      <w:lang w:eastAsia="en-GB"/>
      <w14:ligatures w14:val="none"/>
    </w:rPr>
  </w:style>
  <w:style w:type="paragraph" w:styleId="BlockText">
    <w:name w:val="Block Text"/>
    <w:basedOn w:val="Normal"/>
    <w:autoRedefine/>
    <w:semiHidden/>
    <w:unhideWhenUsed/>
    <w:rsid w:val="001F37B7"/>
    <w:pPr>
      <w:spacing w:after="120"/>
      <w:ind w:left="1440" w:right="1440"/>
    </w:pPr>
  </w:style>
  <w:style w:type="paragraph" w:styleId="DocumentMap">
    <w:name w:val="Document Map"/>
    <w:basedOn w:val="Normal"/>
    <w:link w:val="DocumentMapChar"/>
    <w:semiHidden/>
    <w:unhideWhenUsed/>
    <w:rsid w:val="001F37B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1F37B7"/>
    <w:rPr>
      <w:rFonts w:ascii="Tahoma" w:eastAsia="Times New Roman" w:hAnsi="Tahoma" w:cs="Tahoma"/>
      <w:color w:val="313231"/>
      <w:kern w:val="0"/>
      <w:shd w:val="clear" w:color="auto" w:fill="000080"/>
      <w:lang w:eastAsia="en-GB"/>
      <w14:ligatures w14:val="none"/>
    </w:rPr>
  </w:style>
  <w:style w:type="paragraph" w:styleId="PlainText">
    <w:name w:val="Plain Text"/>
    <w:basedOn w:val="Normal"/>
    <w:link w:val="PlainTextChar"/>
    <w:semiHidden/>
    <w:unhideWhenUsed/>
    <w:rsid w:val="001F37B7"/>
    <w:rPr>
      <w:rFonts w:ascii="Courier New" w:hAnsi="Courier New" w:cs="Courier New"/>
      <w:sz w:val="20"/>
      <w:szCs w:val="20"/>
    </w:rPr>
  </w:style>
  <w:style w:type="character" w:customStyle="1" w:styleId="PlainTextChar">
    <w:name w:val="Plain Text Char"/>
    <w:basedOn w:val="DefaultParagraphFont"/>
    <w:link w:val="PlainText"/>
    <w:semiHidden/>
    <w:rsid w:val="001F37B7"/>
    <w:rPr>
      <w:rFonts w:ascii="Courier New" w:eastAsia="Times New Roman" w:hAnsi="Courier New" w:cs="Courier New"/>
      <w:color w:val="313231"/>
      <w:kern w:val="0"/>
      <w:lang w:eastAsia="en-GB"/>
      <w14:ligatures w14:val="none"/>
    </w:rPr>
  </w:style>
  <w:style w:type="paragraph" w:styleId="E-mailSignature">
    <w:name w:val="E-mail Signature"/>
    <w:basedOn w:val="Normal"/>
    <w:link w:val="E-mailSignatureChar"/>
    <w:semiHidden/>
    <w:unhideWhenUsed/>
    <w:rsid w:val="001F37B7"/>
  </w:style>
  <w:style w:type="character" w:customStyle="1" w:styleId="E-mailSignatureChar">
    <w:name w:val="E-mail Signature Char"/>
    <w:basedOn w:val="DefaultParagraphFont"/>
    <w:link w:val="E-mailSignature"/>
    <w:semiHidden/>
    <w:rsid w:val="001F37B7"/>
    <w:rPr>
      <w:rFonts w:ascii="Foundry Form Sans" w:eastAsia="Times New Roman" w:hAnsi="Foundry Form Sans"/>
      <w:color w:val="313231"/>
      <w:kern w:val="0"/>
      <w:sz w:val="24"/>
      <w:szCs w:val="24"/>
      <w:lang w:eastAsia="en-GB"/>
      <w14:ligatures w14:val="none"/>
    </w:rPr>
  </w:style>
  <w:style w:type="paragraph" w:styleId="CommentSubject">
    <w:name w:val="annotation subject"/>
    <w:basedOn w:val="CommentText"/>
    <w:next w:val="CommentText"/>
    <w:link w:val="CommentSubjectChar"/>
    <w:semiHidden/>
    <w:unhideWhenUsed/>
    <w:rsid w:val="001F37B7"/>
    <w:rPr>
      <w:b/>
      <w:bCs/>
    </w:rPr>
  </w:style>
  <w:style w:type="character" w:customStyle="1" w:styleId="CommentSubjectChar">
    <w:name w:val="Comment Subject Char"/>
    <w:basedOn w:val="CommentTextChar"/>
    <w:link w:val="CommentSubject"/>
    <w:semiHidden/>
    <w:rsid w:val="001F37B7"/>
    <w:rPr>
      <w:rFonts w:ascii="Foundry Form Sans" w:eastAsia="Times New Roman" w:hAnsi="Foundry Form Sans"/>
      <w:b/>
      <w:bCs/>
      <w:color w:val="313231"/>
      <w:kern w:val="0"/>
      <w:lang w:eastAsia="en-GB"/>
      <w14:ligatures w14:val="none"/>
    </w:rPr>
  </w:style>
  <w:style w:type="paragraph" w:styleId="BalloonText">
    <w:name w:val="Balloon Text"/>
    <w:basedOn w:val="Normal"/>
    <w:link w:val="BalloonTextChar"/>
    <w:semiHidden/>
    <w:unhideWhenUsed/>
    <w:rsid w:val="001F37B7"/>
    <w:rPr>
      <w:rFonts w:ascii="Tahoma" w:hAnsi="Tahoma" w:cs="Tahoma"/>
      <w:sz w:val="16"/>
      <w:szCs w:val="16"/>
    </w:rPr>
  </w:style>
  <w:style w:type="character" w:customStyle="1" w:styleId="BalloonTextChar">
    <w:name w:val="Balloon Text Char"/>
    <w:basedOn w:val="DefaultParagraphFont"/>
    <w:link w:val="BalloonText"/>
    <w:semiHidden/>
    <w:rsid w:val="001F37B7"/>
    <w:rPr>
      <w:rFonts w:ascii="Tahoma" w:eastAsia="Times New Roman" w:hAnsi="Tahoma" w:cs="Tahoma"/>
      <w:color w:val="313231"/>
      <w:kern w:val="0"/>
      <w:sz w:val="16"/>
      <w:szCs w:val="16"/>
      <w:lang w:eastAsia="en-GB"/>
      <w14:ligatures w14:val="none"/>
    </w:rPr>
  </w:style>
  <w:style w:type="paragraph" w:styleId="Revision">
    <w:name w:val="Revision"/>
    <w:uiPriority w:val="71"/>
    <w:semiHidden/>
    <w:rsid w:val="001F37B7"/>
    <w:rPr>
      <w:rFonts w:ascii="Foundry Form Sans" w:eastAsia="Times New Roman" w:hAnsi="Foundry Form Sans"/>
      <w:color w:val="313231"/>
      <w:kern w:val="0"/>
      <w:sz w:val="24"/>
      <w:szCs w:val="24"/>
      <w:lang w:eastAsia="en-GB"/>
      <w14:ligatures w14:val="none"/>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qFormat/>
    <w:locked/>
    <w:rsid w:val="001F37B7"/>
    <w:rPr>
      <w:rFonts w:ascii="Foundry Form Sans" w:eastAsia="Times New Roman" w:hAnsi="Foundry Form Sans"/>
      <w:color w:val="313231"/>
      <w:kern w:val="0"/>
      <w:sz w:val="24"/>
      <w:szCs w:val="24"/>
      <w:lang w:eastAsia="en-GB"/>
      <w14:ligatures w14:val="none"/>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OBC Bullet,L"/>
    <w:basedOn w:val="Normal"/>
    <w:link w:val="ListParagraphChar"/>
    <w:uiPriority w:val="34"/>
    <w:qFormat/>
    <w:rsid w:val="001F37B7"/>
    <w:pPr>
      <w:ind w:left="720"/>
      <w:contextualSpacing/>
    </w:pPr>
  </w:style>
  <w:style w:type="paragraph" w:customStyle="1" w:styleId="LONNormal">
    <w:name w:val="LON_Normal"/>
    <w:semiHidden/>
    <w:rsid w:val="001F37B7"/>
    <w:rPr>
      <w:rFonts w:ascii="Foundry Form Sans" w:eastAsia="Times New Roman" w:hAnsi="Foundry Form Sans"/>
      <w:color w:val="313231"/>
      <w:kern w:val="0"/>
      <w:sz w:val="24"/>
      <w:szCs w:val="24"/>
      <w:lang w:eastAsia="en-GB"/>
      <w14:ligatures w14:val="none"/>
    </w:rPr>
  </w:style>
  <w:style w:type="paragraph" w:customStyle="1" w:styleId="LONBodyText">
    <w:name w:val="LON_Body Text"/>
    <w:basedOn w:val="LONNormal"/>
    <w:semiHidden/>
    <w:rsid w:val="001F37B7"/>
    <w:pPr>
      <w:spacing w:after="300" w:line="300" w:lineRule="exact"/>
    </w:pPr>
  </w:style>
  <w:style w:type="paragraph" w:customStyle="1" w:styleId="LONHeadingTwo">
    <w:name w:val="LON_Heading Two"/>
    <w:basedOn w:val="LONNormal"/>
    <w:next w:val="LONBodyText"/>
    <w:semiHidden/>
    <w:rsid w:val="001F37B7"/>
    <w:pPr>
      <w:spacing w:line="300" w:lineRule="exact"/>
    </w:pPr>
    <w:rPr>
      <w:i/>
    </w:rPr>
  </w:style>
  <w:style w:type="paragraph" w:customStyle="1" w:styleId="LONHeadingThree">
    <w:name w:val="LON_Heading Three"/>
    <w:basedOn w:val="LONNormal"/>
    <w:next w:val="LONBodyText"/>
    <w:semiHidden/>
    <w:rsid w:val="001F37B7"/>
    <w:pPr>
      <w:spacing w:line="300" w:lineRule="exact"/>
    </w:pPr>
    <w:rPr>
      <w:color w:val="41B3DC"/>
    </w:rPr>
  </w:style>
  <w:style w:type="paragraph" w:customStyle="1" w:styleId="LONHeadingOne">
    <w:name w:val="LON_Heading One"/>
    <w:basedOn w:val="LONNormal"/>
    <w:semiHidden/>
    <w:rsid w:val="001F37B7"/>
    <w:rPr>
      <w:b/>
      <w:sz w:val="26"/>
    </w:rPr>
  </w:style>
  <w:style w:type="paragraph" w:customStyle="1" w:styleId="LONFPDate">
    <w:name w:val="LON_FP_Date"/>
    <w:basedOn w:val="LONNormal"/>
    <w:semiHidden/>
    <w:rsid w:val="001F37B7"/>
    <w:pPr>
      <w:spacing w:line="280" w:lineRule="exact"/>
      <w:jc w:val="right"/>
    </w:pPr>
  </w:style>
  <w:style w:type="paragraph" w:customStyle="1" w:styleId="LONFPSubtitle">
    <w:name w:val="LON_FP_Subtitle"/>
    <w:basedOn w:val="LONNormal"/>
    <w:rsid w:val="001F37B7"/>
    <w:pPr>
      <w:spacing w:before="40" w:after="200" w:line="400" w:lineRule="exact"/>
    </w:pPr>
    <w:rPr>
      <w:rFonts w:ascii="Arial" w:hAnsi="Arial"/>
      <w:color w:val="FFFFFF"/>
      <w:sz w:val="36"/>
    </w:rPr>
  </w:style>
  <w:style w:type="paragraph" w:customStyle="1" w:styleId="LONFPTitle">
    <w:name w:val="LON_FP_Title"/>
    <w:basedOn w:val="LONNormal"/>
    <w:next w:val="LONFPSubtitle"/>
    <w:semiHidden/>
    <w:rsid w:val="001F37B7"/>
    <w:pPr>
      <w:spacing w:line="1040" w:lineRule="exact"/>
    </w:pPr>
    <w:rPr>
      <w:rFonts w:ascii="Arial" w:hAnsi="Arial"/>
      <w:b/>
      <w:color w:val="FFFFFF"/>
      <w:sz w:val="96"/>
    </w:rPr>
  </w:style>
  <w:style w:type="paragraph" w:customStyle="1" w:styleId="LONCPHeading">
    <w:name w:val="LON_CP Heading"/>
    <w:basedOn w:val="LONHeadingOne"/>
    <w:semiHidden/>
    <w:rsid w:val="001F37B7"/>
    <w:pPr>
      <w:spacing w:after="240"/>
    </w:pPr>
  </w:style>
  <w:style w:type="paragraph" w:customStyle="1" w:styleId="LONCPDate">
    <w:name w:val="LON_CP_Date"/>
    <w:basedOn w:val="LONNormal"/>
    <w:semiHidden/>
    <w:rsid w:val="001F37B7"/>
    <w:pPr>
      <w:spacing w:after="280" w:line="280" w:lineRule="exact"/>
      <w:contextualSpacing/>
    </w:pPr>
    <w:rPr>
      <w:b/>
    </w:rPr>
  </w:style>
  <w:style w:type="paragraph" w:customStyle="1" w:styleId="LONCPPublished">
    <w:name w:val="LON_CP_Published"/>
    <w:basedOn w:val="LONNormal"/>
    <w:semiHidden/>
    <w:rsid w:val="001F37B7"/>
    <w:pPr>
      <w:spacing w:after="300" w:line="300" w:lineRule="exact"/>
      <w:contextualSpacing/>
    </w:pPr>
  </w:style>
  <w:style w:type="paragraph" w:customStyle="1" w:styleId="LONCPPhone">
    <w:name w:val="LON_CP_Phone"/>
    <w:basedOn w:val="LONNormal"/>
    <w:semiHidden/>
    <w:rsid w:val="001F37B7"/>
    <w:pPr>
      <w:spacing w:after="300" w:line="300" w:lineRule="exact"/>
      <w:contextualSpacing/>
    </w:pPr>
  </w:style>
  <w:style w:type="paragraph" w:customStyle="1" w:styleId="LONCPISBN">
    <w:name w:val="LON_CP_ISBN"/>
    <w:basedOn w:val="LONNormal"/>
    <w:semiHidden/>
    <w:rsid w:val="001F37B7"/>
    <w:pPr>
      <w:spacing w:after="300" w:line="300" w:lineRule="exact"/>
      <w:contextualSpacing/>
    </w:pPr>
  </w:style>
  <w:style w:type="paragraph" w:customStyle="1" w:styleId="LONTransheader">
    <w:name w:val="LON_Trans_header"/>
    <w:basedOn w:val="LONNormal"/>
    <w:semiHidden/>
    <w:rsid w:val="001F37B7"/>
    <w:pPr>
      <w:spacing w:line="360" w:lineRule="exact"/>
    </w:pPr>
    <w:rPr>
      <w:b/>
      <w:sz w:val="32"/>
    </w:rPr>
  </w:style>
  <w:style w:type="paragraph" w:customStyle="1" w:styleId="LONTOCOne">
    <w:name w:val="LON_TOC One"/>
    <w:basedOn w:val="LONNormal"/>
    <w:semiHidden/>
    <w:rsid w:val="001F37B7"/>
    <w:pPr>
      <w:tabs>
        <w:tab w:val="left" w:pos="0"/>
        <w:tab w:val="left" w:pos="8222"/>
      </w:tabs>
      <w:spacing w:after="120" w:line="300" w:lineRule="exact"/>
    </w:pPr>
    <w:rPr>
      <w:b/>
    </w:rPr>
  </w:style>
  <w:style w:type="paragraph" w:customStyle="1" w:styleId="LONPgNum">
    <w:name w:val="LON_PgNum"/>
    <w:basedOn w:val="LONNormal"/>
    <w:semiHidden/>
    <w:rsid w:val="001F37B7"/>
    <w:pPr>
      <w:spacing w:line="300" w:lineRule="exact"/>
    </w:pPr>
    <w:rPr>
      <w:sz w:val="20"/>
    </w:rPr>
  </w:style>
  <w:style w:type="paragraph" w:customStyle="1" w:styleId="LONPgNumOdd">
    <w:name w:val="LON_PgNum Odd"/>
    <w:basedOn w:val="LONPgNum"/>
    <w:semiHidden/>
    <w:rsid w:val="001F37B7"/>
    <w:pPr>
      <w:jc w:val="right"/>
    </w:pPr>
  </w:style>
  <w:style w:type="paragraph" w:customStyle="1" w:styleId="LONChartNormal">
    <w:name w:val="LON_Chart Normal"/>
    <w:basedOn w:val="LONNormal"/>
    <w:semiHidden/>
    <w:rsid w:val="001F37B7"/>
  </w:style>
  <w:style w:type="paragraph" w:customStyle="1" w:styleId="LONChartTitle">
    <w:name w:val="LON_Chart Title"/>
    <w:basedOn w:val="LONNormal"/>
    <w:semiHidden/>
    <w:rsid w:val="001F37B7"/>
    <w:pPr>
      <w:spacing w:line="300" w:lineRule="exact"/>
    </w:pPr>
    <w:rPr>
      <w:b/>
    </w:rPr>
  </w:style>
  <w:style w:type="paragraph" w:customStyle="1" w:styleId="LONChartSource">
    <w:name w:val="LON_Chart Source"/>
    <w:basedOn w:val="LONNormal"/>
    <w:semiHidden/>
    <w:rsid w:val="001F37B7"/>
    <w:pPr>
      <w:spacing w:line="300" w:lineRule="exact"/>
    </w:pPr>
  </w:style>
  <w:style w:type="paragraph" w:customStyle="1" w:styleId="LONBulletOne">
    <w:name w:val="LON_Bullet One"/>
    <w:basedOn w:val="LONNormal"/>
    <w:rsid w:val="001F37B7"/>
    <w:pPr>
      <w:numPr>
        <w:numId w:val="17"/>
      </w:numPr>
      <w:spacing w:after="300" w:line="300" w:lineRule="exact"/>
      <w:contextualSpacing/>
    </w:pPr>
  </w:style>
  <w:style w:type="paragraph" w:customStyle="1" w:styleId="LONBulletTwo">
    <w:name w:val="LON_Bullet Two"/>
    <w:basedOn w:val="LONNormal"/>
    <w:semiHidden/>
    <w:rsid w:val="001F37B7"/>
    <w:pPr>
      <w:numPr>
        <w:numId w:val="18"/>
      </w:numPr>
      <w:spacing w:after="300" w:line="300" w:lineRule="exact"/>
      <w:ind w:left="720"/>
      <w:contextualSpacing/>
    </w:pPr>
  </w:style>
  <w:style w:type="paragraph" w:customStyle="1" w:styleId="LONHeadingOneNumbered">
    <w:name w:val="LON_Heading One Numbered"/>
    <w:basedOn w:val="Normal"/>
    <w:next w:val="LONHeadingTwo"/>
    <w:semiHidden/>
    <w:rsid w:val="001F37B7"/>
    <w:pPr>
      <w:pageBreakBefore/>
      <w:numPr>
        <w:ilvl w:val="1"/>
        <w:numId w:val="19"/>
      </w:numPr>
      <w:spacing w:line="300" w:lineRule="exact"/>
      <w:ind w:left="2007"/>
      <w:outlineLvl w:val="1"/>
    </w:pPr>
    <w:rPr>
      <w:b/>
      <w:sz w:val="26"/>
    </w:rPr>
  </w:style>
  <w:style w:type="character" w:customStyle="1" w:styleId="LONBodyTextNumberedChar">
    <w:name w:val="LON_Body Text Numbered Char"/>
    <w:basedOn w:val="DefaultParagraphFont"/>
    <w:link w:val="LONBodyTextNumbered"/>
    <w:locked/>
    <w:rsid w:val="001F37B7"/>
    <w:rPr>
      <w:rFonts w:ascii="Foundry Form Sans" w:eastAsia="Times New Roman" w:hAnsi="Foundry Form Sans"/>
      <w:color w:val="313231"/>
      <w:kern w:val="0"/>
      <w:sz w:val="24"/>
      <w:szCs w:val="24"/>
      <w:lang w:eastAsia="en-GB"/>
      <w14:ligatures w14:val="none"/>
    </w:rPr>
  </w:style>
  <w:style w:type="paragraph" w:customStyle="1" w:styleId="LONBodyTextNumbered">
    <w:name w:val="LON_Body Text Numbered"/>
    <w:basedOn w:val="LONBodyText"/>
    <w:link w:val="LONBodyTextNumberedChar"/>
    <w:rsid w:val="001F37B7"/>
  </w:style>
  <w:style w:type="paragraph" w:customStyle="1" w:styleId="LONTOCTwo">
    <w:name w:val="LON_TOC Two"/>
    <w:basedOn w:val="LONTOCOne"/>
    <w:semiHidden/>
    <w:rsid w:val="001F37B7"/>
    <w:pPr>
      <w:tabs>
        <w:tab w:val="left" w:pos="720"/>
      </w:tabs>
      <w:spacing w:after="0"/>
      <w:ind w:left="567"/>
    </w:pPr>
    <w:rPr>
      <w:b w:val="0"/>
    </w:rPr>
  </w:style>
  <w:style w:type="paragraph" w:customStyle="1" w:styleId="LONSpace">
    <w:name w:val="LON_Space"/>
    <w:basedOn w:val="LONNormal"/>
    <w:semiHidden/>
    <w:rsid w:val="001F37B7"/>
    <w:pPr>
      <w:spacing w:line="20" w:lineRule="exact"/>
    </w:pPr>
    <w:rPr>
      <w:sz w:val="2"/>
    </w:rPr>
  </w:style>
  <w:style w:type="paragraph" w:customStyle="1" w:styleId="LONAppxHeading">
    <w:name w:val="LON_Appx_Heading"/>
    <w:basedOn w:val="LONNormal"/>
    <w:semiHidden/>
    <w:rsid w:val="001F37B7"/>
    <w:pPr>
      <w:pageBreakBefore/>
      <w:framePr w:wrap="around" w:vAnchor="page" w:hAnchor="text" w:x="1" w:y="993" w:anchorLock="1"/>
      <w:numPr>
        <w:numId w:val="20"/>
      </w:numPr>
      <w:spacing w:line="520" w:lineRule="exact"/>
      <w:outlineLvl w:val="0"/>
    </w:pPr>
    <w:rPr>
      <w:rFonts w:ascii="Arial" w:hAnsi="Arial"/>
      <w:b/>
      <w:sz w:val="48"/>
      <w:szCs w:val="48"/>
    </w:rPr>
  </w:style>
  <w:style w:type="paragraph" w:customStyle="1" w:styleId="LONTransText">
    <w:name w:val="LON_Trans_Text"/>
    <w:basedOn w:val="LONNormal"/>
    <w:semiHidden/>
    <w:rsid w:val="001F37B7"/>
    <w:pPr>
      <w:spacing w:after="240"/>
    </w:pPr>
    <w:rPr>
      <w:sz w:val="32"/>
    </w:rPr>
  </w:style>
  <w:style w:type="paragraph" w:customStyle="1" w:styleId="LONTBNormal">
    <w:name w:val="LON_TB_Normal"/>
    <w:basedOn w:val="LONNormal"/>
    <w:semiHidden/>
    <w:rsid w:val="001F37B7"/>
    <w:pPr>
      <w:spacing w:before="60" w:after="60" w:line="300" w:lineRule="exact"/>
    </w:pPr>
    <w:rPr>
      <w:sz w:val="20"/>
    </w:rPr>
  </w:style>
  <w:style w:type="paragraph" w:customStyle="1" w:styleId="LONTBSource">
    <w:name w:val="LON_TB_Source"/>
    <w:basedOn w:val="LONTBNormal"/>
    <w:semiHidden/>
    <w:rsid w:val="001F37B7"/>
    <w:pPr>
      <w:spacing w:after="300"/>
    </w:pPr>
  </w:style>
  <w:style w:type="paragraph" w:customStyle="1" w:styleId="LONTBTitle">
    <w:name w:val="LON_TB_Title"/>
    <w:basedOn w:val="LONTBNormal"/>
    <w:rsid w:val="001F37B7"/>
    <w:pPr>
      <w:spacing w:before="0"/>
    </w:pPr>
    <w:rPr>
      <w:b/>
      <w:sz w:val="24"/>
    </w:rPr>
  </w:style>
  <w:style w:type="paragraph" w:customStyle="1" w:styleId="LONTBColHeading">
    <w:name w:val="LON_TB_Col Heading"/>
    <w:basedOn w:val="LONTBNormal"/>
    <w:semiHidden/>
    <w:rsid w:val="001F37B7"/>
    <w:rPr>
      <w:b/>
    </w:rPr>
  </w:style>
  <w:style w:type="paragraph" w:customStyle="1" w:styleId="LONChapterHeadinganchor">
    <w:name w:val="LON_Chapter Heading anchor"/>
    <w:basedOn w:val="LONSpace"/>
    <w:semiHidden/>
    <w:rsid w:val="001F37B7"/>
    <w:pPr>
      <w:pageBreakBefore/>
    </w:pPr>
  </w:style>
  <w:style w:type="paragraph" w:customStyle="1" w:styleId="LONSummaryHeading">
    <w:name w:val="LON_Summary Heading"/>
    <w:basedOn w:val="LONNormal"/>
    <w:rsid w:val="001F37B7"/>
    <w:pPr>
      <w:spacing w:before="60" w:line="300" w:lineRule="exact"/>
    </w:pPr>
    <w:rPr>
      <w:b/>
    </w:rPr>
  </w:style>
  <w:style w:type="paragraph" w:customStyle="1" w:styleId="LONSummaryText">
    <w:name w:val="LON_Summary Text"/>
    <w:basedOn w:val="LONNormal"/>
    <w:semiHidden/>
    <w:rsid w:val="001F37B7"/>
    <w:pPr>
      <w:spacing w:after="60" w:line="300" w:lineRule="exact"/>
      <w:contextualSpacing/>
    </w:pPr>
  </w:style>
  <w:style w:type="paragraph" w:customStyle="1" w:styleId="LONRecommendationHeading">
    <w:name w:val="LON_Recommendation Heading"/>
    <w:basedOn w:val="LONNormal"/>
    <w:semiHidden/>
    <w:rsid w:val="001F37B7"/>
    <w:pPr>
      <w:spacing w:before="60" w:line="300" w:lineRule="exact"/>
    </w:pPr>
    <w:rPr>
      <w:b/>
    </w:rPr>
  </w:style>
  <w:style w:type="paragraph" w:customStyle="1" w:styleId="LONRecommendationText">
    <w:name w:val="LON_Recommendation Text"/>
    <w:basedOn w:val="LONNormal"/>
    <w:semiHidden/>
    <w:rsid w:val="001F37B7"/>
    <w:pPr>
      <w:spacing w:after="60" w:line="300" w:lineRule="exact"/>
      <w:ind w:left="340"/>
      <w:contextualSpacing/>
    </w:pPr>
    <w:rPr>
      <w:b/>
    </w:rPr>
  </w:style>
  <w:style w:type="paragraph" w:customStyle="1" w:styleId="LONIPTitle">
    <w:name w:val="LON_IP_Title"/>
    <w:basedOn w:val="LONFPTitle"/>
    <w:semiHidden/>
    <w:rsid w:val="001F37B7"/>
  </w:style>
  <w:style w:type="paragraph" w:customStyle="1" w:styleId="LONIPSubtitle">
    <w:name w:val="LON_IP_Subtitle"/>
    <w:basedOn w:val="LONFPSubtitle"/>
    <w:semiHidden/>
    <w:rsid w:val="001F37B7"/>
    <w:pPr>
      <w:spacing w:after="0"/>
    </w:pPr>
  </w:style>
  <w:style w:type="paragraph" w:customStyle="1" w:styleId="LONIPDate">
    <w:name w:val="LON_IP_Date"/>
    <w:basedOn w:val="LONFPDate"/>
    <w:semiHidden/>
    <w:rsid w:val="001F37B7"/>
  </w:style>
  <w:style w:type="paragraph" w:customStyle="1" w:styleId="LONChapterheading">
    <w:name w:val="LON_Chapter heading"/>
    <w:basedOn w:val="LONNormal"/>
    <w:semiHidden/>
    <w:rsid w:val="001F37B7"/>
    <w:pPr>
      <w:numPr>
        <w:numId w:val="21"/>
      </w:numPr>
      <w:spacing w:line="1040" w:lineRule="exact"/>
      <w:ind w:left="0" w:firstLine="0"/>
    </w:pPr>
    <w:rPr>
      <w:rFonts w:ascii="Arial" w:hAnsi="Arial"/>
      <w:b/>
      <w:color w:val="9DCFEF"/>
      <w:sz w:val="96"/>
    </w:rPr>
  </w:style>
  <w:style w:type="paragraph" w:customStyle="1" w:styleId="LONIPHeader">
    <w:name w:val="LON_IP Header"/>
    <w:basedOn w:val="LONNormal"/>
    <w:semiHidden/>
    <w:rsid w:val="001F37B7"/>
    <w:pPr>
      <w:framePr w:hSpace="181" w:wrap="around" w:vAnchor="page" w:hAnchor="page" w:x="1135" w:y="1248"/>
    </w:pPr>
    <w:rPr>
      <w:i/>
    </w:rPr>
  </w:style>
  <w:style w:type="paragraph" w:customStyle="1" w:styleId="LonMoLImage">
    <w:name w:val="Lon_MoL_Image"/>
    <w:basedOn w:val="LONHeadingTwo"/>
    <w:semiHidden/>
    <w:rsid w:val="001F37B7"/>
    <w:pPr>
      <w:spacing w:line="240" w:lineRule="auto"/>
    </w:pPr>
  </w:style>
  <w:style w:type="paragraph" w:customStyle="1" w:styleId="gmailmsg1">
    <w:name w:val="gmailmsg1"/>
    <w:basedOn w:val="Normal"/>
    <w:semiHidden/>
    <w:rsid w:val="001F37B7"/>
    <w:pPr>
      <w:spacing w:before="100" w:beforeAutospacing="1" w:after="100" w:afterAutospacing="1" w:line="280" w:lineRule="atLeast"/>
      <w:jc w:val="both"/>
    </w:pPr>
    <w:rPr>
      <w:rFonts w:ascii="Times New Roman" w:eastAsiaTheme="minorHAnsi" w:hAnsi="Times New Roman"/>
      <w:color w:val="auto"/>
      <w:sz w:val="20"/>
      <w:szCs w:val="20"/>
    </w:rPr>
  </w:style>
  <w:style w:type="paragraph" w:customStyle="1" w:styleId="Default">
    <w:name w:val="Default"/>
    <w:rsid w:val="001F37B7"/>
    <w:pPr>
      <w:autoSpaceDE w:val="0"/>
      <w:autoSpaceDN w:val="0"/>
      <w:adjustRightInd w:val="0"/>
    </w:pPr>
    <w:rPr>
      <w:rFonts w:ascii="Foundry Form Sans" w:eastAsia="Times New Roman" w:hAnsi="Foundry Form Sans" w:cs="Foundry Form Sans"/>
      <w:color w:val="000000"/>
      <w:kern w:val="0"/>
      <w:sz w:val="24"/>
      <w:szCs w:val="24"/>
      <w:lang w:eastAsia="en-GB"/>
      <w14:ligatures w14:val="none"/>
    </w:rPr>
  </w:style>
  <w:style w:type="paragraph" w:customStyle="1" w:styleId="lonbodytextnumbered0">
    <w:name w:val="lonbodytextnumbered"/>
    <w:basedOn w:val="Normal"/>
    <w:semiHidden/>
    <w:rsid w:val="001F37B7"/>
    <w:pPr>
      <w:spacing w:after="300" w:line="300" w:lineRule="atLeast"/>
    </w:pPr>
    <w:rPr>
      <w:rFonts w:eastAsiaTheme="minorHAnsi" w:cs="Calibri"/>
    </w:rPr>
  </w:style>
  <w:style w:type="character" w:customStyle="1" w:styleId="NumberedParagraphChar">
    <w:name w:val="Numbered Paragraph Char"/>
    <w:basedOn w:val="DefaultParagraphFont"/>
    <w:link w:val="NumberedParagraph"/>
    <w:semiHidden/>
    <w:locked/>
    <w:rsid w:val="001F37B7"/>
    <w:rPr>
      <w:rFonts w:ascii="Foundry Form Sans" w:eastAsia="Times New Roman" w:hAnsi="Foundry Form Sans" w:cs="Foundry Form Sans"/>
      <w:kern w:val="0"/>
      <w:sz w:val="24"/>
      <w:szCs w:val="24"/>
      <w14:ligatures w14:val="none"/>
    </w:rPr>
  </w:style>
  <w:style w:type="paragraph" w:customStyle="1" w:styleId="NumberedParagraph">
    <w:name w:val="Numbered Paragraph"/>
    <w:basedOn w:val="Normal"/>
    <w:link w:val="NumberedParagraphChar"/>
    <w:semiHidden/>
    <w:qFormat/>
    <w:rsid w:val="001F37B7"/>
    <w:pPr>
      <w:keepLines/>
      <w:tabs>
        <w:tab w:val="num" w:pos="786"/>
      </w:tabs>
      <w:spacing w:after="240" w:line="300" w:lineRule="atLeast"/>
      <w:ind w:left="786" w:hanging="360"/>
    </w:pPr>
    <w:rPr>
      <w:rFonts w:cs="Foundry Form Sans"/>
      <w:color w:val="auto"/>
      <w:lang w:eastAsia="en-US"/>
    </w:rPr>
  </w:style>
  <w:style w:type="paragraph" w:customStyle="1" w:styleId="Section2paragraph">
    <w:name w:val="Section 2 paragraph"/>
    <w:basedOn w:val="LONBodyTextNumbered"/>
    <w:semiHidden/>
    <w:qFormat/>
    <w:rsid w:val="001F37B7"/>
    <w:pPr>
      <w:keepLines/>
      <w:ind w:left="720" w:hanging="720"/>
    </w:pPr>
  </w:style>
  <w:style w:type="paragraph" w:customStyle="1" w:styleId="SubHeading">
    <w:name w:val="SubHeading"/>
    <w:basedOn w:val="LONSummaryHeading"/>
    <w:semiHidden/>
    <w:qFormat/>
    <w:rsid w:val="001F37B7"/>
    <w:pPr>
      <w:keepNext/>
      <w:spacing w:before="300" w:after="40"/>
      <w:ind w:left="720"/>
    </w:pPr>
  </w:style>
  <w:style w:type="paragraph" w:customStyle="1" w:styleId="paragraph">
    <w:name w:val="paragraph"/>
    <w:basedOn w:val="Normal"/>
    <w:rsid w:val="001F37B7"/>
    <w:pPr>
      <w:spacing w:before="100" w:beforeAutospacing="1" w:after="100" w:afterAutospacing="1"/>
    </w:pPr>
    <w:rPr>
      <w:rFonts w:ascii="Times New Roman" w:hAnsi="Times New Roman"/>
      <w:color w:val="auto"/>
    </w:rPr>
  </w:style>
  <w:style w:type="paragraph" w:customStyle="1" w:styleId="Normal21">
    <w:name w:val="Normal 2.1"/>
    <w:basedOn w:val="Normal"/>
    <w:qFormat/>
    <w:locked/>
    <w:rsid w:val="001F37B7"/>
    <w:pPr>
      <w:spacing w:after="300" w:line="300" w:lineRule="exact"/>
    </w:pPr>
    <w:rPr>
      <w:color w:val="auto"/>
    </w:rPr>
  </w:style>
  <w:style w:type="paragraph" w:customStyle="1" w:styleId="BodyMainParagraph">
    <w:name w:val="Body Main Paragraph"/>
    <w:basedOn w:val="Normal"/>
    <w:semiHidden/>
    <w:qFormat/>
    <w:rsid w:val="001F37B7"/>
    <w:pPr>
      <w:spacing w:after="300" w:line="300" w:lineRule="exact"/>
      <w:ind w:left="1287" w:hanging="360"/>
    </w:pPr>
    <w:rPr>
      <w:color w:val="auto"/>
    </w:rPr>
  </w:style>
  <w:style w:type="character" w:styleId="FootnoteReference">
    <w:name w:val="footnote reference"/>
    <w:semiHidden/>
    <w:unhideWhenUsed/>
    <w:rsid w:val="001F37B7"/>
    <w:rPr>
      <w:color w:val="313231"/>
      <w:vertAlign w:val="superscript"/>
    </w:rPr>
  </w:style>
  <w:style w:type="character" w:styleId="CommentReference">
    <w:name w:val="annotation reference"/>
    <w:uiPriority w:val="99"/>
    <w:semiHidden/>
    <w:unhideWhenUsed/>
    <w:rsid w:val="001F37B7"/>
    <w:rPr>
      <w:color w:val="313231"/>
      <w:sz w:val="16"/>
      <w:szCs w:val="16"/>
    </w:rPr>
  </w:style>
  <w:style w:type="character" w:styleId="LineNumber">
    <w:name w:val="line number"/>
    <w:semiHidden/>
    <w:unhideWhenUsed/>
    <w:rsid w:val="001F37B7"/>
    <w:rPr>
      <w:color w:val="313231"/>
    </w:rPr>
  </w:style>
  <w:style w:type="character" w:styleId="PageNumber">
    <w:name w:val="page number"/>
    <w:semiHidden/>
    <w:unhideWhenUsed/>
    <w:rsid w:val="001F37B7"/>
    <w:rPr>
      <w:color w:val="313231"/>
    </w:rPr>
  </w:style>
  <w:style w:type="character" w:styleId="EndnoteReference">
    <w:name w:val="endnote reference"/>
    <w:semiHidden/>
    <w:unhideWhenUsed/>
    <w:rsid w:val="001F37B7"/>
    <w:rPr>
      <w:color w:val="313231"/>
      <w:vertAlign w:val="superscript"/>
    </w:rPr>
  </w:style>
  <w:style w:type="character" w:styleId="PlaceholderText">
    <w:name w:val="Placeholder Text"/>
    <w:basedOn w:val="DefaultParagraphFont"/>
    <w:uiPriority w:val="99"/>
    <w:semiHidden/>
    <w:rsid w:val="001F37B7"/>
    <w:rPr>
      <w:color w:val="808080"/>
    </w:rPr>
  </w:style>
  <w:style w:type="character" w:customStyle="1" w:styleId="LONFPTitleChar">
    <w:name w:val="LON_FP_Title Char"/>
    <w:rsid w:val="001F37B7"/>
    <w:rPr>
      <w:rFonts w:ascii="Foundry Form Sans" w:hAnsi="Foundry Form Sans" w:hint="default"/>
      <w:b/>
      <w:bCs w:val="0"/>
      <w:noProof w:val="0"/>
      <w:color w:val="313231"/>
      <w:sz w:val="48"/>
      <w:szCs w:val="24"/>
      <w:lang w:val="en-GB" w:eastAsia="en-GB" w:bidi="ar-SA"/>
    </w:rPr>
  </w:style>
  <w:style w:type="character" w:customStyle="1" w:styleId="LONNormalChar">
    <w:name w:val="LON_Normal Char"/>
    <w:rsid w:val="001F37B7"/>
    <w:rPr>
      <w:rFonts w:ascii="Foundry Form Sans" w:hAnsi="Foundry Form Sans" w:hint="default"/>
      <w:noProof w:val="0"/>
      <w:color w:val="313231"/>
      <w:sz w:val="24"/>
      <w:szCs w:val="24"/>
      <w:lang w:val="en-GB" w:eastAsia="en-GB" w:bidi="ar-SA"/>
    </w:rPr>
  </w:style>
  <w:style w:type="character" w:customStyle="1" w:styleId="LONTransheaderChar">
    <w:name w:val="LON_Trans_header Char"/>
    <w:rsid w:val="001F37B7"/>
    <w:rPr>
      <w:rFonts w:ascii="Foundry Form Sans" w:hAnsi="Foundry Form Sans" w:hint="default"/>
      <w:b/>
      <w:bCs w:val="0"/>
      <w:noProof w:val="0"/>
      <w:color w:val="313231"/>
      <w:sz w:val="32"/>
      <w:szCs w:val="24"/>
      <w:lang w:val="en-GB" w:eastAsia="en-GB" w:bidi="ar-SA"/>
    </w:rPr>
  </w:style>
  <w:style w:type="character" w:customStyle="1" w:styleId="LONIPTitleChar">
    <w:name w:val="LON_IP_Title Char"/>
    <w:basedOn w:val="LONFPTitleChar"/>
    <w:rsid w:val="001F37B7"/>
    <w:rPr>
      <w:rFonts w:ascii="Foundry Form Sans" w:hAnsi="Foundry Form Sans" w:hint="default"/>
      <w:b/>
      <w:bCs w:val="0"/>
      <w:noProof w:val="0"/>
      <w:color w:val="313231"/>
      <w:sz w:val="48"/>
      <w:szCs w:val="24"/>
      <w:lang w:val="en-GB" w:eastAsia="en-GB" w:bidi="ar-SA"/>
    </w:rPr>
  </w:style>
  <w:style w:type="character" w:customStyle="1" w:styleId="LONCPPublishedcolour">
    <w:name w:val="LON_CP_Published_colour"/>
    <w:rsid w:val="001F37B7"/>
    <w:rPr>
      <w:color w:val="C10076"/>
    </w:rPr>
  </w:style>
  <w:style w:type="character" w:customStyle="1" w:styleId="gmailmsg">
    <w:name w:val="gmailmsg"/>
    <w:basedOn w:val="DefaultParagraphFont"/>
    <w:rsid w:val="001F37B7"/>
  </w:style>
  <w:style w:type="character" w:customStyle="1" w:styleId="normaltextrun">
    <w:name w:val="normaltextrun"/>
    <w:basedOn w:val="DefaultParagraphFont"/>
    <w:rsid w:val="001F37B7"/>
  </w:style>
  <w:style w:type="character" w:customStyle="1" w:styleId="eop">
    <w:name w:val="eop"/>
    <w:basedOn w:val="DefaultParagraphFont"/>
    <w:rsid w:val="001F37B7"/>
  </w:style>
  <w:style w:type="character" w:customStyle="1" w:styleId="pagebreaktextspan">
    <w:name w:val="pagebreaktextspan"/>
    <w:basedOn w:val="DefaultParagraphFont"/>
    <w:rsid w:val="001F37B7"/>
  </w:style>
  <w:style w:type="table" w:styleId="TableGrid">
    <w:name w:val="Table Grid"/>
    <w:aliases w:val="Lon_MoF_Table"/>
    <w:basedOn w:val="TableNormal"/>
    <w:rsid w:val="001F37B7"/>
    <w:rPr>
      <w:rFonts w:eastAsia="Times New Roman"/>
      <w:kern w:val="0"/>
      <w14:ligatures w14:val="none"/>
    </w:rPr>
    <w:tblPr>
      <w:tblInd w:w="0" w:type="nil"/>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Helv" w:hAnsi="Helv" w:hint="default"/>
        <w:sz w:val="24"/>
        <w:szCs w:val="24"/>
      </w:rPr>
      <w:tblPr/>
      <w:tcPr>
        <w:shd w:val="clear" w:color="auto" w:fill="9DCFEF"/>
      </w:tcPr>
    </w:tblStylePr>
  </w:style>
  <w:style w:type="table" w:styleId="TableGridLight">
    <w:name w:val="Grid Table Light"/>
    <w:basedOn w:val="TableNormal"/>
    <w:uiPriority w:val="40"/>
    <w:rsid w:val="001F37B7"/>
    <w:rPr>
      <w:rFonts w:eastAsia="Times New Roman"/>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LONTOCOne"/>
    <w:next w:val="Normal"/>
    <w:autoRedefine/>
    <w:uiPriority w:val="39"/>
    <w:semiHidden/>
    <w:unhideWhenUsed/>
    <w:rsid w:val="001F37B7"/>
    <w:pPr>
      <w:ind w:left="567"/>
    </w:pPr>
  </w:style>
  <w:style w:type="paragraph" w:styleId="TOC3">
    <w:name w:val="toc 3"/>
    <w:basedOn w:val="LONTOCTwo"/>
    <w:next w:val="Normal"/>
    <w:autoRedefine/>
    <w:semiHidden/>
    <w:unhideWhenUsed/>
    <w:rsid w:val="001F37B7"/>
  </w:style>
  <w:style w:type="paragraph" w:styleId="Caption">
    <w:name w:val="caption"/>
    <w:basedOn w:val="LONTBNormal"/>
    <w:next w:val="Normal"/>
    <w:semiHidden/>
    <w:unhideWhenUsed/>
    <w:qFormat/>
    <w:rsid w:val="001F37B7"/>
    <w:pPr>
      <w:spacing w:before="0"/>
    </w:pPr>
    <w:rPr>
      <w:b/>
      <w:bCs/>
      <w:sz w:val="24"/>
      <w:szCs w:val="20"/>
    </w:rPr>
  </w:style>
  <w:style w:type="paragraph" w:customStyle="1" w:styleId="LONTOCChapter">
    <w:name w:val="LON_TOC Chapter"/>
    <w:basedOn w:val="LONTOCOne"/>
    <w:rsid w:val="001F37B7"/>
    <w:pPr>
      <w:tabs>
        <w:tab w:val="left" w:pos="567"/>
      </w:tabs>
    </w:pPr>
    <w:rPr>
      <w:noProof/>
    </w:rPr>
  </w:style>
  <w:style w:type="paragraph" w:styleId="TOC1">
    <w:name w:val="toc 1"/>
    <w:basedOn w:val="LONTOCChapter"/>
    <w:next w:val="Normal"/>
    <w:autoRedefine/>
    <w:uiPriority w:val="39"/>
    <w:unhideWhenUsed/>
    <w:rsid w:val="00AD2D5E"/>
    <w:rPr>
      <w:bCs/>
      <w:sz w:val="28"/>
      <w:szCs w:val="28"/>
    </w:rPr>
  </w:style>
  <w:style w:type="numbering" w:customStyle="1" w:styleId="Section3Para">
    <w:name w:val="Section3Para"/>
    <w:rsid w:val="001F37B7"/>
    <w:pPr>
      <w:numPr>
        <w:numId w:val="23"/>
      </w:numPr>
    </w:pPr>
  </w:style>
  <w:style w:type="character" w:styleId="UnresolvedMention">
    <w:name w:val="Unresolved Mention"/>
    <w:basedOn w:val="DefaultParagraphFont"/>
    <w:uiPriority w:val="99"/>
    <w:semiHidden/>
    <w:unhideWhenUsed/>
    <w:rsid w:val="00584802"/>
    <w:rPr>
      <w:color w:val="605E5C"/>
      <w:shd w:val="clear" w:color="auto" w:fill="E1DFDD"/>
    </w:rPr>
  </w:style>
  <w:style w:type="character" w:styleId="Mention">
    <w:name w:val="Mention"/>
    <w:basedOn w:val="DefaultParagraphFont"/>
    <w:uiPriority w:val="99"/>
    <w:unhideWhenUsed/>
    <w:rsid w:val="002971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4868">
      <w:bodyDiv w:val="1"/>
      <w:marLeft w:val="0"/>
      <w:marRight w:val="0"/>
      <w:marTop w:val="0"/>
      <w:marBottom w:val="0"/>
      <w:divBdr>
        <w:top w:val="none" w:sz="0" w:space="0" w:color="auto"/>
        <w:left w:val="none" w:sz="0" w:space="0" w:color="auto"/>
        <w:bottom w:val="none" w:sz="0" w:space="0" w:color="auto"/>
        <w:right w:val="none" w:sz="0" w:space="0" w:color="auto"/>
      </w:divBdr>
    </w:div>
    <w:div w:id="1478110440">
      <w:bodyDiv w:val="1"/>
      <w:marLeft w:val="0"/>
      <w:marRight w:val="0"/>
      <w:marTop w:val="0"/>
      <w:marBottom w:val="0"/>
      <w:divBdr>
        <w:top w:val="none" w:sz="0" w:space="0" w:color="auto"/>
        <w:left w:val="none" w:sz="0" w:space="0" w:color="auto"/>
        <w:bottom w:val="none" w:sz="0" w:space="0" w:color="auto"/>
        <w:right w:val="none" w:sz="0" w:space="0" w:color="auto"/>
      </w:divBdr>
    </w:div>
    <w:div w:id="178022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4D468C18-F94B-43B7-95BA-CD07DC7F0671}">
    <t:Anchor>
      <t:Comment id="2111010794"/>
    </t:Anchor>
    <t:History>
      <t:Event id="{C7363982-150E-4312-A0DB-21E7B4C427C4}" time="2024-10-24T13:23:40.028Z">
        <t:Attribution userId="S::lorraine.ogarro@opdc.london.gov.uk::dc42edc1-38e8-41d3-87ba-1c5e1641f61e" userProvider="AD" userName="Lorraine O'Garro"/>
        <t:Anchor>
          <t:Comment id="2111010794"/>
        </t:Anchor>
        <t:Create/>
      </t:Event>
      <t:Event id="{8A18364D-8C3A-4A18-9A73-07CCD6FF0E32}" time="2024-10-24T13:23:40.028Z">
        <t:Attribution userId="S::lorraine.ogarro@opdc.london.gov.uk::dc42edc1-38e8-41d3-87ba-1c5e1641f61e" userProvider="AD" userName="Lorraine O'Garro"/>
        <t:Anchor>
          <t:Comment id="2111010794"/>
        </t:Anchor>
        <t:Assign userId="S::Philip.Hall@opdc.london.gov.uk::e6d99631-8650-42b4-91ad-e34dc9c64e76" userProvider="AD" userName="Philip Hall"/>
      </t:Event>
      <t:Event id="{A39D85AD-61EA-4ADF-8068-E0CBB9803813}" time="2024-10-24T13:23:40.028Z">
        <t:Attribution userId="S::lorraine.ogarro@opdc.london.gov.uk::dc42edc1-38e8-41d3-87ba-1c5e1641f61e" userProvider="AD" userName="Lorraine O'Garro"/>
        <t:Anchor>
          <t:Comment id="2111010794"/>
        </t:Anchor>
        <t:SetTitle title="@Philip Hall could you add some words here around the efficiences please?"/>
      </t:Event>
    </t:History>
  </t:Task>
  <t:Task id="{2F28F704-E3E1-49AB-B13D-122077861769}">
    <t:Anchor>
      <t:Comment id="719901307"/>
    </t:Anchor>
    <t:History>
      <t:Event id="{58CB26B2-7485-426A-83B1-DEC44D13F283}" time="2024-11-20T22:42:52.248Z">
        <t:Attribution userId="S::lorraine.ogarro@opdc.london.gov.uk::dc42edc1-38e8-41d3-87ba-1c5e1641f61e" userProvider="AD" userName="Lorraine O'Garro"/>
        <t:Anchor>
          <t:Comment id="586626677"/>
        </t:Anchor>
        <t:Create/>
      </t:Event>
      <t:Event id="{0106467F-357A-46FC-9B3E-54EA777B4F22}" time="2024-11-20T22:42:52.248Z">
        <t:Attribution userId="S::lorraine.ogarro@opdc.london.gov.uk::dc42edc1-38e8-41d3-87ba-1c5e1641f61e" userProvider="AD" userName="Lorraine O'Garro"/>
        <t:Anchor>
          <t:Comment id="586626677"/>
        </t:Anchor>
        <t:Assign userId="S::Mehrdad.Borna@opdc.london.gov.uk::2b1d1e4d-9791-48be-ac89-1c86a48ac25c" userProvider="AD" userName="Mehrdad Borna"/>
      </t:Event>
      <t:Event id="{39E9F5C5-87FE-48C9-A52C-AA211129DDCF}" time="2024-11-20T22:42:52.248Z">
        <t:Attribution userId="S::lorraine.ogarro@opdc.london.gov.uk::dc42edc1-38e8-41d3-87ba-1c5e1641f61e" userProvider="AD" userName="Lorraine O'Garro"/>
        <t:Anchor>
          <t:Comment id="586626677"/>
        </t:Anchor>
        <t:SetTitle title="@Mehrdad Borna"/>
      </t:Event>
      <t:Event id="{120FDB3A-7448-4ACD-BDF8-CA549D7BF6AF}" time="2024-11-21T10:07:22.763Z">
        <t:Attribution userId="S::mehrdad.borna@opdc.london.gov.uk::2b1d1e4d-9791-48be-ac89-1c86a48ac25c" userProvider="AD" userName="Mehrdad Borna"/>
        <t:Progress percentComplete="100"/>
      </t:Event>
    </t:History>
  </t:Task>
  <t:Task id="{CEBB9457-7B83-482E-8B29-8453892834E0}">
    <t:Anchor>
      <t:Comment id="719893169"/>
    </t:Anchor>
    <t:History>
      <t:Event id="{B7E8B754-3056-4A74-B15F-32734BB84559}" time="2024-11-21T09:00:54.422Z">
        <t:Attribution userId="S::William.Beattie@opdc.london.gov.uk::4fa90080-43a2-4872-8511-4cb7628a9b8a" userProvider="AD" userName="William Beattie"/>
        <t:Anchor>
          <t:Comment id="719942997"/>
        </t:Anchor>
        <t:Create/>
      </t:Event>
      <t:Event id="{DA40B8A0-E12E-44A5-8251-6697F4DC55E3}" time="2024-11-21T09:00:54.422Z">
        <t:Attribution userId="S::William.Beattie@opdc.london.gov.uk::4fa90080-43a2-4872-8511-4cb7628a9b8a" userProvider="AD" userName="William Beattie"/>
        <t:Anchor>
          <t:Comment id="719942997"/>
        </t:Anchor>
        <t:Assign userId="S::Aidan.FletcherWatts@opdc.london.gov.uk::b53503e0-0a75-44ab-84aa-41e0cb1abd6d" userProvider="AD" userName="Aidan Fletcher Watts"/>
      </t:Event>
      <t:Event id="{0ECF7B7F-A44E-4878-8D1E-732B49AA99F6}" time="2024-11-21T09:00:54.422Z">
        <t:Attribution userId="S::William.Beattie@opdc.london.gov.uk::4fa90080-43a2-4872-8511-4cb7628a9b8a" userProvider="AD" userName="William Beattie"/>
        <t:Anchor>
          <t:Comment id="719942997"/>
        </t:Anchor>
        <t:SetTitle title="Power House may have increased this slightly. @Aidan Fletcher Watts can you confirm number pls?"/>
      </t:Event>
      <t:Event id="{8A7B7822-5276-4D71-B623-8213417AE357}" time="2024-11-21T11:24:21.876Z">
        <t:Attribution userId="S::Gurdip.Juty@opdc.london.gov.uk::736cadc8-6575-4f0f-83b7-9df907c336ec" userProvider="AD" userName="Gurdip Juty"/>
        <t:Progress percentComplete="100"/>
      </t:Event>
    </t:History>
  </t:Task>
  <t:Task id="{5ADD7D3D-E94A-4F1D-B563-D31B46821199}">
    <t:Anchor>
      <t:Comment id="1695053362"/>
    </t:Anchor>
    <t:History>
      <t:Event id="{0DD7BC15-E43D-47F6-8DB9-98189AD71F9F}" time="2024-10-24T16:27:22.941Z">
        <t:Attribution userId="S::lorraine.ogarro@opdc.london.gov.uk::dc42edc1-38e8-41d3-87ba-1c5e1641f61e" userProvider="AD" userName="Lorraine O'Garro"/>
        <t:Anchor>
          <t:Comment id="1695053362"/>
        </t:Anchor>
        <t:Create/>
      </t:Event>
      <t:Event id="{205B9D1F-D746-420E-A609-D24442A9E5CE}" time="2024-10-24T16:27:22.941Z">
        <t:Attribution userId="S::lorraine.ogarro@opdc.london.gov.uk::dc42edc1-38e8-41d3-87ba-1c5e1641f61e" userProvider="AD" userName="Lorraine O'Garro"/>
        <t:Anchor>
          <t:Comment id="1695053362"/>
        </t:Anchor>
        <t:Assign userId="S::Vicki-Marie.Price@opdc.london.gov.uk::9e4235b9-9ff4-4ef9-8279-5bf482e00708" userProvider="AD" userName="Vicki-Marie Price"/>
      </t:Event>
      <t:Event id="{140053B5-5AF3-4E82-B1B3-E6FC3EBE948C}" time="2024-10-24T16:27:22.941Z">
        <t:Attribution userId="S::lorraine.ogarro@opdc.london.gov.uk::dc42edc1-38e8-41d3-87ba-1c5e1641f61e" userProvider="AD" userName="Lorraine O'Garro"/>
        <t:Anchor>
          <t:Comment id="1695053362"/>
        </t:Anchor>
        <t:SetTitle title="@Vicki-Marie Price I think this should say expanding, but let me know where it was taken from if not sure?"/>
      </t:Event>
    </t:History>
  </t:Task>
  <t:Task id="{7726E3ED-97E2-4BB7-AB21-9C2CF4E66CDD}">
    <t:Anchor>
      <t:Comment id="719901633"/>
    </t:Anchor>
    <t:History>
      <t:Event id="{9C614263-73CD-4EBB-9C32-50B2964ABF98}" time="2024-11-20T22:41:16.248Z">
        <t:Attribution userId="S::lorraine.ogarro@opdc.london.gov.uk::dc42edc1-38e8-41d3-87ba-1c5e1641f61e" userProvider="AD" userName="Lorraine O'Garro"/>
        <t:Anchor>
          <t:Comment id="1701138830"/>
        </t:Anchor>
        <t:Create/>
      </t:Event>
      <t:Event id="{B9D7EA60-1F12-4BFA-8F35-161AB401517D}" time="2024-11-20T22:41:16.248Z">
        <t:Attribution userId="S::lorraine.ogarro@opdc.london.gov.uk::dc42edc1-38e8-41d3-87ba-1c5e1641f61e" userProvider="AD" userName="Lorraine O'Garro"/>
        <t:Anchor>
          <t:Comment id="1701138830"/>
        </t:Anchor>
        <t:Assign userId="S::Mehrdad.Borna@opdc.london.gov.uk::2b1d1e4d-9791-48be-ac89-1c86a48ac25c" userProvider="AD" userName="Mehrdad Borna"/>
      </t:Event>
      <t:Event id="{B977A355-D7A7-492E-9976-8CD0F822BA40}" time="2024-11-20T22:41:16.248Z">
        <t:Attribution userId="S::lorraine.ogarro@opdc.london.gov.uk::dc42edc1-38e8-41d3-87ba-1c5e1641f61e" userProvider="AD" userName="Lorraine O'Garro"/>
        <t:Anchor>
          <t:Comment id="1701138830"/>
        </t:Anchor>
        <t:SetTitle title="@Mehrdad Borna"/>
      </t:Event>
      <t:Event id="{CD9C316C-4B1B-4DCC-95B1-EA52CCAC3344}" time="2024-11-21T09:51:25.739Z">
        <t:Attribution userId="S::mehrdad.borna@opdc.london.gov.uk::2b1d1e4d-9791-48be-ac89-1c86a48ac25c" userProvider="AD" userName="Mehrdad Borna"/>
        <t:Progress percentComplete="100"/>
      </t:Event>
    </t:History>
  </t:Task>
  <t:Task id="{A9735527-DF29-453E-A6F0-2FEA899006DE}">
    <t:Anchor>
      <t:Comment id="1015068319"/>
    </t:Anchor>
    <t:History>
      <t:Event id="{E49499A8-A1B4-4BCC-844F-2D697BD866A9}" time="2024-11-20T12:04:07.558Z">
        <t:Attribution userId="S::lorraine.ogarro@opdc.london.gov.uk::dc42edc1-38e8-41d3-87ba-1c5e1641f61e" userProvider="AD" userName="Lorraine O'Garro"/>
        <t:Anchor>
          <t:Comment id="1015068319"/>
        </t:Anchor>
        <t:Create/>
      </t:Event>
      <t:Event id="{4F4FBCBD-04B4-4133-9DE9-FB02BA83B817}" time="2024-11-20T12:04:07.558Z">
        <t:Attribution userId="S::lorraine.ogarro@opdc.london.gov.uk::dc42edc1-38e8-41d3-87ba-1c5e1641f61e" userProvider="AD" userName="Lorraine O'Garro"/>
        <t:Anchor>
          <t:Comment id="1015068319"/>
        </t:Anchor>
        <t:Assign userId="S::William.Beattie@opdc.london.gov.uk::4fa90080-43a2-4872-8511-4cb7628a9b8a" userProvider="AD" userName="William Beattie"/>
      </t:Event>
      <t:Event id="{B7343B21-5629-4E49-AB2E-5BA0D21762EE}" time="2024-11-20T12:04:07.558Z">
        <t:Attribution userId="S::lorraine.ogarro@opdc.london.gov.uk::dc42edc1-38e8-41d3-87ba-1c5e1641f61e" userProvider="AD" userName="Lorraine O'Garro"/>
        <t:Anchor>
          <t:Comment id="1015068319"/>
        </t:Anchor>
        <t:SetTitle title="@William Beattie to discuss"/>
      </t:Event>
      <t:Event id="{10EE554F-C7BF-4B4D-952D-D5495FD6EF84}" time="2024-11-20T15:43:37.579Z">
        <t:Attribution userId="S::lorraine.ogarro@opdc.london.gov.uk::dc42edc1-38e8-41d3-87ba-1c5e1641f61e" userProvider="AD" userName="Lorraine O'Garro"/>
        <t:Progress percentComplete="100"/>
      </t:Event>
    </t:History>
  </t:Task>
  <t:Task id="{E5E0DAAF-FD07-4E91-A54C-A381758E0A9E}">
    <t:Anchor>
      <t:Comment id="719899408"/>
    </t:Anchor>
    <t:History>
      <t:Event id="{C3C1959F-3D81-4C81-93CE-58998EC799C3}" time="2024-11-21T09:12:07.796Z">
        <t:Attribution userId="S::lorraine.ogarro@opdc.london.gov.uk::dc42edc1-38e8-41d3-87ba-1c5e1641f61e" userProvider="AD" userName="Lorraine O'Garro"/>
        <t:Anchor>
          <t:Comment id="684918798"/>
        </t:Anchor>
        <t:Create/>
      </t:Event>
      <t:Event id="{9E9ACC1A-3FB9-468A-84F1-AF56B13BE204}" time="2024-11-21T09:12:07.796Z">
        <t:Attribution userId="S::lorraine.ogarro@opdc.london.gov.uk::dc42edc1-38e8-41d3-87ba-1c5e1641f61e" userProvider="AD" userName="Lorraine O'Garro"/>
        <t:Anchor>
          <t:Comment id="684918798"/>
        </t:Anchor>
        <t:Assign userId="S::William.Beattie@opdc.london.gov.uk::4fa90080-43a2-4872-8511-4cb7628a9b8a" userProvider="AD" userName="William Beattie"/>
      </t:Event>
      <t:Event id="{CBA67596-ACFB-47ED-808E-8BDE5855E793}" time="2024-11-21T09:12:07.796Z">
        <t:Attribution userId="S::lorraine.ogarro@opdc.london.gov.uk::dc42edc1-38e8-41d3-87ba-1c5e1641f61e" userProvider="AD" userName="Lorraine O'Garro"/>
        <t:Anchor>
          <t:Comment id="684918798"/>
        </t:Anchor>
        <t:SetTitle title="@William Beattie"/>
      </t:Event>
      <t:Event id="{F5BFE961-6130-4355-84C7-DF29BA48AFEC}" time="2024-11-22T14:24:40.501Z">
        <t:Attribution userId="S::lorraine.ogarro@opdc.london.gov.uk::dc42edc1-38e8-41d3-87ba-1c5e1641f61e" userProvider="AD" userName="Lorraine O'Garro"/>
        <t:Progress percentComplete="100"/>
      </t:Event>
    </t:History>
  </t:Task>
  <t:Task id="{1AA0757A-24DE-4706-8733-0AE1F934D15C}">
    <t:Anchor>
      <t:Comment id="1114054160"/>
    </t:Anchor>
    <t:History>
      <t:Event id="{0B135BAF-93DC-44D2-B405-6B94E442B79E}" time="2024-11-20T12:06:27.192Z">
        <t:Attribution userId="S::lorraine.ogarro@opdc.london.gov.uk::dc42edc1-38e8-41d3-87ba-1c5e1641f61e" userProvider="AD" userName="Lorraine O'Garro"/>
        <t:Anchor>
          <t:Comment id="1114054160"/>
        </t:Anchor>
        <t:Create/>
      </t:Event>
      <t:Event id="{0AF1CCCE-5B9F-400E-A36C-302E4B833437}" time="2024-11-20T12:06:27.192Z">
        <t:Attribution userId="S::lorraine.ogarro@opdc.london.gov.uk::dc42edc1-38e8-41d3-87ba-1c5e1641f61e" userProvider="AD" userName="Lorraine O'Garro"/>
        <t:Anchor>
          <t:Comment id="1114054160"/>
        </t:Anchor>
        <t:Assign userId="S::Vicki-Marie.Price@opdc.london.gov.uk::9e4235b9-9ff4-4ef9-8279-5bf482e00708" userProvider="AD" userName="Vicki-Marie Price"/>
      </t:Event>
      <t:Event id="{F9FA1262-DEAB-424B-AB9F-61EA67BCCB7C}" time="2024-11-20T12:06:27.192Z">
        <t:Attribution userId="S::lorraine.ogarro@opdc.london.gov.uk::dc42edc1-38e8-41d3-87ba-1c5e1641f61e" userProvider="AD" userName="Lorraine O'Garro"/>
        <t:Anchor>
          <t:Comment id="1114054160"/>
        </t:Anchor>
        <t:SetTitle title="@Vicki-Marie Price can we discuss numbering please"/>
      </t:Event>
      <t:Event id="{9E7A173D-5519-44EF-BBCB-1B4A37F9A98A}" time="2024-11-21T10:11:18.345Z">
        <t:Attribution userId="S::lorraine.ogarro@opdc.london.gov.uk::dc42edc1-38e8-41d3-87ba-1c5e1641f61e" userProvider="AD" userName="Lorraine O'Garro"/>
        <t:Progress percentComplete="100"/>
      </t:Event>
    </t:History>
  </t:Task>
  <t:Task id="{13A3C4DA-78BA-496D-983B-47B9EE9CEAB3}">
    <t:Anchor>
      <t:Comment id="719902185"/>
    </t:Anchor>
    <t:History>
      <t:Event id="{9A1CF237-3375-43F6-BC1E-6A968A730379}" time="2024-11-20T22:40:32.316Z">
        <t:Attribution userId="S::lorraine.ogarro@opdc.london.gov.uk::dc42edc1-38e8-41d3-87ba-1c5e1641f61e" userProvider="AD" userName="Lorraine O'Garro"/>
        <t:Anchor>
          <t:Comment id="780813633"/>
        </t:Anchor>
        <t:Create/>
      </t:Event>
      <t:Event id="{DB9CB46D-DCD6-4865-940D-E394F3CE4C81}" time="2024-11-20T22:40:32.316Z">
        <t:Attribution userId="S::lorraine.ogarro@opdc.london.gov.uk::dc42edc1-38e8-41d3-87ba-1c5e1641f61e" userProvider="AD" userName="Lorraine O'Garro"/>
        <t:Anchor>
          <t:Comment id="780813633"/>
        </t:Anchor>
        <t:Assign userId="S::Karen.Passley@opdc.london.gov.uk::2483790d-bb96-46cc-a3fa-629d5e57107b" userProvider="AD" userName="Karen Passley"/>
      </t:Event>
      <t:Event id="{86AF9123-1A80-472F-A6CF-9A0B3EC23B48}" time="2024-11-20T22:40:32.316Z">
        <t:Attribution userId="S::lorraine.ogarro@opdc.london.gov.uk::dc42edc1-38e8-41d3-87ba-1c5e1641f61e" userProvider="AD" userName="Lorraine O'Garro"/>
        <t:Anchor>
          <t:Comment id="780813633"/>
        </t:Anchor>
        <t:SetTitle title="@Karen Passley"/>
      </t:Event>
    </t:History>
  </t:Task>
  <t:Task id="{3D746C5A-1E6D-4322-884E-26C44FAAC64A}">
    <t:Anchor>
      <t:Comment id="719899957"/>
    </t:Anchor>
    <t:History>
      <t:Event id="{0505DBF6-038F-4545-A9B6-84CF9897A733}" time="2024-11-21T09:11:47.52Z">
        <t:Attribution userId="S::lorraine.ogarro@opdc.london.gov.uk::dc42edc1-38e8-41d3-87ba-1c5e1641f61e" userProvider="AD" userName="Lorraine O'Garro"/>
        <t:Anchor>
          <t:Comment id="833875710"/>
        </t:Anchor>
        <t:Create/>
      </t:Event>
      <t:Event id="{2BF7AC3C-7141-4C99-85A6-432D214F6BA9}" time="2024-11-21T09:11:47.52Z">
        <t:Attribution userId="S::lorraine.ogarro@opdc.london.gov.uk::dc42edc1-38e8-41d3-87ba-1c5e1641f61e" userProvider="AD" userName="Lorraine O'Garro"/>
        <t:Anchor>
          <t:Comment id="833875710"/>
        </t:Anchor>
        <t:Assign userId="S::William.Beattie@opdc.london.gov.uk::4fa90080-43a2-4872-8511-4cb7628a9b8a" userProvider="AD" userName="William Beattie"/>
      </t:Event>
      <t:Event id="{CE68090A-9B4D-432F-B4BA-8AE22143A7A0}" time="2024-11-21T09:11:47.52Z">
        <t:Attribution userId="S::lorraine.ogarro@opdc.london.gov.uk::dc42edc1-38e8-41d3-87ba-1c5e1641f61e" userProvider="AD" userName="Lorraine O'Garro"/>
        <t:Anchor>
          <t:Comment id="833875710"/>
        </t:Anchor>
        <t:SetTitle title="@William Beattie"/>
      </t:Event>
      <t:Event id="{686C919A-F7B2-4A0F-885F-4FE5A2AD2949}" time="2024-11-21T09:21:06.585Z">
        <t:Attribution userId="S::William.Beattie@opdc.london.gov.uk::4fa90080-43a2-4872-8511-4cb7628a9b8a" userProvider="AD" userName="William Beattie"/>
        <t:Progress percentComplete="100"/>
      </t:Event>
    </t:History>
  </t:Task>
  <t:Task id="{CCA3CF69-5609-46FF-B674-70BAD2320B25}">
    <t:Anchor>
      <t:Comment id="719859021"/>
    </t:Anchor>
    <t:History>
      <t:Event id="{86395C45-683A-4DCE-A507-815DFF9F82F9}" time="2024-11-21T09:24:17.274Z">
        <t:Attribution userId="S::lorraine.ogarro@opdc.london.gov.uk::dc42edc1-38e8-41d3-87ba-1c5e1641f61e" userProvider="AD" userName="Lorraine O'Garro"/>
        <t:Anchor>
          <t:Comment id="525468846"/>
        </t:Anchor>
        <t:Create/>
      </t:Event>
      <t:Event id="{7BB1A714-9AB1-4660-8D86-AD281B93B3B7}" time="2024-11-21T09:24:17.274Z">
        <t:Attribution userId="S::lorraine.ogarro@opdc.london.gov.uk::dc42edc1-38e8-41d3-87ba-1c5e1641f61e" userProvider="AD" userName="Lorraine O'Garro"/>
        <t:Anchor>
          <t:Comment id="525468846"/>
        </t:Anchor>
        <t:Assign userId="S::Michael.Lawlor@opdc.london.gov.uk::500b56cd-43e1-4fed-981e-2ca7279f4557" userProvider="AD" userName="Michael Lawlor"/>
      </t:Event>
      <t:Event id="{405CFC66-D972-4FE4-9F4F-FC59D7A58F9E}" time="2024-11-21T09:24:17.274Z">
        <t:Attribution userId="S::lorraine.ogarro@opdc.london.gov.uk::dc42edc1-38e8-41d3-87ba-1c5e1641f61e" userProvider="AD" userName="Lorraine O'Garro"/>
        <t:Anchor>
          <t:Comment id="525468846"/>
        </t:Anchor>
        <t:SetTitle title="@Michael Lawlor FYI"/>
      </t:Event>
      <t:Event id="{4580836D-C97A-44B2-807E-E969F5037936}" time="2024-11-21T13:05:28.819Z">
        <t:Attribution userId="S::Gurdip.Juty@opdc.london.gov.uk::736cadc8-6575-4f0f-83b7-9df907c336ec" userProvider="AD" userName="Gurdip Juty"/>
        <t:Progress percentComplete="100"/>
      </t:Event>
    </t:History>
  </t:Task>
  <t:Task id="{19063414-711F-495D-BDD4-3B1337D191FA}">
    <t:Anchor>
      <t:Comment id="1299649166"/>
    </t:Anchor>
    <t:History>
      <t:Event id="{46BFE29D-8036-40B5-AEA0-9CE933C179FE}" time="2024-11-21T11:17:26.417Z">
        <t:Attribution userId="S::lorraine.ogarro@opdc.london.gov.uk::dc42edc1-38e8-41d3-87ba-1c5e1641f61e" userProvider="AD" userName="Lorraine O'Garro"/>
        <t:Anchor>
          <t:Comment id="1299649166"/>
        </t:Anchor>
        <t:Create/>
      </t:Event>
      <t:Event id="{0FAE75A7-A31C-4CFA-A4AB-E29B7BF8C472}" time="2024-11-21T11:17:26.417Z">
        <t:Attribution userId="S::lorraine.ogarro@opdc.london.gov.uk::dc42edc1-38e8-41d3-87ba-1c5e1641f61e" userProvider="AD" userName="Lorraine O'Garro"/>
        <t:Anchor>
          <t:Comment id="1299649166"/>
        </t:Anchor>
        <t:Assign userId="S::William.Beattie@opdc.london.gov.uk::4fa90080-43a2-4872-8511-4cb7628a9b8a" userProvider="AD" userName="William Beattie"/>
      </t:Event>
      <t:Event id="{74C75BDD-59D2-4957-9D7E-02C5783D00CE}" time="2024-11-21T11:17:26.417Z">
        <t:Attribution userId="S::lorraine.ogarro@opdc.london.gov.uk::dc42edc1-38e8-41d3-87ba-1c5e1641f61e" userProvider="AD" userName="Lorraine O'Garro"/>
        <t:Anchor>
          <t:Comment id="1299649166"/>
        </t:Anchor>
        <t:SetTitle title="Further work required to make this section more specific/detailed and bring out what we are doing. @William Beattie"/>
      </t:Event>
      <t:Event id="{55EABA86-17C2-4B49-933A-9E935370A915}" time="2024-11-22T12:45:31.5Z">
        <t:Attribution userId="S::gurdip.juty@opdc.london.gov.uk::736cadc8-6575-4f0f-83b7-9df907c336ec" userProvider="AD" userName="Gurdip Juty"/>
        <t:Progress percentComplete="100"/>
      </t:Event>
    </t:History>
  </t:Task>
  <t:Task id="{9D88B24A-263D-417C-81B6-563CFEFB4A6D}">
    <t:Anchor>
      <t:Comment id="1223167539"/>
    </t:Anchor>
    <t:History>
      <t:Event id="{7997019C-A34F-4A68-A108-64CBFA4E399F}" time="2024-11-21T11:21:18.972Z">
        <t:Attribution userId="S::lorraine.ogarro@opdc.london.gov.uk::dc42edc1-38e8-41d3-87ba-1c5e1641f61e" userProvider="AD" userName="Lorraine O'Garro"/>
        <t:Anchor>
          <t:Comment id="1223167539"/>
        </t:Anchor>
        <t:Create/>
      </t:Event>
      <t:Event id="{6E43B77A-6066-4EEE-AA7D-B3EC5C3BDD21}" time="2024-11-21T11:21:18.972Z">
        <t:Attribution userId="S::lorraine.ogarro@opdc.london.gov.uk::dc42edc1-38e8-41d3-87ba-1c5e1641f61e" userProvider="AD" userName="Lorraine O'Garro"/>
        <t:Anchor>
          <t:Comment id="1223167539"/>
        </t:Anchor>
        <t:Assign userId="S::Gurdip.Juty@opdc.london.gov.uk::736cadc8-6575-4f0f-83b7-9df907c336ec" userProvider="AD" userName="Gurdip Juty"/>
      </t:Event>
      <t:Event id="{96FB9D25-C16B-4F60-99A5-543B56816D86}" time="2024-11-21T11:21:18.972Z">
        <t:Attribution userId="S::lorraine.ogarro@opdc.london.gov.uk::dc42edc1-38e8-41d3-87ba-1c5e1641f61e" userProvider="AD" userName="Lorraine O'Garro"/>
        <t:Anchor>
          <t:Comment id="1223167539"/>
        </t:Anchor>
        <t:SetTitle title="@Gurdip Juty referred to the full amount £38.6m (rather than £37.3m).. with explanation of the breakdown of the funding."/>
      </t:Event>
      <t:Event id="{2661CCB2-FD59-48B4-9AC3-33A7EA819776}" time="2024-11-21T12:58:49.632Z">
        <t:Attribution userId="S::Gurdip.Juty@opdc.london.gov.uk::736cadc8-6575-4f0f-83b7-9df907c336ec" userProvider="AD" userName="Gurdip Juty"/>
        <t:Progress percentComplete="100"/>
      </t:Event>
    </t:History>
  </t:Task>
  <t:Task id="{6FD8CA1E-E4C4-4D35-B11A-E66160921670}">
    <t:Anchor>
      <t:Comment id="719898096"/>
    </t:Anchor>
    <t:History>
      <t:Event id="{CCF35894-E37A-454F-9195-B8AABEC5F7FF}" time="2024-11-21T09:30:10.133Z">
        <t:Attribution userId="S::lorraine.ogarro@opdc.london.gov.uk::dc42edc1-38e8-41d3-87ba-1c5e1641f61e" userProvider="AD" userName="Lorraine O'Garro"/>
        <t:Anchor>
          <t:Comment id="350958331"/>
        </t:Anchor>
        <t:Create/>
      </t:Event>
      <t:Event id="{33631BE4-8A89-4440-9E7F-A0DA7F06332D}" time="2024-11-21T09:30:10.133Z">
        <t:Attribution userId="S::lorraine.ogarro@opdc.london.gov.uk::dc42edc1-38e8-41d3-87ba-1c5e1641f61e" userProvider="AD" userName="Lorraine O'Garro"/>
        <t:Anchor>
          <t:Comment id="350958331"/>
        </t:Anchor>
        <t:Assign userId="S::William.Beattie@opdc.london.gov.uk::4fa90080-43a2-4872-8511-4cb7628a9b8a" userProvider="AD" userName="William Beattie"/>
      </t:Event>
      <t:Event id="{C182495B-342D-4887-9744-584C18A7D6D5}" time="2024-11-21T09:30:10.133Z">
        <t:Attribution userId="S::lorraine.ogarro@opdc.london.gov.uk::dc42edc1-38e8-41d3-87ba-1c5e1641f61e" userProvider="AD" userName="Lorraine O'Garro"/>
        <t:Anchor>
          <t:Comment id="350958331"/>
        </t:Anchor>
        <t:SetTitle title="@William Beattie"/>
      </t:Event>
      <t:Event id="{7650D6D1-E687-466E-8670-5A392D65BD80}" time="2024-11-22T14:28:18.203Z">
        <t:Attribution userId="S::lorraine.ogarro@opdc.london.gov.uk::dc42edc1-38e8-41d3-87ba-1c5e1641f61e" userProvider="AD" userName="Lorraine O'Garro"/>
        <t:Progress percentComplete="100"/>
      </t:Event>
    </t:History>
  </t:Task>
  <t:Task id="{211ABC13-8C73-4C82-BA80-B55995F25F5A}">
    <t:Anchor>
      <t:Comment id="719899425"/>
    </t:Anchor>
    <t:History>
      <t:Event id="{BB4B26E7-BA35-4B20-B469-2F7ADDA34C7A}" time="2024-11-21T10:09:45.132Z">
        <t:Attribution userId="S::lorraine.ogarro@opdc.london.gov.uk::dc42edc1-38e8-41d3-87ba-1c5e1641f61e" userProvider="AD" userName="Lorraine O'Garro"/>
        <t:Anchor>
          <t:Comment id="595294005"/>
        </t:Anchor>
        <t:Create/>
      </t:Event>
      <t:Event id="{8CFDD887-D8FE-445A-9500-8C61C2B9C15B}" time="2024-11-21T10:09:45.132Z">
        <t:Attribution userId="S::lorraine.ogarro@opdc.london.gov.uk::dc42edc1-38e8-41d3-87ba-1c5e1641f61e" userProvider="AD" userName="Lorraine O'Garro"/>
        <t:Anchor>
          <t:Comment id="595294005"/>
        </t:Anchor>
        <t:Assign userId="S::William.Beattie@opdc.london.gov.uk::4fa90080-43a2-4872-8511-4cb7628a9b8a" userProvider="AD" userName="William Beattie"/>
      </t:Event>
      <t:Event id="{66090C6E-C121-4E46-8D01-3847EAE7D300}" time="2024-11-21T10:09:45.132Z">
        <t:Attribution userId="S::lorraine.ogarro@opdc.london.gov.uk::dc42edc1-38e8-41d3-87ba-1c5e1641f61e" userProvider="AD" userName="Lorraine O'Garro"/>
        <t:Anchor>
          <t:Comment id="595294005"/>
        </t:Anchor>
        <t:SetTitle title="@William Beattie"/>
      </t:Event>
      <t:Event id="{9BC603F0-618C-4CDC-B7D9-F9FE492E11A3}" time="2024-11-21T18:53:42.749Z">
        <t:Attribution userId="S::lorraine.ogarro@opdc.london.gov.uk::dc42edc1-38e8-41d3-87ba-1c5e1641f61e" userProvider="AD" userName="Lorraine O'Garro"/>
        <t:Anchor>
          <t:Comment id="540403859"/>
        </t:Anchor>
        <t:UnassignAll/>
      </t:Event>
      <t:Event id="{FE05A097-2AC4-4D8C-861F-FEF560B7D360}" time="2024-11-21T18:53:42.749Z">
        <t:Attribution userId="S::lorraine.ogarro@opdc.london.gov.uk::dc42edc1-38e8-41d3-87ba-1c5e1641f61e" userProvider="AD" userName="Lorraine O'Garro"/>
        <t:Anchor>
          <t:Comment id="540403859"/>
        </t:Anchor>
        <t:Assign userId="S::Mehrdad.Borna@opdc.london.gov.uk::2b1d1e4d-9791-48be-ac89-1c86a48ac25c" userProvider="AD" userName="Mehrdad Borna"/>
      </t:Event>
      <t:Event id="{7A96B394-8A84-4ABF-AA26-1056BBBCABAC}" time="2024-11-22T06:53:39.625Z">
        <t:Attribution userId="S::mehrdad.borna@opdc.london.gov.uk::2b1d1e4d-9791-48be-ac89-1c86a48ac25c" userProvider="AD" userName="Mehrdad Borna"/>
        <t:Anchor>
          <t:Comment id="1015946179"/>
        </t:Anchor>
        <t:UnassignAll/>
      </t:Event>
      <t:Event id="{63DD904D-A4A1-401F-8DF3-DB9461A324F7}" time="2024-11-22T06:53:39.625Z">
        <t:Attribution userId="S::mehrdad.borna@opdc.london.gov.uk::2b1d1e4d-9791-48be-ac89-1c86a48ac25c" userProvider="AD" userName="Mehrdad Borna"/>
        <t:Anchor>
          <t:Comment id="1015946179"/>
        </t:Anchor>
        <t:Assign userId="S::Lorraine.OGarro@opdc.london.gov.uk::dc42edc1-38e8-41d3-87ba-1c5e1641f61e" userProvider="AD" userName="Lorraine O'Garro"/>
      </t:Event>
      <t:Event id="{557C2DCE-CE66-483C-8FA2-C65FF9DFD3A6}" time="2024-11-22T14:24:43.948Z">
        <t:Attribution userId="S::lorraine.ogarro@opdc.london.gov.uk::dc42edc1-38e8-41d3-87ba-1c5e1641f61e" userProvider="AD" userName="Lorraine O'Garro"/>
        <t:Progress percentComplete="100"/>
      </t:Event>
    </t:History>
  </t:Task>
  <t:Task id="{8AF06301-BB04-46F1-87D1-DAA05A8F883E}">
    <t:Anchor>
      <t:Comment id="1474243796"/>
    </t:Anchor>
    <t:History>
      <t:Event id="{4B8A3303-9BED-41A3-ADE5-60BDEE3A98CC}" time="2024-11-21T12:38:57.781Z">
        <t:Attribution userId="S::lorraine.ogarro@opdc.london.gov.uk::dc42edc1-38e8-41d3-87ba-1c5e1641f61e" userProvider="AD" userName="Lorraine O'Garro"/>
        <t:Anchor>
          <t:Comment id="1474243796"/>
        </t:Anchor>
        <t:Create/>
      </t:Event>
      <t:Event id="{3CEE0644-C954-48E1-AB83-3E8BE0898591}" time="2024-11-21T12:38:57.781Z">
        <t:Attribution userId="S::lorraine.ogarro@opdc.london.gov.uk::dc42edc1-38e8-41d3-87ba-1c5e1641f61e" userProvider="AD" userName="Lorraine O'Garro"/>
        <t:Anchor>
          <t:Comment id="1474243796"/>
        </t:Anchor>
        <t:Assign userId="S::Vicki-Marie.Price@opdc.london.gov.uk::9e4235b9-9ff4-4ef9-8279-5bf482e00708" userProvider="AD" userName="Vicki-Marie Price"/>
      </t:Event>
      <t:Event id="{5EBAA8CC-5951-474F-B1B3-47EE32657F82}" time="2024-11-21T12:38:57.781Z">
        <t:Attribution userId="S::lorraine.ogarro@opdc.london.gov.uk::dc42edc1-38e8-41d3-87ba-1c5e1641f61e" userProvider="AD" userName="Lorraine O'Garro"/>
        <t:Anchor>
          <t:Comment id="1474243796"/>
        </t:Anchor>
        <t:SetTitle title="@Vicki-Marie Price can a bullet be added to the sentence below please? (in line with the other directorate commentaries)"/>
      </t:Event>
      <t:Event id="{45381295-8860-42B0-A092-E5EDB04F0AD8}" time="2024-11-21T18:50:49.484Z">
        <t:Attribution userId="S::lorraine.ogarro@opdc.london.gov.uk::dc42edc1-38e8-41d3-87ba-1c5e1641f61e" userProvider="AD" userName="Lorraine O'Garro"/>
        <t:Progress percentComplete="100"/>
      </t:Event>
    </t:History>
  </t:Task>
  <t:Task id="{0745E191-178E-4320-A426-50E30A178E2D}">
    <t:Anchor>
      <t:Comment id="1029468182"/>
    </t:Anchor>
    <t:History>
      <t:Event id="{3B792FB5-77C8-4993-8189-F642A7F175C1}" time="2024-11-21T18:53:01.314Z">
        <t:Attribution userId="S::lorraine.ogarro@opdc.london.gov.uk::dc42edc1-38e8-41d3-87ba-1c5e1641f61e" userProvider="AD" userName="Lorraine O'Garro"/>
        <t:Anchor>
          <t:Comment id="1029468182"/>
        </t:Anchor>
        <t:Create/>
      </t:Event>
      <t:Event id="{63268B49-2495-400F-A73F-58F128C80D20}" time="2024-11-21T18:53:01.314Z">
        <t:Attribution userId="S::lorraine.ogarro@opdc.london.gov.uk::dc42edc1-38e8-41d3-87ba-1c5e1641f61e" userProvider="AD" userName="Lorraine O'Garro"/>
        <t:Anchor>
          <t:Comment id="1029468182"/>
        </t:Anchor>
        <t:Assign userId="S::Vicki-Marie.Price@opdc.london.gov.uk::9e4235b9-9ff4-4ef9-8279-5bf482e00708" userProvider="AD" userName="Vicki-Marie Price"/>
      </t:Event>
      <t:Event id="{39CD11FD-C279-4599-98A2-EF9E294366DF}" time="2024-11-21T18:53:01.314Z">
        <t:Attribution userId="S::lorraine.ogarro@opdc.london.gov.uk::dc42edc1-38e8-41d3-87ba-1c5e1641f61e" userProvider="AD" userName="Lorraine O'Garro"/>
        <t:Anchor>
          <t:Comment id="1029468182"/>
        </t:Anchor>
        <t:SetTitle title="@Vicki-Marie Price numbering has gone awry here."/>
      </t:Event>
      <t:Event id="{3A961F3B-7C81-400A-A68D-6B5F20B28E5D}" time="2024-11-22T11:07:34.729Z">
        <t:Attribution userId="S::lorraine.ogarro@opdc.london.gov.uk::dc42edc1-38e8-41d3-87ba-1c5e1641f61e" userProvider="AD" userName="Lorraine O'Garr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D80BB0208A848BEEBF556B6DD8F73" ma:contentTypeVersion="16" ma:contentTypeDescription="Create a new document." ma:contentTypeScope="" ma:versionID="d6a039709515aec31ca99611a3173a02">
  <xsd:schema xmlns:xsd="http://www.w3.org/2001/XMLSchema" xmlns:xs="http://www.w3.org/2001/XMLSchema" xmlns:p="http://schemas.microsoft.com/office/2006/metadata/properties" xmlns:ns2="a8106964-8f96-4449-bd77-4e7dc880edce" xmlns:ns3="5563f1d5-6be3-45b0-84c6-c63d75522dd9" targetNamespace="http://schemas.microsoft.com/office/2006/metadata/properties" ma:root="true" ma:fieldsID="472feb2b69e02858b788080cbfcb550d" ns2:_="" ns3:_="">
    <xsd:import namespace="a8106964-8f96-4449-bd77-4e7dc880edce"/>
    <xsd:import namespace="5563f1d5-6be3-45b0-84c6-c63d75522d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06964-8f96-4449-bd77-4e7dc880e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3f1d5-6be3-45b0-84c6-c63d75522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a496f4c-69ba-45a7-9da5-857a0fa86dbd}" ma:internalName="TaxCatchAll" ma:showField="CatchAllData" ma:web="5563f1d5-6be3-45b0-84c6-c63d75522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563f1d5-6be3-45b0-84c6-c63d75522dd9" xsi:nil="true"/>
    <lcf76f155ced4ddcb4097134ff3c332f xmlns="a8106964-8f96-4449-bd77-4e7dc880e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5C3B5-9C45-4B4B-9754-65B8972A4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06964-8f96-4449-bd77-4e7dc880edce"/>
    <ds:schemaRef ds:uri="5563f1d5-6be3-45b0-84c6-c63d75522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B3996A-D04C-4048-928E-30ED4ADFFFBD}">
  <ds:schemaRefs>
    <ds:schemaRef ds:uri="http://schemas.microsoft.com/sharepoint/v3/contenttype/forms"/>
  </ds:schemaRefs>
</ds:datastoreItem>
</file>

<file path=customXml/itemProps3.xml><?xml version="1.0" encoding="utf-8"?>
<ds:datastoreItem xmlns:ds="http://schemas.openxmlformats.org/officeDocument/2006/customXml" ds:itemID="{D76B20BC-E107-4369-BD74-4B0DA2222D6A}">
  <ds:schemaRefs>
    <ds:schemaRef ds:uri="http://schemas.openxmlformats.org/officeDocument/2006/bibliography"/>
  </ds:schemaRefs>
</ds:datastoreItem>
</file>

<file path=customXml/itemProps4.xml><?xml version="1.0" encoding="utf-8"?>
<ds:datastoreItem xmlns:ds="http://schemas.openxmlformats.org/officeDocument/2006/customXml" ds:itemID="{E3F2A1B8-0E31-45F7-B9AD-BB9C1228A85B}">
  <ds:schemaRefs>
    <ds:schemaRef ds:uri="http://purl.org/dc/terms/"/>
    <ds:schemaRef ds:uri="http://schemas.microsoft.com/office/2006/metadata/properties"/>
    <ds:schemaRef ds:uri="http://schemas.microsoft.com/office/2006/documentManagement/types"/>
    <ds:schemaRef ds:uri="a8106964-8f96-4449-bd77-4e7dc880edce"/>
    <ds:schemaRef ds:uri="http://purl.org/dc/elements/1.1/"/>
    <ds:schemaRef ds:uri="http://www.w3.org/XML/1998/namespace"/>
    <ds:schemaRef ds:uri="5563f1d5-6be3-45b0-84c6-c63d75522dd9"/>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6712</Words>
  <Characters>38259</Characters>
  <Application>Microsoft Office Word</Application>
  <DocSecurity>0</DocSecurity>
  <Lines>318</Lines>
  <Paragraphs>89</Paragraphs>
  <ScaleCrop>false</ScaleCrop>
  <Company>Transport for London</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Williamson</dc:creator>
  <cp:keywords/>
  <dc:description/>
  <cp:lastModifiedBy>Gurdip Juty</cp:lastModifiedBy>
  <cp:revision>2</cp:revision>
  <dcterms:created xsi:type="dcterms:W3CDTF">2025-04-07T10:08:00Z</dcterms:created>
  <dcterms:modified xsi:type="dcterms:W3CDTF">2025-04-07T10:08:00Z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0x0101006DDD80BB0208A848BEEBF556B6DD8F73</vt:lpwstr>
  </property>
  <property fmtid="{D5CDD505-2E9C-101B-9397-08002B2CF9AE}" pid="3" name="MediaServiceImageTags">
    <vt:lpwstr/>
  </property>
</Properties>
</file>