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CF64" w14:textId="77777777" w:rsidR="00D34B0E" w:rsidRDefault="00D34B0E" w:rsidP="00CC093D">
      <w:pPr>
        <w:ind w:left="360" w:hanging="360"/>
      </w:pPr>
    </w:p>
    <w:p w14:paraId="7FC9A5B3" w14:textId="39E0A398" w:rsidR="00A53E76" w:rsidRPr="00F75DED" w:rsidRDefault="00A53E76" w:rsidP="00CC093D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F75DED">
        <w:rPr>
          <w:rFonts w:cs="Arial"/>
          <w:b/>
        </w:rPr>
        <w:t xml:space="preserve">Rationale for </w:t>
      </w:r>
      <w:r w:rsidR="00CC093D" w:rsidRPr="00F75DED">
        <w:rPr>
          <w:rFonts w:cs="Arial"/>
          <w:b/>
        </w:rPr>
        <w:t>Scale of Fees</w:t>
      </w:r>
    </w:p>
    <w:p w14:paraId="75E6B34B" w14:textId="77777777" w:rsidR="00A53E76" w:rsidRPr="00F75DED" w:rsidRDefault="00A53E76" w:rsidP="00A53E76">
      <w:pPr>
        <w:rPr>
          <w:rFonts w:cs="Arial"/>
        </w:rPr>
      </w:pPr>
    </w:p>
    <w:p w14:paraId="14F1C8BC" w14:textId="639EFE8E" w:rsidR="00CC093D" w:rsidRPr="00F75DED" w:rsidRDefault="00A53E76" w:rsidP="00C23D1D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00F75DED">
        <w:rPr>
          <w:rFonts w:cs="Arial"/>
        </w:rPr>
        <w:t xml:space="preserve">The </w:t>
      </w:r>
      <w:r w:rsidR="00CC093D" w:rsidRPr="00F75DED">
        <w:rPr>
          <w:rFonts w:cs="Arial"/>
        </w:rPr>
        <w:t xml:space="preserve">Mayor of London and London Assembly </w:t>
      </w:r>
      <w:r w:rsidRPr="00F75DED">
        <w:rPr>
          <w:rFonts w:cs="Arial"/>
        </w:rPr>
        <w:t>election</w:t>
      </w:r>
      <w:r w:rsidR="00274B34">
        <w:rPr>
          <w:rFonts w:cs="Arial"/>
        </w:rPr>
        <w:t>s are</w:t>
      </w:r>
      <w:r w:rsidRPr="00F75DED">
        <w:rPr>
          <w:rFonts w:cs="Arial"/>
        </w:rPr>
        <w:t xml:space="preserve"> different from other ad-hoc ac</w:t>
      </w:r>
      <w:r w:rsidR="00CC093D" w:rsidRPr="00F75DED">
        <w:rPr>
          <w:rFonts w:cs="Arial"/>
        </w:rPr>
        <w:t xml:space="preserve">tivities requiring deployment of GLA staff </w:t>
      </w:r>
      <w:r w:rsidRPr="00F75DED">
        <w:rPr>
          <w:rFonts w:cs="Arial"/>
        </w:rPr>
        <w:t>to carry out duties outside of their substantive post</w:t>
      </w:r>
      <w:r w:rsidR="00B54694">
        <w:rPr>
          <w:rFonts w:cs="Arial"/>
        </w:rPr>
        <w:t>s</w:t>
      </w:r>
      <w:r w:rsidRPr="00F75DED">
        <w:rPr>
          <w:rFonts w:cs="Arial"/>
        </w:rPr>
        <w:t xml:space="preserve">. </w:t>
      </w:r>
    </w:p>
    <w:p w14:paraId="337EF568" w14:textId="77777777" w:rsidR="00CC093D" w:rsidRPr="00F75DED" w:rsidRDefault="00CC093D" w:rsidP="00CC093D">
      <w:pPr>
        <w:pStyle w:val="ListParagraph"/>
        <w:ind w:left="709"/>
        <w:rPr>
          <w:rFonts w:cs="Arial"/>
        </w:rPr>
      </w:pPr>
    </w:p>
    <w:p w14:paraId="39640D0F" w14:textId="496248B5" w:rsidR="000F0DE6" w:rsidRPr="00F75DED" w:rsidRDefault="00CC093D" w:rsidP="00C23D1D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00F75DED">
        <w:rPr>
          <w:rFonts w:cs="Arial"/>
        </w:rPr>
        <w:t>The election</w:t>
      </w:r>
      <w:r w:rsidR="00B54694">
        <w:rPr>
          <w:rFonts w:cs="Arial"/>
        </w:rPr>
        <w:t>s are</w:t>
      </w:r>
      <w:r w:rsidR="00A53E76" w:rsidRPr="00F75DED">
        <w:rPr>
          <w:rFonts w:cs="Arial"/>
        </w:rPr>
        <w:t xml:space="preserve"> a high profile, statutory obligation</w:t>
      </w:r>
      <w:r w:rsidR="00AE1DCE">
        <w:rPr>
          <w:rFonts w:cs="Arial"/>
        </w:rPr>
        <w:t>. M</w:t>
      </w:r>
      <w:r w:rsidR="00A53E76" w:rsidRPr="00F75DED">
        <w:rPr>
          <w:rFonts w:cs="Arial"/>
        </w:rPr>
        <w:t>otivated and engaged staff</w:t>
      </w:r>
      <w:r w:rsidR="00B54694">
        <w:rPr>
          <w:rFonts w:cs="Arial"/>
        </w:rPr>
        <w:t xml:space="preserve"> are required</w:t>
      </w:r>
      <w:r w:rsidR="00A53E76" w:rsidRPr="00F75DED">
        <w:rPr>
          <w:rFonts w:cs="Arial"/>
        </w:rPr>
        <w:t>. This justifies a unique approach</w:t>
      </w:r>
      <w:r w:rsidR="000F0DE6" w:rsidRPr="00F75DED">
        <w:rPr>
          <w:rFonts w:cs="Arial"/>
        </w:rPr>
        <w:t>.</w:t>
      </w:r>
    </w:p>
    <w:p w14:paraId="4E55D0CA" w14:textId="77777777" w:rsidR="000F0DE6" w:rsidRPr="00F75DED" w:rsidRDefault="000F0DE6" w:rsidP="000F0DE6">
      <w:pPr>
        <w:pStyle w:val="ListParagraph"/>
        <w:rPr>
          <w:rFonts w:cs="Arial"/>
        </w:rPr>
      </w:pPr>
    </w:p>
    <w:p w14:paraId="44062293" w14:textId="0C434DBD" w:rsidR="000F0DE6" w:rsidRPr="00F173A5" w:rsidRDefault="000F0DE6" w:rsidP="00F173A5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00F75DED">
        <w:rPr>
          <w:rFonts w:cs="Arial"/>
        </w:rPr>
        <w:t>The election</w:t>
      </w:r>
      <w:r w:rsidR="00B54694">
        <w:rPr>
          <w:rFonts w:cs="Arial"/>
        </w:rPr>
        <w:t>s are</w:t>
      </w:r>
      <w:r w:rsidRPr="00F75DED">
        <w:rPr>
          <w:rFonts w:cs="Arial"/>
        </w:rPr>
        <w:t xml:space="preserve"> outside of the boundaries of the GLA’s policy on honorarium and recognition payments, in that the fees are agreed by the </w:t>
      </w:r>
      <w:r w:rsidR="2C9A2DE9" w:rsidRPr="56AD2E4B">
        <w:rPr>
          <w:rFonts w:cs="Arial"/>
        </w:rPr>
        <w:t>Greater London Returning Officer (</w:t>
      </w:r>
      <w:r w:rsidRPr="00F75DED">
        <w:rPr>
          <w:rFonts w:cs="Arial"/>
        </w:rPr>
        <w:t>GLRO</w:t>
      </w:r>
      <w:r w:rsidR="2C9A2DE9" w:rsidRPr="56AD2E4B">
        <w:rPr>
          <w:rFonts w:cs="Arial"/>
        </w:rPr>
        <w:t>)</w:t>
      </w:r>
      <w:r w:rsidRPr="00F75DED">
        <w:rPr>
          <w:rFonts w:cs="Arial"/>
        </w:rPr>
        <w:t xml:space="preserve"> and are not subject to the </w:t>
      </w:r>
      <w:r w:rsidR="000F7E38">
        <w:rPr>
          <w:rFonts w:cs="Arial"/>
        </w:rPr>
        <w:t xml:space="preserve">GLA </w:t>
      </w:r>
      <w:r w:rsidRPr="00F75DED">
        <w:rPr>
          <w:rFonts w:cs="Arial"/>
        </w:rPr>
        <w:t>corporate process for additional payments.</w:t>
      </w:r>
    </w:p>
    <w:p w14:paraId="113B4956" w14:textId="77777777" w:rsidR="00BA4A75" w:rsidRPr="00F75DED" w:rsidRDefault="00BA4A75" w:rsidP="00BA4A75">
      <w:pPr>
        <w:pStyle w:val="ListParagraph"/>
        <w:rPr>
          <w:rFonts w:cs="Arial"/>
        </w:rPr>
      </w:pPr>
    </w:p>
    <w:p w14:paraId="3796E4F0" w14:textId="7469F85E" w:rsidR="00F173A5" w:rsidRDefault="00A53E76" w:rsidP="00DA232C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00F75DED">
        <w:rPr>
          <w:rFonts w:cs="Arial"/>
        </w:rPr>
        <w:t>Lo</w:t>
      </w:r>
      <w:r w:rsidR="00013072">
        <w:rPr>
          <w:rFonts w:cs="Arial"/>
        </w:rPr>
        <w:t>ndon borough</w:t>
      </w:r>
      <w:r w:rsidRPr="00F75DED">
        <w:rPr>
          <w:rFonts w:cs="Arial"/>
        </w:rPr>
        <w:t xml:space="preserve"> staff who support delivery of elections - both the </w:t>
      </w:r>
      <w:r w:rsidR="00395600" w:rsidRPr="00395600">
        <w:rPr>
          <w:rFonts w:cs="Arial"/>
        </w:rPr>
        <w:t>Mayor of London and London Assembly</w:t>
      </w:r>
      <w:r w:rsidRPr="00F75DED">
        <w:rPr>
          <w:rFonts w:cs="Arial"/>
        </w:rPr>
        <w:t xml:space="preserve"> elections and</w:t>
      </w:r>
      <w:r w:rsidR="00191DC2">
        <w:rPr>
          <w:rFonts w:cs="Arial"/>
        </w:rPr>
        <w:t xml:space="preserve"> </w:t>
      </w:r>
      <w:r w:rsidRPr="00F75DED">
        <w:rPr>
          <w:rFonts w:cs="Arial"/>
        </w:rPr>
        <w:t xml:space="preserve">central/local </w:t>
      </w:r>
      <w:r w:rsidR="00191DC2">
        <w:rPr>
          <w:rFonts w:cs="Arial"/>
        </w:rPr>
        <w:t xml:space="preserve">government </w:t>
      </w:r>
      <w:r w:rsidRPr="00F75DED">
        <w:rPr>
          <w:rFonts w:cs="Arial"/>
        </w:rPr>
        <w:t>elections – in roles such as poll clerk</w:t>
      </w:r>
      <w:r w:rsidR="00194804">
        <w:rPr>
          <w:rFonts w:cs="Arial"/>
        </w:rPr>
        <w:t>s</w:t>
      </w:r>
      <w:r w:rsidRPr="00F75DED">
        <w:rPr>
          <w:rFonts w:cs="Arial"/>
        </w:rPr>
        <w:t>, or count assistant</w:t>
      </w:r>
      <w:r w:rsidR="00194804">
        <w:rPr>
          <w:rFonts w:cs="Arial"/>
        </w:rPr>
        <w:t>s</w:t>
      </w:r>
      <w:r w:rsidRPr="00F75DED">
        <w:rPr>
          <w:rFonts w:cs="Arial"/>
        </w:rPr>
        <w:t xml:space="preserve">, are rewarded with </w:t>
      </w:r>
      <w:r w:rsidR="0088411D" w:rsidRPr="00F75DED">
        <w:rPr>
          <w:rFonts w:cs="Arial"/>
        </w:rPr>
        <w:t xml:space="preserve">a </w:t>
      </w:r>
      <w:r w:rsidRPr="00F75DED">
        <w:rPr>
          <w:rFonts w:cs="Arial"/>
        </w:rPr>
        <w:t>fe</w:t>
      </w:r>
      <w:r w:rsidR="0088411D" w:rsidRPr="00F75DED">
        <w:rPr>
          <w:rFonts w:cs="Arial"/>
        </w:rPr>
        <w:t>e</w:t>
      </w:r>
      <w:r w:rsidRPr="00F75DED">
        <w:rPr>
          <w:rFonts w:cs="Arial"/>
        </w:rPr>
        <w:t>. Lo</w:t>
      </w:r>
      <w:r w:rsidR="00013072">
        <w:rPr>
          <w:rFonts w:cs="Arial"/>
        </w:rPr>
        <w:t>ndon borough</w:t>
      </w:r>
      <w:r w:rsidRPr="00F75DED">
        <w:rPr>
          <w:rFonts w:cs="Arial"/>
        </w:rPr>
        <w:t xml:space="preserve"> staff at the </w:t>
      </w:r>
      <w:r w:rsidR="002F20CD">
        <w:rPr>
          <w:rFonts w:cs="Arial"/>
        </w:rPr>
        <w:t xml:space="preserve">election </w:t>
      </w:r>
      <w:r w:rsidRPr="00F75DED">
        <w:rPr>
          <w:rFonts w:cs="Arial"/>
        </w:rPr>
        <w:t>count</w:t>
      </w:r>
      <w:r w:rsidR="00CC093D" w:rsidRPr="00F75DED">
        <w:rPr>
          <w:rFonts w:cs="Arial"/>
        </w:rPr>
        <w:t>s</w:t>
      </w:r>
      <w:r w:rsidRPr="00F75DED">
        <w:rPr>
          <w:rFonts w:cs="Arial"/>
        </w:rPr>
        <w:t xml:space="preserve"> in May </w:t>
      </w:r>
      <w:r w:rsidR="00B342BE">
        <w:rPr>
          <w:rFonts w:cs="Arial"/>
        </w:rPr>
        <w:t>202</w:t>
      </w:r>
      <w:r w:rsidR="00550B92">
        <w:rPr>
          <w:rFonts w:cs="Arial"/>
        </w:rPr>
        <w:t>4</w:t>
      </w:r>
      <w:r w:rsidR="00B342BE" w:rsidRPr="00F75DED">
        <w:rPr>
          <w:rFonts w:cs="Arial"/>
        </w:rPr>
        <w:t xml:space="preserve"> </w:t>
      </w:r>
      <w:r w:rsidRPr="00F75DED">
        <w:rPr>
          <w:rFonts w:cs="Arial"/>
        </w:rPr>
        <w:t>will be paid.</w:t>
      </w:r>
    </w:p>
    <w:p w14:paraId="32D9A33B" w14:textId="77777777" w:rsidR="00F173A5" w:rsidRPr="00F173A5" w:rsidRDefault="00F173A5" w:rsidP="00F173A5">
      <w:pPr>
        <w:pStyle w:val="ListParagraph"/>
        <w:rPr>
          <w:rFonts w:cs="Arial"/>
        </w:rPr>
      </w:pPr>
    </w:p>
    <w:p w14:paraId="44E7CBED" w14:textId="4F440981" w:rsidR="009D4571" w:rsidRDefault="00F173A5" w:rsidP="00F173A5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00F173A5">
        <w:rPr>
          <w:rFonts w:cs="Arial"/>
        </w:rPr>
        <w:t xml:space="preserve">In 2021 a policy was drafted to provide transparency on the </w:t>
      </w:r>
      <w:r w:rsidR="009D4571">
        <w:rPr>
          <w:rFonts w:cs="Arial"/>
        </w:rPr>
        <w:t xml:space="preserve">scale of </w:t>
      </w:r>
      <w:r w:rsidRPr="00F173A5">
        <w:rPr>
          <w:rFonts w:cs="Arial"/>
        </w:rPr>
        <w:t>fees available</w:t>
      </w:r>
      <w:r w:rsidR="009D4571">
        <w:rPr>
          <w:rFonts w:cs="Arial"/>
        </w:rPr>
        <w:t xml:space="preserve"> to GLA staff</w:t>
      </w:r>
      <w:r w:rsidRPr="00F173A5">
        <w:rPr>
          <w:rFonts w:cs="Arial"/>
        </w:rPr>
        <w:t>. This 2024 version updates it.</w:t>
      </w:r>
      <w:r>
        <w:rPr>
          <w:rFonts w:cs="Arial"/>
        </w:rPr>
        <w:t xml:space="preserve"> </w:t>
      </w:r>
    </w:p>
    <w:p w14:paraId="0B872EC6" w14:textId="77777777" w:rsidR="009D4571" w:rsidRPr="009D4571" w:rsidRDefault="009D4571" w:rsidP="009D4571">
      <w:pPr>
        <w:pStyle w:val="ListParagraph"/>
        <w:rPr>
          <w:rFonts w:cs="Arial"/>
        </w:rPr>
      </w:pPr>
    </w:p>
    <w:p w14:paraId="26D02C33" w14:textId="3A02085C" w:rsidR="000F0DE6" w:rsidRPr="00F173A5" w:rsidRDefault="000F0DE6" w:rsidP="00F173A5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00F173A5">
        <w:rPr>
          <w:rFonts w:cs="Arial"/>
        </w:rPr>
        <w:t xml:space="preserve">The scale of fees seeks to ensure that </w:t>
      </w:r>
      <w:r w:rsidR="00A42336" w:rsidRPr="00F173A5">
        <w:rPr>
          <w:rFonts w:cs="Arial"/>
        </w:rPr>
        <w:t xml:space="preserve">the efforts of GLA staff deployed </w:t>
      </w:r>
      <w:r w:rsidRPr="00F173A5">
        <w:rPr>
          <w:rFonts w:cs="Arial"/>
        </w:rPr>
        <w:t xml:space="preserve">to support the successful delivery of the elections </w:t>
      </w:r>
      <w:r w:rsidR="00827710" w:rsidRPr="00F173A5">
        <w:rPr>
          <w:rFonts w:cs="Arial"/>
        </w:rPr>
        <w:t>are</w:t>
      </w:r>
      <w:r w:rsidRPr="00F173A5">
        <w:rPr>
          <w:rFonts w:cs="Arial"/>
        </w:rPr>
        <w:t xml:space="preserve"> recognised.</w:t>
      </w:r>
      <w:r w:rsidR="00670EBA">
        <w:rPr>
          <w:rFonts w:cs="Arial"/>
        </w:rPr>
        <w:t xml:space="preserve">  </w:t>
      </w:r>
    </w:p>
    <w:p w14:paraId="7F7EF86F" w14:textId="5A187F0D" w:rsidR="00AF48AB" w:rsidRDefault="00670EBA" w:rsidP="00FE0D0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13F42830" w14:textId="77777777" w:rsidR="009C1C38" w:rsidRPr="00F75DED" w:rsidRDefault="009C1C38" w:rsidP="00FE0D0C">
      <w:pPr>
        <w:rPr>
          <w:rFonts w:cs="Arial"/>
          <w:sz w:val="22"/>
          <w:szCs w:val="22"/>
        </w:rPr>
      </w:pPr>
    </w:p>
    <w:p w14:paraId="54E957C9" w14:textId="785C066A" w:rsidR="003C7111" w:rsidRPr="00F75DED" w:rsidRDefault="00A53E76" w:rsidP="00585D4C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F75DED">
        <w:rPr>
          <w:rFonts w:cs="Arial"/>
          <w:b/>
        </w:rPr>
        <w:t xml:space="preserve">Principles to guide </w:t>
      </w:r>
      <w:r w:rsidR="00217610" w:rsidRPr="00F75DED">
        <w:rPr>
          <w:rFonts w:cs="Arial"/>
          <w:b/>
        </w:rPr>
        <w:t>eligibility</w:t>
      </w:r>
    </w:p>
    <w:p w14:paraId="7BD12875" w14:textId="77777777" w:rsidR="000F0DE6" w:rsidRPr="00F75DED" w:rsidRDefault="000F0DE6" w:rsidP="00427ED6">
      <w:pPr>
        <w:rPr>
          <w:rFonts w:cs="Arial"/>
        </w:rPr>
      </w:pPr>
    </w:p>
    <w:p w14:paraId="6FC350EA" w14:textId="644567B1" w:rsidR="00585D4C" w:rsidRPr="00F75DED" w:rsidRDefault="00217610" w:rsidP="00585D4C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00F75DED">
        <w:rPr>
          <w:rFonts w:cs="Arial"/>
        </w:rPr>
        <w:t xml:space="preserve">All roles </w:t>
      </w:r>
      <w:r w:rsidR="002F20CD">
        <w:rPr>
          <w:rFonts w:cs="Arial"/>
        </w:rPr>
        <w:t>are</w:t>
      </w:r>
      <w:r w:rsidR="00585D4C" w:rsidRPr="00F75DED">
        <w:rPr>
          <w:rFonts w:cs="Arial"/>
        </w:rPr>
        <w:t xml:space="preserve"> </w:t>
      </w:r>
      <w:r w:rsidRPr="00F75DED">
        <w:rPr>
          <w:rFonts w:cs="Arial"/>
        </w:rPr>
        <w:t>assessed by workstream leads</w:t>
      </w:r>
      <w:r w:rsidR="00585D4C" w:rsidRPr="00F75DED">
        <w:rPr>
          <w:rFonts w:cs="Arial"/>
        </w:rPr>
        <w:t xml:space="preserve"> to </w:t>
      </w:r>
      <w:r w:rsidR="004B7489" w:rsidRPr="00F75DED">
        <w:rPr>
          <w:rFonts w:cs="Arial"/>
        </w:rPr>
        <w:t>ascertain</w:t>
      </w:r>
      <w:r w:rsidR="00585D4C" w:rsidRPr="00F75DED">
        <w:rPr>
          <w:rFonts w:cs="Arial"/>
        </w:rPr>
        <w:t>:</w:t>
      </w:r>
    </w:p>
    <w:p w14:paraId="77CAEACF" w14:textId="4D299F49" w:rsidR="00585D4C" w:rsidRPr="00F75DED" w:rsidRDefault="004A46F6" w:rsidP="00D34B0E">
      <w:pPr>
        <w:pStyle w:val="ListParagraph"/>
        <w:numPr>
          <w:ilvl w:val="2"/>
          <w:numId w:val="17"/>
        </w:numPr>
        <w:rPr>
          <w:rFonts w:cs="Arial"/>
        </w:rPr>
      </w:pPr>
      <w:r w:rsidRPr="00F75DED">
        <w:rPr>
          <w:rFonts w:cs="Arial"/>
        </w:rPr>
        <w:t>the</w:t>
      </w:r>
      <w:r w:rsidR="00585D4C" w:rsidRPr="00F75DED">
        <w:rPr>
          <w:rFonts w:cs="Arial"/>
        </w:rPr>
        <w:t xml:space="preserve"> time commitment to the role</w:t>
      </w:r>
    </w:p>
    <w:p w14:paraId="39CBD7DE" w14:textId="79FA674F" w:rsidR="004B7489" w:rsidRPr="00F75DED" w:rsidRDefault="00585D4C" w:rsidP="00D34B0E">
      <w:pPr>
        <w:pStyle w:val="ListParagraph"/>
        <w:numPr>
          <w:ilvl w:val="2"/>
          <w:numId w:val="17"/>
        </w:numPr>
        <w:rPr>
          <w:rFonts w:cs="Arial"/>
        </w:rPr>
      </w:pPr>
      <w:r w:rsidRPr="00F75DED">
        <w:rPr>
          <w:rFonts w:cs="Arial"/>
        </w:rPr>
        <w:t xml:space="preserve">the level of </w:t>
      </w:r>
      <w:r w:rsidR="004B7489" w:rsidRPr="00F75DED">
        <w:rPr>
          <w:rFonts w:cs="Arial"/>
        </w:rPr>
        <w:t>responsibility and nature of the role</w:t>
      </w:r>
    </w:p>
    <w:p w14:paraId="1FC18B1D" w14:textId="665A51C3" w:rsidR="004B7489" w:rsidRPr="00F75DED" w:rsidRDefault="004B7489" w:rsidP="00D34B0E">
      <w:pPr>
        <w:pStyle w:val="ListParagraph"/>
        <w:numPr>
          <w:ilvl w:val="2"/>
          <w:numId w:val="17"/>
        </w:numPr>
        <w:rPr>
          <w:rFonts w:cs="Arial"/>
        </w:rPr>
      </w:pPr>
      <w:r w:rsidRPr="76A4041B">
        <w:rPr>
          <w:rFonts w:cs="Arial"/>
        </w:rPr>
        <w:t>the working pattern</w:t>
      </w:r>
      <w:r w:rsidR="000F0DE6" w:rsidRPr="76A4041B">
        <w:rPr>
          <w:rFonts w:cs="Arial"/>
        </w:rPr>
        <w:t xml:space="preserve"> and requirements</w:t>
      </w:r>
      <w:r w:rsidRPr="76A4041B">
        <w:rPr>
          <w:rFonts w:cs="Arial"/>
        </w:rPr>
        <w:t xml:space="preserve"> for the role in</w:t>
      </w:r>
      <w:r w:rsidR="00CC093D" w:rsidRPr="76A4041B">
        <w:rPr>
          <w:rFonts w:cs="Arial"/>
        </w:rPr>
        <w:t xml:space="preserve"> comparison to </w:t>
      </w:r>
      <w:r w:rsidR="02EAEB3F" w:rsidRPr="76A4041B">
        <w:rPr>
          <w:rFonts w:cs="Arial"/>
        </w:rPr>
        <w:t>Business-as-Usual</w:t>
      </w:r>
      <w:r w:rsidR="001B61FA" w:rsidRPr="76A4041B">
        <w:rPr>
          <w:rFonts w:cs="Arial"/>
        </w:rPr>
        <w:t xml:space="preserve"> </w:t>
      </w:r>
      <w:r w:rsidR="00CC093D" w:rsidRPr="76A4041B">
        <w:rPr>
          <w:rFonts w:cs="Arial"/>
        </w:rPr>
        <w:t>arrangements</w:t>
      </w:r>
      <w:r w:rsidR="000F0DE6" w:rsidRPr="76A4041B">
        <w:rPr>
          <w:rFonts w:cs="Arial"/>
        </w:rPr>
        <w:t xml:space="preserve"> and contracts </w:t>
      </w:r>
    </w:p>
    <w:p w14:paraId="4E567666" w14:textId="5C3120F1" w:rsidR="004B7489" w:rsidRPr="00F75DED" w:rsidRDefault="004A46F6" w:rsidP="00D34B0E">
      <w:pPr>
        <w:pStyle w:val="ListParagraph"/>
        <w:numPr>
          <w:ilvl w:val="2"/>
          <w:numId w:val="17"/>
        </w:numPr>
        <w:rPr>
          <w:rFonts w:cs="Arial"/>
        </w:rPr>
      </w:pPr>
      <w:r w:rsidRPr="00F75DED">
        <w:rPr>
          <w:rFonts w:cs="Arial"/>
        </w:rPr>
        <w:t>the</w:t>
      </w:r>
      <w:r w:rsidR="004B7489" w:rsidRPr="00F75DED">
        <w:rPr>
          <w:rFonts w:cs="Arial"/>
        </w:rPr>
        <w:t xml:space="preserve"> location of the role</w:t>
      </w:r>
      <w:r w:rsidR="00217610" w:rsidRPr="00F75DED">
        <w:rPr>
          <w:rFonts w:cs="Arial"/>
        </w:rPr>
        <w:t xml:space="preserve"> </w:t>
      </w:r>
    </w:p>
    <w:p w14:paraId="5A67295F" w14:textId="1FE95B3D" w:rsidR="00217610" w:rsidRPr="00F75DED" w:rsidRDefault="00217610" w:rsidP="00BA4A75">
      <w:pPr>
        <w:pStyle w:val="ListParagraph"/>
        <w:ind w:left="1224"/>
        <w:rPr>
          <w:rFonts w:cs="Arial"/>
        </w:rPr>
      </w:pPr>
    </w:p>
    <w:p w14:paraId="63DDF0CA" w14:textId="09BDD58B" w:rsidR="00827710" w:rsidRPr="00F75DED" w:rsidRDefault="00827710" w:rsidP="00827710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76A4041B">
        <w:rPr>
          <w:rFonts w:cs="Arial"/>
        </w:rPr>
        <w:t>The guiding principle is that staff should not be paid twice</w:t>
      </w:r>
      <w:r w:rsidR="0088411D" w:rsidRPr="76A4041B">
        <w:rPr>
          <w:rFonts w:cs="Arial"/>
        </w:rPr>
        <w:t xml:space="preserve">: for </w:t>
      </w:r>
      <w:r w:rsidR="073EFC05" w:rsidRPr="76A4041B">
        <w:rPr>
          <w:rFonts w:cs="Arial"/>
        </w:rPr>
        <w:t>example,</w:t>
      </w:r>
      <w:r w:rsidR="0088411D" w:rsidRPr="76A4041B">
        <w:rPr>
          <w:rFonts w:cs="Arial"/>
        </w:rPr>
        <w:t xml:space="preserve"> staff should not receive an election fee and a payment related to any normal contractual arrangement such as overtime or an </w:t>
      </w:r>
      <w:r w:rsidR="00F75DED" w:rsidRPr="76A4041B">
        <w:rPr>
          <w:rFonts w:cs="Arial"/>
        </w:rPr>
        <w:t>out</w:t>
      </w:r>
      <w:r w:rsidR="009A7522" w:rsidRPr="76A4041B">
        <w:rPr>
          <w:rFonts w:cs="Arial"/>
        </w:rPr>
        <w:t>-</w:t>
      </w:r>
      <w:r w:rsidR="0088411D" w:rsidRPr="76A4041B">
        <w:rPr>
          <w:rFonts w:cs="Arial"/>
        </w:rPr>
        <w:t>of</w:t>
      </w:r>
      <w:r w:rsidR="009A7522" w:rsidRPr="76A4041B">
        <w:rPr>
          <w:rFonts w:cs="Arial"/>
        </w:rPr>
        <w:t>-</w:t>
      </w:r>
      <w:r w:rsidR="00187CFB" w:rsidRPr="76A4041B">
        <w:rPr>
          <w:rFonts w:cs="Arial"/>
        </w:rPr>
        <w:t>h</w:t>
      </w:r>
      <w:r w:rsidR="0088411D" w:rsidRPr="76A4041B">
        <w:rPr>
          <w:rFonts w:cs="Arial"/>
        </w:rPr>
        <w:t xml:space="preserve">ours allowance. </w:t>
      </w:r>
    </w:p>
    <w:p w14:paraId="361B34BD" w14:textId="77777777" w:rsidR="00827710" w:rsidRPr="00F75DED" w:rsidRDefault="00827710" w:rsidP="00827710">
      <w:pPr>
        <w:pStyle w:val="ListParagraph"/>
        <w:ind w:left="709"/>
        <w:rPr>
          <w:rFonts w:cs="Arial"/>
        </w:rPr>
      </w:pPr>
    </w:p>
    <w:p w14:paraId="3670776F" w14:textId="4BE07998" w:rsidR="00187CFB" w:rsidRPr="00D34B0E" w:rsidRDefault="0088411D" w:rsidP="00D34B0E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00F75DED">
        <w:rPr>
          <w:rFonts w:cs="Arial"/>
        </w:rPr>
        <w:t xml:space="preserve">There are two categories of fee: </w:t>
      </w:r>
    </w:p>
    <w:p w14:paraId="2D4202CE" w14:textId="60765361" w:rsidR="00187CFB" w:rsidRPr="00D34B0E" w:rsidRDefault="0088411D" w:rsidP="00D34B0E">
      <w:pPr>
        <w:pStyle w:val="ListParagraph"/>
        <w:numPr>
          <w:ilvl w:val="0"/>
          <w:numId w:val="20"/>
        </w:numPr>
        <w:rPr>
          <w:rFonts w:cs="Arial"/>
        </w:rPr>
      </w:pPr>
      <w:r w:rsidRPr="00D34B0E">
        <w:rPr>
          <w:rFonts w:cs="Arial"/>
        </w:rPr>
        <w:t xml:space="preserve">Fee 1 applies to staff deployed on </w:t>
      </w:r>
      <w:r w:rsidR="000E27D2" w:rsidRPr="00D34B0E">
        <w:rPr>
          <w:rFonts w:cs="Arial"/>
        </w:rPr>
        <w:t>verification</w:t>
      </w:r>
      <w:r w:rsidR="00B82C45" w:rsidRPr="00D34B0E">
        <w:rPr>
          <w:rFonts w:cs="Arial"/>
        </w:rPr>
        <w:t xml:space="preserve">, </w:t>
      </w:r>
      <w:r w:rsidR="00E91517" w:rsidRPr="00D34B0E">
        <w:rPr>
          <w:rFonts w:cs="Arial"/>
        </w:rPr>
        <w:t xml:space="preserve">count </w:t>
      </w:r>
      <w:r w:rsidR="00B82C45" w:rsidRPr="00D34B0E">
        <w:rPr>
          <w:rFonts w:cs="Arial"/>
        </w:rPr>
        <w:t xml:space="preserve">and announcement </w:t>
      </w:r>
      <w:r w:rsidR="00E91517" w:rsidRPr="00D34B0E">
        <w:rPr>
          <w:rFonts w:cs="Arial"/>
        </w:rPr>
        <w:t>day</w:t>
      </w:r>
      <w:r w:rsidR="000E27D2" w:rsidRPr="00D34B0E">
        <w:rPr>
          <w:rFonts w:cs="Arial"/>
        </w:rPr>
        <w:t>s</w:t>
      </w:r>
    </w:p>
    <w:p w14:paraId="2E514A42" w14:textId="36699252" w:rsidR="0088411D" w:rsidRPr="00D34B0E" w:rsidRDefault="0088411D" w:rsidP="00D34B0E">
      <w:pPr>
        <w:pStyle w:val="ListParagraph"/>
        <w:numPr>
          <w:ilvl w:val="0"/>
          <w:numId w:val="20"/>
        </w:numPr>
        <w:rPr>
          <w:rFonts w:cs="Arial"/>
        </w:rPr>
      </w:pPr>
      <w:r w:rsidRPr="00D34B0E">
        <w:rPr>
          <w:rFonts w:cs="Arial"/>
        </w:rPr>
        <w:t>Fee 2 applies to staff deployed in the planning and preparation for the election</w:t>
      </w:r>
    </w:p>
    <w:p w14:paraId="7F9A8AAF" w14:textId="77777777" w:rsidR="0088411D" w:rsidRPr="00F75DED" w:rsidRDefault="0088411D" w:rsidP="0088411D">
      <w:pPr>
        <w:pStyle w:val="ListParagraph"/>
        <w:rPr>
          <w:rFonts w:cs="Arial"/>
        </w:rPr>
      </w:pPr>
    </w:p>
    <w:p w14:paraId="320F8544" w14:textId="68E86E92" w:rsidR="000F0DE6" w:rsidRDefault="0088411D" w:rsidP="002C4DB1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00A77296">
        <w:rPr>
          <w:rFonts w:cs="Arial"/>
        </w:rPr>
        <w:lastRenderedPageBreak/>
        <w:t>A</w:t>
      </w:r>
      <w:r w:rsidR="000F0DE6" w:rsidRPr="00A77296">
        <w:rPr>
          <w:rFonts w:cs="Arial"/>
        </w:rPr>
        <w:t>ll</w:t>
      </w:r>
      <w:r w:rsidR="00CC093D" w:rsidRPr="00A77296">
        <w:rPr>
          <w:rFonts w:cs="Arial"/>
        </w:rPr>
        <w:t xml:space="preserve"> staff deployed on </w:t>
      </w:r>
      <w:r w:rsidR="004F69CC">
        <w:rPr>
          <w:rFonts w:cs="Arial"/>
        </w:rPr>
        <w:t>the verification</w:t>
      </w:r>
      <w:r w:rsidR="00D127E9">
        <w:rPr>
          <w:rFonts w:cs="Arial"/>
        </w:rPr>
        <w:t xml:space="preserve">, </w:t>
      </w:r>
      <w:r w:rsidR="00A77296" w:rsidRPr="00A77296">
        <w:rPr>
          <w:rFonts w:cs="Arial"/>
        </w:rPr>
        <w:t xml:space="preserve">count </w:t>
      </w:r>
      <w:r w:rsidR="00D127E9">
        <w:rPr>
          <w:rFonts w:cs="Arial"/>
        </w:rPr>
        <w:t xml:space="preserve">and announcement </w:t>
      </w:r>
      <w:r w:rsidR="00A77296" w:rsidRPr="00A77296">
        <w:rPr>
          <w:rFonts w:cs="Arial"/>
        </w:rPr>
        <w:t>day</w:t>
      </w:r>
      <w:r w:rsidR="004F69CC">
        <w:rPr>
          <w:rFonts w:cs="Arial"/>
        </w:rPr>
        <w:t>s</w:t>
      </w:r>
      <w:r w:rsidR="00CC093D" w:rsidRPr="00A77296">
        <w:rPr>
          <w:rFonts w:cs="Arial"/>
        </w:rPr>
        <w:t xml:space="preserve"> will </w:t>
      </w:r>
      <w:r w:rsidR="000F0DE6" w:rsidRPr="00A77296">
        <w:rPr>
          <w:rFonts w:cs="Arial"/>
        </w:rPr>
        <w:t>be eligible for Fee 1</w:t>
      </w:r>
      <w:r w:rsidR="00CC093D" w:rsidRPr="00A77296">
        <w:rPr>
          <w:rFonts w:cs="Arial"/>
        </w:rPr>
        <w:t xml:space="preserve"> </w:t>
      </w:r>
    </w:p>
    <w:p w14:paraId="4AB0B623" w14:textId="77777777" w:rsidR="00B342BE" w:rsidRPr="00B342BE" w:rsidRDefault="00B342BE" w:rsidP="00B342BE">
      <w:pPr>
        <w:rPr>
          <w:rFonts w:cs="Arial"/>
        </w:rPr>
      </w:pPr>
    </w:p>
    <w:p w14:paraId="60668E2C" w14:textId="60358A13" w:rsidR="000F0DE6" w:rsidRPr="00F75DED" w:rsidRDefault="000F0DE6" w:rsidP="00CC093D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76A4041B">
        <w:rPr>
          <w:rFonts w:cs="Arial"/>
        </w:rPr>
        <w:t>Staff deployed in the planning and preparation for the election in advance of count day</w:t>
      </w:r>
      <w:r w:rsidR="0088411D" w:rsidRPr="76A4041B">
        <w:rPr>
          <w:rFonts w:cs="Arial"/>
        </w:rPr>
        <w:t xml:space="preserve">, </w:t>
      </w:r>
      <w:r w:rsidR="00405252" w:rsidRPr="76A4041B">
        <w:rPr>
          <w:rFonts w:cs="Arial"/>
        </w:rPr>
        <w:t>outside of</w:t>
      </w:r>
      <w:r w:rsidR="0088411D" w:rsidRPr="76A4041B">
        <w:rPr>
          <w:rFonts w:cs="Arial"/>
        </w:rPr>
        <w:t xml:space="preserve"> their normal contractual/business-as-usual </w:t>
      </w:r>
      <w:r w:rsidR="0CD92CD9" w:rsidRPr="76A4041B">
        <w:rPr>
          <w:rFonts w:cs="Arial"/>
        </w:rPr>
        <w:t>arrangements, may</w:t>
      </w:r>
      <w:r w:rsidRPr="76A4041B">
        <w:rPr>
          <w:rFonts w:cs="Arial"/>
        </w:rPr>
        <w:t xml:space="preserve"> be eligible for Fee 2.</w:t>
      </w:r>
    </w:p>
    <w:p w14:paraId="15771134" w14:textId="77777777" w:rsidR="000F0DE6" w:rsidRPr="00F75DED" w:rsidRDefault="000F0DE6" w:rsidP="000F0DE6">
      <w:pPr>
        <w:pStyle w:val="ListParagraph"/>
        <w:rPr>
          <w:rFonts w:cs="Arial"/>
        </w:rPr>
      </w:pPr>
    </w:p>
    <w:p w14:paraId="43F9097E" w14:textId="6B4C2ED9" w:rsidR="004B7489" w:rsidRPr="00F75DED" w:rsidRDefault="00217610" w:rsidP="00D73BBF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00F75DED">
        <w:rPr>
          <w:rFonts w:cs="Arial"/>
        </w:rPr>
        <w:t>Exceptions</w:t>
      </w:r>
      <w:r w:rsidR="004A46F6" w:rsidRPr="00F75DED">
        <w:rPr>
          <w:rFonts w:cs="Arial"/>
        </w:rPr>
        <w:t>:</w:t>
      </w:r>
      <w:r w:rsidR="004B7489" w:rsidRPr="00F75DED">
        <w:rPr>
          <w:rFonts w:cs="Arial"/>
        </w:rPr>
        <w:t xml:space="preserve"> </w:t>
      </w:r>
      <w:r w:rsidR="001B61FA">
        <w:rPr>
          <w:rFonts w:cs="Arial"/>
        </w:rPr>
        <w:t>s</w:t>
      </w:r>
      <w:r w:rsidR="004B7489" w:rsidRPr="00F75DED">
        <w:rPr>
          <w:rFonts w:cs="Arial"/>
        </w:rPr>
        <w:t xml:space="preserve">taff </w:t>
      </w:r>
      <w:r w:rsidR="004A46F6" w:rsidRPr="00F75DED">
        <w:rPr>
          <w:rFonts w:cs="Arial"/>
          <w:u w:val="single"/>
        </w:rPr>
        <w:t>may</w:t>
      </w:r>
      <w:r w:rsidR="004B7489" w:rsidRPr="00F75DED">
        <w:rPr>
          <w:rFonts w:cs="Arial"/>
        </w:rPr>
        <w:t xml:space="preserve"> not be eligible </w:t>
      </w:r>
      <w:r w:rsidR="000F0DE6" w:rsidRPr="00F75DED">
        <w:rPr>
          <w:rFonts w:cs="Arial"/>
        </w:rPr>
        <w:t>for Fee 1 or Fee 2 if</w:t>
      </w:r>
      <w:r w:rsidR="004B7489" w:rsidRPr="00F75DED">
        <w:rPr>
          <w:rFonts w:cs="Arial"/>
        </w:rPr>
        <w:t>:</w:t>
      </w:r>
    </w:p>
    <w:p w14:paraId="14E620C6" w14:textId="7F55D432" w:rsidR="004B7489" w:rsidRPr="00F75DED" w:rsidRDefault="00217610" w:rsidP="00D34B0E">
      <w:pPr>
        <w:pStyle w:val="ListParagraph"/>
        <w:numPr>
          <w:ilvl w:val="2"/>
          <w:numId w:val="21"/>
        </w:numPr>
        <w:rPr>
          <w:rFonts w:cs="Arial"/>
        </w:rPr>
      </w:pPr>
      <w:r w:rsidRPr="00F75DED">
        <w:rPr>
          <w:rFonts w:cs="Arial"/>
        </w:rPr>
        <w:t>the role has become B</w:t>
      </w:r>
      <w:r w:rsidR="00A77296">
        <w:rPr>
          <w:rFonts w:cs="Arial"/>
        </w:rPr>
        <w:t>usiness</w:t>
      </w:r>
      <w:r w:rsidR="00D127E9">
        <w:rPr>
          <w:rFonts w:cs="Arial"/>
        </w:rPr>
        <w:t>-</w:t>
      </w:r>
      <w:r w:rsidRPr="00F75DED">
        <w:rPr>
          <w:rFonts w:cs="Arial"/>
        </w:rPr>
        <w:t>a</w:t>
      </w:r>
      <w:r w:rsidR="00A77296">
        <w:rPr>
          <w:rFonts w:cs="Arial"/>
        </w:rPr>
        <w:t>s</w:t>
      </w:r>
      <w:r w:rsidR="00D127E9">
        <w:rPr>
          <w:rFonts w:cs="Arial"/>
        </w:rPr>
        <w:t>-</w:t>
      </w:r>
      <w:r w:rsidRPr="00F75DED">
        <w:rPr>
          <w:rFonts w:cs="Arial"/>
        </w:rPr>
        <w:t>U</w:t>
      </w:r>
      <w:r w:rsidR="00A77296">
        <w:rPr>
          <w:rFonts w:cs="Arial"/>
        </w:rPr>
        <w:t>sual</w:t>
      </w:r>
      <w:r w:rsidRPr="00F75DED">
        <w:rPr>
          <w:rFonts w:cs="Arial"/>
        </w:rPr>
        <w:t xml:space="preserve"> for </w:t>
      </w:r>
      <w:r w:rsidR="00382CEC" w:rsidRPr="00F75DED">
        <w:rPr>
          <w:rFonts w:cs="Arial"/>
        </w:rPr>
        <w:t>a</w:t>
      </w:r>
      <w:r w:rsidRPr="00F75DED">
        <w:rPr>
          <w:rFonts w:cs="Arial"/>
        </w:rPr>
        <w:t xml:space="preserve"> defined period</w:t>
      </w:r>
    </w:p>
    <w:p w14:paraId="1D80F2AA" w14:textId="63B51536" w:rsidR="00CC093D" w:rsidRPr="00F75DED" w:rsidRDefault="0088411D" w:rsidP="00D34B0E">
      <w:pPr>
        <w:pStyle w:val="ListParagraph"/>
        <w:numPr>
          <w:ilvl w:val="2"/>
          <w:numId w:val="21"/>
        </w:numPr>
        <w:rPr>
          <w:rFonts w:cs="Arial"/>
        </w:rPr>
      </w:pPr>
      <w:r w:rsidRPr="00F75DED">
        <w:rPr>
          <w:rFonts w:cs="Arial"/>
        </w:rPr>
        <w:t xml:space="preserve">they are </w:t>
      </w:r>
      <w:r w:rsidR="00217610" w:rsidRPr="00F75DED">
        <w:rPr>
          <w:rFonts w:cs="Arial"/>
        </w:rPr>
        <w:t>already in receipt of a fee for elections work</w:t>
      </w:r>
      <w:r w:rsidR="00D127E9">
        <w:rPr>
          <w:rFonts w:cs="Arial"/>
        </w:rPr>
        <w:t>,</w:t>
      </w:r>
      <w:r w:rsidR="00E60184" w:rsidRPr="00F75DED">
        <w:rPr>
          <w:rFonts w:cs="Arial"/>
        </w:rPr>
        <w:t xml:space="preserve"> </w:t>
      </w:r>
      <w:r w:rsidR="007E5496">
        <w:rPr>
          <w:rFonts w:cs="Arial"/>
        </w:rPr>
        <w:t xml:space="preserve">such as the GLRO and </w:t>
      </w:r>
      <w:r w:rsidR="007E5496" w:rsidRPr="56AD2E4B">
        <w:rPr>
          <w:rFonts w:cs="Arial"/>
        </w:rPr>
        <w:t>D</w:t>
      </w:r>
      <w:r w:rsidR="0032B036" w:rsidRPr="56AD2E4B">
        <w:rPr>
          <w:rFonts w:cs="Arial"/>
        </w:rPr>
        <w:t xml:space="preserve">eputy </w:t>
      </w:r>
      <w:r w:rsidR="007E5496" w:rsidRPr="56AD2E4B">
        <w:rPr>
          <w:rFonts w:cs="Arial"/>
        </w:rPr>
        <w:t>GLRO</w:t>
      </w:r>
      <w:r w:rsidR="007E5496">
        <w:rPr>
          <w:rFonts w:cs="Arial"/>
        </w:rPr>
        <w:t>(s)</w:t>
      </w:r>
    </w:p>
    <w:p w14:paraId="70383B76" w14:textId="4F0033A1" w:rsidR="000F0DE6" w:rsidRPr="00F75DED" w:rsidRDefault="0088411D" w:rsidP="00D34B0E">
      <w:pPr>
        <w:pStyle w:val="ListParagraph"/>
        <w:numPr>
          <w:ilvl w:val="2"/>
          <w:numId w:val="21"/>
        </w:numPr>
        <w:rPr>
          <w:rFonts w:cs="Arial"/>
        </w:rPr>
      </w:pPr>
      <w:r w:rsidRPr="76A4041B">
        <w:rPr>
          <w:rFonts w:cs="Arial"/>
        </w:rPr>
        <w:t xml:space="preserve">they are </w:t>
      </w:r>
      <w:r w:rsidR="000F0DE6" w:rsidRPr="76A4041B">
        <w:rPr>
          <w:rFonts w:cs="Arial"/>
        </w:rPr>
        <w:t xml:space="preserve">already in receipt of </w:t>
      </w:r>
      <w:r w:rsidR="00FB67E6">
        <w:rPr>
          <w:rFonts w:cs="Arial"/>
        </w:rPr>
        <w:t xml:space="preserve">an </w:t>
      </w:r>
      <w:r w:rsidRPr="76A4041B">
        <w:rPr>
          <w:rFonts w:cs="Arial"/>
        </w:rPr>
        <w:t>o</w:t>
      </w:r>
      <w:r w:rsidR="000F0DE6" w:rsidRPr="76A4041B">
        <w:rPr>
          <w:rFonts w:cs="Arial"/>
        </w:rPr>
        <w:t>ut</w:t>
      </w:r>
      <w:r w:rsidR="009A7522" w:rsidRPr="76A4041B">
        <w:rPr>
          <w:rFonts w:cs="Arial"/>
        </w:rPr>
        <w:t>-</w:t>
      </w:r>
      <w:r w:rsidR="000F0DE6" w:rsidRPr="76A4041B">
        <w:rPr>
          <w:rFonts w:cs="Arial"/>
        </w:rPr>
        <w:t>of</w:t>
      </w:r>
      <w:r w:rsidR="009A7522" w:rsidRPr="76A4041B">
        <w:rPr>
          <w:rFonts w:cs="Arial"/>
        </w:rPr>
        <w:t>-</w:t>
      </w:r>
      <w:r w:rsidRPr="76A4041B">
        <w:rPr>
          <w:rFonts w:cs="Arial"/>
        </w:rPr>
        <w:t>h</w:t>
      </w:r>
      <w:r w:rsidR="000F0DE6" w:rsidRPr="76A4041B">
        <w:rPr>
          <w:rFonts w:cs="Arial"/>
        </w:rPr>
        <w:t xml:space="preserve">ours </w:t>
      </w:r>
      <w:r w:rsidRPr="76A4041B">
        <w:rPr>
          <w:rFonts w:cs="Arial"/>
        </w:rPr>
        <w:t>a</w:t>
      </w:r>
      <w:r w:rsidR="000F0DE6" w:rsidRPr="76A4041B">
        <w:rPr>
          <w:rFonts w:cs="Arial"/>
        </w:rPr>
        <w:t>llowance or overtime payment</w:t>
      </w:r>
      <w:r w:rsidRPr="76A4041B">
        <w:rPr>
          <w:rFonts w:cs="Arial"/>
        </w:rPr>
        <w:t xml:space="preserve"> which can be applied to the election activity</w:t>
      </w:r>
      <w:r w:rsidR="002D3FC9">
        <w:rPr>
          <w:rFonts w:cs="Arial"/>
        </w:rPr>
        <w:t>.</w:t>
      </w:r>
      <w:r w:rsidRPr="76A4041B">
        <w:rPr>
          <w:rFonts w:cs="Arial"/>
        </w:rPr>
        <w:t xml:space="preserve"> </w:t>
      </w:r>
    </w:p>
    <w:p w14:paraId="5DD48A8D" w14:textId="16A14A53" w:rsidR="63394BC8" w:rsidRPr="00F75DED" w:rsidRDefault="63394BC8" w:rsidP="00382CEC">
      <w:pPr>
        <w:pStyle w:val="ListParagraph"/>
        <w:ind w:left="1224"/>
        <w:rPr>
          <w:rFonts w:cs="Arial"/>
        </w:rPr>
      </w:pPr>
    </w:p>
    <w:p w14:paraId="437BB1FD" w14:textId="34336D01" w:rsidR="00E60184" w:rsidRDefault="00A77296" w:rsidP="002C4DB1">
      <w:pPr>
        <w:pStyle w:val="ListParagraph"/>
        <w:ind w:left="709" w:hanging="709"/>
        <w:rPr>
          <w:rFonts w:cs="Arial"/>
        </w:rPr>
      </w:pPr>
      <w:r w:rsidRPr="76A4041B">
        <w:rPr>
          <w:rFonts w:cs="Arial"/>
        </w:rPr>
        <w:t xml:space="preserve">2.7 </w:t>
      </w:r>
      <w:r>
        <w:tab/>
      </w:r>
      <w:r w:rsidRPr="76A4041B">
        <w:rPr>
          <w:rFonts w:cs="Arial"/>
        </w:rPr>
        <w:t>In the scenario that the count takes place on a bank holiday</w:t>
      </w:r>
      <w:r w:rsidR="007E5496" w:rsidRPr="76A4041B">
        <w:rPr>
          <w:rFonts w:cs="Arial"/>
        </w:rPr>
        <w:t xml:space="preserve"> (</w:t>
      </w:r>
      <w:r w:rsidR="009A7522" w:rsidRPr="76A4041B">
        <w:rPr>
          <w:rFonts w:cs="Arial"/>
        </w:rPr>
        <w:t xml:space="preserve">i.e. </w:t>
      </w:r>
      <w:r w:rsidR="007E5496" w:rsidRPr="76A4041B">
        <w:rPr>
          <w:rFonts w:cs="Arial"/>
        </w:rPr>
        <w:t>6</w:t>
      </w:r>
      <w:r w:rsidR="009A7522" w:rsidRPr="76A4041B">
        <w:rPr>
          <w:rFonts w:cs="Arial"/>
        </w:rPr>
        <w:t>th</w:t>
      </w:r>
      <w:r w:rsidR="007E5496" w:rsidRPr="76A4041B">
        <w:rPr>
          <w:rFonts w:cs="Arial"/>
        </w:rPr>
        <w:t xml:space="preserve"> May 2024)</w:t>
      </w:r>
      <w:r w:rsidRPr="76A4041B">
        <w:rPr>
          <w:rFonts w:cs="Arial"/>
        </w:rPr>
        <w:t xml:space="preserve">, those staff deployed on the bank holiday may also be entitled to </w:t>
      </w:r>
      <w:r w:rsidR="006302DC" w:rsidRPr="76A4041B">
        <w:rPr>
          <w:rFonts w:cs="Arial"/>
        </w:rPr>
        <w:t>time off in lieu (</w:t>
      </w:r>
      <w:r w:rsidRPr="76A4041B">
        <w:rPr>
          <w:rFonts w:cs="Arial"/>
        </w:rPr>
        <w:t>TOIL</w:t>
      </w:r>
      <w:r w:rsidR="006302DC" w:rsidRPr="76A4041B">
        <w:rPr>
          <w:rFonts w:cs="Arial"/>
        </w:rPr>
        <w:t>)</w:t>
      </w:r>
      <w:r w:rsidRPr="76A4041B">
        <w:rPr>
          <w:rFonts w:cs="Arial"/>
        </w:rPr>
        <w:t xml:space="preserve"> if their </w:t>
      </w:r>
      <w:r w:rsidR="5914CC32" w:rsidRPr="76A4041B">
        <w:rPr>
          <w:rFonts w:cs="Arial"/>
        </w:rPr>
        <w:t>Business-as-Usual</w:t>
      </w:r>
      <w:r w:rsidRPr="76A4041B">
        <w:rPr>
          <w:rFonts w:cs="Arial"/>
        </w:rPr>
        <w:t xml:space="preserve"> role does not require them to work on a bank holiday</w:t>
      </w:r>
      <w:bookmarkStart w:id="0" w:name="_Int_VJyGRseG"/>
      <w:r w:rsidRPr="76A4041B">
        <w:rPr>
          <w:rFonts w:cs="Arial"/>
        </w:rPr>
        <w:t>.</w:t>
      </w:r>
      <w:r w:rsidR="007E5496" w:rsidRPr="76A4041B">
        <w:rPr>
          <w:rFonts w:cs="Arial"/>
        </w:rPr>
        <w:t xml:space="preserve">  </w:t>
      </w:r>
      <w:bookmarkEnd w:id="0"/>
      <w:r w:rsidR="0042625D" w:rsidRPr="76A4041B">
        <w:rPr>
          <w:rFonts w:cs="Arial"/>
        </w:rPr>
        <w:t xml:space="preserve">There is no </w:t>
      </w:r>
      <w:r w:rsidR="007E5496" w:rsidRPr="76A4041B">
        <w:rPr>
          <w:rFonts w:cs="Arial"/>
        </w:rPr>
        <w:t xml:space="preserve">TOIL </w:t>
      </w:r>
      <w:r w:rsidR="0042625D" w:rsidRPr="76A4041B">
        <w:rPr>
          <w:rFonts w:cs="Arial"/>
        </w:rPr>
        <w:t>applicable for</w:t>
      </w:r>
      <w:r w:rsidR="007E5496" w:rsidRPr="76A4041B">
        <w:rPr>
          <w:rFonts w:cs="Arial"/>
        </w:rPr>
        <w:t xml:space="preserve"> any other days. </w:t>
      </w:r>
    </w:p>
    <w:p w14:paraId="25AEC456" w14:textId="77777777" w:rsidR="002C4DB1" w:rsidRDefault="002C4DB1" w:rsidP="002C4DB1">
      <w:pPr>
        <w:pStyle w:val="ListParagraph"/>
        <w:ind w:left="709" w:hanging="709"/>
        <w:rPr>
          <w:rFonts w:cs="Arial"/>
        </w:rPr>
      </w:pPr>
    </w:p>
    <w:p w14:paraId="44A20865" w14:textId="77777777" w:rsidR="009C1C38" w:rsidRPr="00F75DED" w:rsidRDefault="009C1C38" w:rsidP="002C4DB1">
      <w:pPr>
        <w:pStyle w:val="ListParagraph"/>
        <w:ind w:left="709" w:hanging="709"/>
        <w:rPr>
          <w:rFonts w:cs="Arial"/>
        </w:rPr>
      </w:pPr>
    </w:p>
    <w:p w14:paraId="43307330" w14:textId="77777777" w:rsidR="00CC093D" w:rsidRPr="00F75DED" w:rsidRDefault="00CC093D" w:rsidP="00CC093D">
      <w:pPr>
        <w:pStyle w:val="ListParagraph"/>
        <w:numPr>
          <w:ilvl w:val="0"/>
          <w:numId w:val="1"/>
        </w:numPr>
        <w:rPr>
          <w:rFonts w:cs="Arial"/>
          <w:b/>
        </w:rPr>
      </w:pPr>
      <w:bookmarkStart w:id="1" w:name="_Hlk161144664"/>
      <w:r w:rsidRPr="00F75DED">
        <w:rPr>
          <w:rFonts w:cs="Arial"/>
          <w:b/>
        </w:rPr>
        <w:t xml:space="preserve">Payments </w:t>
      </w:r>
    </w:p>
    <w:bookmarkEnd w:id="1"/>
    <w:p w14:paraId="1E3DD6DE" w14:textId="4568BD2B" w:rsidR="00723D3F" w:rsidRPr="00F75DED" w:rsidRDefault="00723D3F" w:rsidP="00723D3F">
      <w:pPr>
        <w:pStyle w:val="ListParagraph"/>
        <w:ind w:left="709"/>
        <w:rPr>
          <w:rFonts w:cs="Arial"/>
        </w:rPr>
      </w:pPr>
    </w:p>
    <w:p w14:paraId="5027D8C0" w14:textId="15782AEA" w:rsidR="007E5496" w:rsidRDefault="00CC093D" w:rsidP="007E5496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bookmarkStart w:id="2" w:name="_Hlk161144677"/>
      <w:r w:rsidRPr="76A4041B">
        <w:rPr>
          <w:rFonts w:cs="Arial"/>
        </w:rPr>
        <w:t xml:space="preserve">The fees </w:t>
      </w:r>
      <w:r w:rsidR="006302DC" w:rsidRPr="76A4041B">
        <w:rPr>
          <w:rFonts w:cs="Arial"/>
        </w:rPr>
        <w:t xml:space="preserve">are </w:t>
      </w:r>
      <w:r w:rsidRPr="76A4041B">
        <w:rPr>
          <w:rFonts w:cs="Arial"/>
        </w:rPr>
        <w:t xml:space="preserve">a flat </w:t>
      </w:r>
      <w:r w:rsidR="001976F1">
        <w:rPr>
          <w:rFonts w:cs="Arial"/>
        </w:rPr>
        <w:t>rate</w:t>
      </w:r>
      <w:r w:rsidRPr="76A4041B">
        <w:rPr>
          <w:rFonts w:cs="Arial"/>
        </w:rPr>
        <w:t xml:space="preserve"> rather than </w:t>
      </w:r>
      <w:r w:rsidR="0088411D" w:rsidRPr="76A4041B">
        <w:rPr>
          <w:rFonts w:cs="Arial"/>
        </w:rPr>
        <w:t xml:space="preserve">an </w:t>
      </w:r>
      <w:r w:rsidRPr="76A4041B">
        <w:rPr>
          <w:rFonts w:cs="Arial"/>
        </w:rPr>
        <w:t xml:space="preserve">hourly rate as this is cleaner to process through </w:t>
      </w:r>
      <w:r w:rsidR="584FED17" w:rsidRPr="76A4041B">
        <w:rPr>
          <w:rFonts w:cs="Arial"/>
        </w:rPr>
        <w:t>payroll and</w:t>
      </w:r>
      <w:r w:rsidRPr="76A4041B">
        <w:rPr>
          <w:rFonts w:cs="Arial"/>
        </w:rPr>
        <w:t xml:space="preserve"> avoids the need to log hours.</w:t>
      </w:r>
    </w:p>
    <w:bookmarkEnd w:id="2"/>
    <w:p w14:paraId="043359FC" w14:textId="77777777" w:rsidR="007E5496" w:rsidRDefault="007E5496" w:rsidP="007E5496">
      <w:pPr>
        <w:pStyle w:val="ListParagraph"/>
        <w:ind w:left="709"/>
        <w:rPr>
          <w:rFonts w:cs="Arial"/>
        </w:rPr>
      </w:pPr>
    </w:p>
    <w:p w14:paraId="0FBB5215" w14:textId="2A9BADC7" w:rsidR="007E5496" w:rsidRPr="007E5496" w:rsidRDefault="007E5496" w:rsidP="007E5496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007E5496">
        <w:rPr>
          <w:rFonts w:cs="Arial"/>
        </w:rPr>
        <w:t>Fees are payable per day</w:t>
      </w:r>
      <w:r>
        <w:rPr>
          <w:rFonts w:cs="Arial"/>
        </w:rPr>
        <w:t>.</w:t>
      </w:r>
      <w:r w:rsidRPr="007E5496">
        <w:rPr>
          <w:rFonts w:cs="Arial"/>
        </w:rPr>
        <w:t xml:space="preserve"> </w:t>
      </w:r>
    </w:p>
    <w:p w14:paraId="5E2DB77A" w14:textId="77777777" w:rsidR="00E91517" w:rsidRPr="00F75DED" w:rsidRDefault="00E91517" w:rsidP="00E91517">
      <w:pPr>
        <w:pStyle w:val="ListParagraph"/>
        <w:ind w:left="709"/>
        <w:rPr>
          <w:rFonts w:cs="Arial"/>
        </w:rPr>
      </w:pPr>
    </w:p>
    <w:p w14:paraId="26C62578" w14:textId="77777777" w:rsidR="00E91517" w:rsidRPr="00F75DED" w:rsidRDefault="0088411D" w:rsidP="00E91517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00F75DED">
        <w:rPr>
          <w:rFonts w:cs="Arial"/>
        </w:rPr>
        <w:t>Staff will be informed of their fee, if eligible, in advance of their deployment.</w:t>
      </w:r>
    </w:p>
    <w:p w14:paraId="1A983979" w14:textId="77777777" w:rsidR="00E91517" w:rsidRPr="00F75DED" w:rsidRDefault="00E91517" w:rsidP="00E91517">
      <w:pPr>
        <w:pStyle w:val="ListParagraph"/>
        <w:rPr>
          <w:rFonts w:cs="Arial"/>
        </w:rPr>
      </w:pPr>
    </w:p>
    <w:p w14:paraId="30703BA7" w14:textId="7DD32DD6" w:rsidR="00382CEC" w:rsidRPr="00F75DED" w:rsidRDefault="00382CEC" w:rsidP="00E91517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00F75DED">
        <w:rPr>
          <w:rFonts w:cs="Arial"/>
        </w:rPr>
        <w:t xml:space="preserve">Staff will be informed </w:t>
      </w:r>
      <w:r w:rsidR="00211003">
        <w:rPr>
          <w:rFonts w:cs="Arial"/>
        </w:rPr>
        <w:t xml:space="preserve">to whom </w:t>
      </w:r>
      <w:r w:rsidRPr="00F75DED">
        <w:rPr>
          <w:rFonts w:cs="Arial"/>
        </w:rPr>
        <w:t xml:space="preserve">they should report for their activity, </w:t>
      </w:r>
      <w:r w:rsidR="00C37B85">
        <w:rPr>
          <w:rFonts w:cs="Arial"/>
        </w:rPr>
        <w:t>to ensure</w:t>
      </w:r>
      <w:r w:rsidRPr="00F75DED">
        <w:rPr>
          <w:rFonts w:cs="Arial"/>
        </w:rPr>
        <w:t xml:space="preserve"> their attendance </w:t>
      </w:r>
      <w:r w:rsidR="00C37B85">
        <w:rPr>
          <w:rFonts w:cs="Arial"/>
        </w:rPr>
        <w:t xml:space="preserve">can be </w:t>
      </w:r>
      <w:r w:rsidRPr="00F75DED">
        <w:rPr>
          <w:rFonts w:cs="Arial"/>
        </w:rPr>
        <w:t>confirmed to payroll in advance of payment.</w:t>
      </w:r>
    </w:p>
    <w:p w14:paraId="47217D08" w14:textId="77777777" w:rsidR="00382CEC" w:rsidRPr="00F75DED" w:rsidRDefault="00382CEC" w:rsidP="00382CEC">
      <w:pPr>
        <w:rPr>
          <w:rFonts w:cs="Arial"/>
        </w:rPr>
      </w:pPr>
    </w:p>
    <w:p w14:paraId="1EADD3DC" w14:textId="570BE477" w:rsidR="007E5496" w:rsidRDefault="00CC093D" w:rsidP="007E5496">
      <w:pPr>
        <w:pStyle w:val="ListParagraph"/>
        <w:numPr>
          <w:ilvl w:val="1"/>
          <w:numId w:val="1"/>
        </w:numPr>
        <w:ind w:left="709" w:hanging="709"/>
        <w:rPr>
          <w:rFonts w:cs="Arial"/>
        </w:rPr>
      </w:pPr>
      <w:r w:rsidRPr="14CEA2A5">
        <w:rPr>
          <w:rFonts w:cs="Arial"/>
        </w:rPr>
        <w:t xml:space="preserve">Payment of the fee </w:t>
      </w:r>
      <w:r w:rsidR="00C37B85" w:rsidRPr="14CEA2A5">
        <w:rPr>
          <w:rFonts w:cs="Arial"/>
        </w:rPr>
        <w:t xml:space="preserve">is expected to </w:t>
      </w:r>
      <w:r w:rsidR="00723D3F" w:rsidRPr="14CEA2A5">
        <w:rPr>
          <w:rFonts w:cs="Arial"/>
        </w:rPr>
        <w:t>be made in the June 202</w:t>
      </w:r>
      <w:r w:rsidR="00BA047F" w:rsidRPr="14CEA2A5">
        <w:rPr>
          <w:rFonts w:cs="Arial"/>
        </w:rPr>
        <w:t>4</w:t>
      </w:r>
      <w:r w:rsidR="00B342BE" w:rsidRPr="14CEA2A5">
        <w:rPr>
          <w:rFonts w:cs="Arial"/>
        </w:rPr>
        <w:t xml:space="preserve"> </w:t>
      </w:r>
      <w:r w:rsidR="00723D3F" w:rsidRPr="14CEA2A5">
        <w:rPr>
          <w:rFonts w:cs="Arial"/>
        </w:rPr>
        <w:t>pay</w:t>
      </w:r>
      <w:r w:rsidR="00A30850">
        <w:rPr>
          <w:rFonts w:cs="Arial"/>
        </w:rPr>
        <w:t>roll</w:t>
      </w:r>
      <w:r w:rsidR="00723D3F" w:rsidRPr="14CEA2A5">
        <w:rPr>
          <w:rFonts w:cs="Arial"/>
        </w:rPr>
        <w:t>.</w:t>
      </w:r>
    </w:p>
    <w:p w14:paraId="6F374759" w14:textId="6B85C288" w:rsidR="00E60184" w:rsidRDefault="00E60184" w:rsidP="00DA232C">
      <w:pPr>
        <w:rPr>
          <w:rFonts w:cs="Arial"/>
        </w:rPr>
      </w:pPr>
    </w:p>
    <w:p w14:paraId="1F2371B8" w14:textId="77777777" w:rsidR="00D34B0E" w:rsidRDefault="00D34B0E" w:rsidP="00DA232C">
      <w:pPr>
        <w:rPr>
          <w:rFonts w:cs="Arial"/>
        </w:rPr>
      </w:pPr>
    </w:p>
    <w:p w14:paraId="3FBABDF8" w14:textId="03CCFA8A" w:rsidR="00D34B0E" w:rsidRPr="00F75DED" w:rsidRDefault="00D34B0E" w:rsidP="00D34B0E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Expenses</w:t>
      </w:r>
      <w:r w:rsidRPr="00F75DED">
        <w:rPr>
          <w:rFonts w:cs="Arial"/>
          <w:b/>
        </w:rPr>
        <w:t xml:space="preserve"> </w:t>
      </w:r>
    </w:p>
    <w:p w14:paraId="3F915587" w14:textId="77777777" w:rsidR="00C9481C" w:rsidRDefault="00C9481C" w:rsidP="00DA232C">
      <w:pPr>
        <w:rPr>
          <w:rFonts w:cs="Arial"/>
        </w:rPr>
      </w:pPr>
    </w:p>
    <w:p w14:paraId="7E4CD92D" w14:textId="69B5E464" w:rsidR="00C9481C" w:rsidRDefault="004B42FB" w:rsidP="004B42FB">
      <w:pPr>
        <w:ind w:left="709" w:hanging="709"/>
        <w:rPr>
          <w:rFonts w:cs="Arial"/>
        </w:rPr>
      </w:pPr>
      <w:r>
        <w:rPr>
          <w:rFonts w:cs="Arial"/>
        </w:rPr>
        <w:t>4</w:t>
      </w:r>
      <w:r w:rsidR="00D34B0E" w:rsidRPr="00D34B0E">
        <w:rPr>
          <w:rFonts w:cs="Arial"/>
        </w:rPr>
        <w:t>.1.</w:t>
      </w:r>
      <w:r w:rsidR="00D34B0E">
        <w:tab/>
      </w:r>
      <w:r w:rsidR="00D34B0E" w:rsidRPr="00D34B0E">
        <w:rPr>
          <w:rFonts w:cs="Arial"/>
        </w:rPr>
        <w:t xml:space="preserve">The GLA Expenses and Benefits Framework applies to any expenses incurred relating to elections activity, and approval should be sought in line with the </w:t>
      </w:r>
      <w:r w:rsidR="004A146B">
        <w:rPr>
          <w:rFonts w:cs="Arial"/>
        </w:rPr>
        <w:t>f</w:t>
      </w:r>
      <w:r w:rsidR="00D34B0E" w:rsidRPr="00D34B0E">
        <w:rPr>
          <w:rFonts w:cs="Arial"/>
        </w:rPr>
        <w:t>ramework.</w:t>
      </w:r>
    </w:p>
    <w:p w14:paraId="2CE23BD6" w14:textId="77777777" w:rsidR="00C9481C" w:rsidRDefault="00C9481C" w:rsidP="00DA232C">
      <w:pPr>
        <w:rPr>
          <w:rFonts w:cs="Arial"/>
        </w:rPr>
      </w:pPr>
    </w:p>
    <w:p w14:paraId="6B38924F" w14:textId="77777777" w:rsidR="00C9481C" w:rsidRDefault="00C9481C" w:rsidP="00DA232C">
      <w:pPr>
        <w:rPr>
          <w:rFonts w:cs="Arial"/>
        </w:rPr>
      </w:pPr>
    </w:p>
    <w:p w14:paraId="043F0EE5" w14:textId="77777777" w:rsidR="00C9481C" w:rsidRDefault="00C9481C" w:rsidP="00DA232C">
      <w:pPr>
        <w:rPr>
          <w:rFonts w:cs="Arial"/>
        </w:rPr>
      </w:pPr>
    </w:p>
    <w:p w14:paraId="47F34317" w14:textId="77777777" w:rsidR="00C9481C" w:rsidRDefault="00C9481C" w:rsidP="00DA232C">
      <w:pPr>
        <w:rPr>
          <w:rFonts w:cs="Arial"/>
        </w:rPr>
      </w:pPr>
    </w:p>
    <w:p w14:paraId="6EA79EDF" w14:textId="77777777" w:rsidR="00C9481C" w:rsidRDefault="00C9481C" w:rsidP="00DA232C">
      <w:pPr>
        <w:rPr>
          <w:rFonts w:cs="Arial"/>
        </w:rPr>
      </w:pPr>
    </w:p>
    <w:p w14:paraId="0B44F154" w14:textId="77777777" w:rsidR="00C9481C" w:rsidRDefault="00C9481C" w:rsidP="00DA232C">
      <w:pPr>
        <w:rPr>
          <w:rFonts w:cs="Arial"/>
        </w:rPr>
      </w:pPr>
    </w:p>
    <w:p w14:paraId="0408291E" w14:textId="77777777" w:rsidR="00D34B0E" w:rsidRDefault="00D34B0E" w:rsidP="6B72F015">
      <w:pPr>
        <w:pStyle w:val="ListParagraph"/>
        <w:ind w:left="0"/>
        <w:rPr>
          <w:rFonts w:cs="Arial"/>
        </w:rPr>
      </w:pPr>
    </w:p>
    <w:p w14:paraId="0FAA6007" w14:textId="04DCB77C" w:rsidR="008B63C5" w:rsidRPr="00F75DED" w:rsidRDefault="00E60184" w:rsidP="008B63C5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F75DED">
        <w:rPr>
          <w:rFonts w:cs="Arial"/>
          <w:b/>
        </w:rPr>
        <w:t>Scale of Fees:</w:t>
      </w:r>
    </w:p>
    <w:p w14:paraId="78631F9C" w14:textId="77777777" w:rsidR="00BA4A75" w:rsidRPr="00F75DED" w:rsidRDefault="00BA4A75" w:rsidP="008B63C5">
      <w:pPr>
        <w:rPr>
          <w:rFonts w:cs="Arial"/>
        </w:rPr>
      </w:pPr>
    </w:p>
    <w:tbl>
      <w:tblPr>
        <w:tblStyle w:val="TableGrid"/>
        <w:tblW w:w="89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55"/>
        <w:gridCol w:w="1276"/>
        <w:gridCol w:w="5161"/>
        <w:gridCol w:w="1134"/>
      </w:tblGrid>
      <w:tr w:rsidR="0005377B" w:rsidRPr="00F75DED" w14:paraId="66B6CC28" w14:textId="35FE884D" w:rsidTr="00FB7A12">
        <w:tc>
          <w:tcPr>
            <w:tcW w:w="1355" w:type="dxa"/>
          </w:tcPr>
          <w:p w14:paraId="0C965C9E" w14:textId="6C584E37" w:rsidR="0005377B" w:rsidRPr="00F75DED" w:rsidRDefault="0005377B" w:rsidP="008B63C5">
            <w:pPr>
              <w:rPr>
                <w:rFonts w:cs="Arial"/>
                <w:b/>
              </w:rPr>
            </w:pPr>
            <w:r w:rsidRPr="00F75DED">
              <w:rPr>
                <w:rFonts w:cs="Arial"/>
                <w:b/>
              </w:rPr>
              <w:t>Fee</w:t>
            </w:r>
          </w:p>
        </w:tc>
        <w:tc>
          <w:tcPr>
            <w:tcW w:w="1276" w:type="dxa"/>
          </w:tcPr>
          <w:p w14:paraId="15EEC410" w14:textId="4DE4D3DF" w:rsidR="0005377B" w:rsidRPr="00F75DED" w:rsidRDefault="0005377B" w:rsidP="008B63C5">
            <w:pPr>
              <w:rPr>
                <w:rFonts w:cs="Arial"/>
                <w:b/>
              </w:rPr>
            </w:pPr>
            <w:bookmarkStart w:id="3" w:name="_Int_LWpIAZ2s"/>
            <w:r w:rsidRPr="00F75DED">
              <w:rPr>
                <w:rFonts w:cs="Arial"/>
                <w:b/>
              </w:rPr>
              <w:t>Sub category</w:t>
            </w:r>
            <w:bookmarkEnd w:id="3"/>
          </w:p>
        </w:tc>
        <w:tc>
          <w:tcPr>
            <w:tcW w:w="5161" w:type="dxa"/>
          </w:tcPr>
          <w:p w14:paraId="7F6BC707" w14:textId="0F499BE8" w:rsidR="0005377B" w:rsidRPr="00F75DED" w:rsidRDefault="0005377B" w:rsidP="008B63C5">
            <w:pPr>
              <w:rPr>
                <w:rFonts w:cs="Arial"/>
                <w:b/>
              </w:rPr>
            </w:pPr>
            <w:r w:rsidRPr="00F75DED">
              <w:rPr>
                <w:rFonts w:cs="Arial"/>
                <w:b/>
              </w:rPr>
              <w:t>In recognition of:</w:t>
            </w:r>
          </w:p>
        </w:tc>
        <w:tc>
          <w:tcPr>
            <w:tcW w:w="1134" w:type="dxa"/>
          </w:tcPr>
          <w:p w14:paraId="64BF4922" w14:textId="309EAFC7" w:rsidR="0005377B" w:rsidRPr="00F75DED" w:rsidRDefault="0005377B" w:rsidP="008B63C5">
            <w:pPr>
              <w:rPr>
                <w:rFonts w:cs="Arial"/>
                <w:b/>
              </w:rPr>
            </w:pPr>
            <w:r w:rsidRPr="00F75DED">
              <w:rPr>
                <w:rFonts w:cs="Arial"/>
                <w:b/>
              </w:rPr>
              <w:t>Amount</w:t>
            </w:r>
            <w:r>
              <w:rPr>
                <w:rFonts w:cs="Arial"/>
                <w:b/>
              </w:rPr>
              <w:t xml:space="preserve"> per day </w:t>
            </w:r>
          </w:p>
        </w:tc>
      </w:tr>
      <w:tr w:rsidR="0005377B" w:rsidRPr="00F75DED" w14:paraId="73459911" w14:textId="48EAF6B2" w:rsidTr="00FB7A12">
        <w:tc>
          <w:tcPr>
            <w:tcW w:w="1355" w:type="dxa"/>
            <w:vMerge w:val="restart"/>
          </w:tcPr>
          <w:p w14:paraId="0DC312CB" w14:textId="78D4D071" w:rsidR="0005377B" w:rsidRPr="00F75DED" w:rsidRDefault="0005377B" w:rsidP="008B63C5">
            <w:pPr>
              <w:rPr>
                <w:rFonts w:cs="Arial"/>
                <w:b/>
              </w:rPr>
            </w:pPr>
            <w:r w:rsidRPr="00F75DED">
              <w:rPr>
                <w:rFonts w:cs="Arial"/>
                <w:b/>
              </w:rPr>
              <w:t>FEE 1 Count Day Operations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4DE57CD" w14:textId="181FC97E" w:rsidR="0005377B" w:rsidRPr="00F75DED" w:rsidRDefault="0005377B" w:rsidP="63394BC8">
            <w:pPr>
              <w:rPr>
                <w:rFonts w:cs="Arial"/>
              </w:rPr>
            </w:pPr>
            <w:r w:rsidRPr="00F75DED">
              <w:rPr>
                <w:rFonts w:cs="Arial"/>
              </w:rPr>
              <w:t>FEE 1 A</w:t>
            </w:r>
          </w:p>
        </w:tc>
        <w:tc>
          <w:tcPr>
            <w:tcW w:w="5161" w:type="dxa"/>
            <w:shd w:val="clear" w:color="auto" w:fill="D9D9D9" w:themeFill="background1" w:themeFillShade="D9"/>
          </w:tcPr>
          <w:p w14:paraId="0FB4BDAE" w14:textId="7CF177E4" w:rsidR="0005377B" w:rsidRPr="00F75DED" w:rsidRDefault="0005377B" w:rsidP="00382CEC">
            <w:pPr>
              <w:rPr>
                <w:rFonts w:cs="Arial"/>
              </w:rPr>
            </w:pPr>
            <w:r w:rsidRPr="00F75DED">
              <w:rPr>
                <w:rFonts w:cs="Arial"/>
              </w:rPr>
              <w:t>To recognise pe</w:t>
            </w:r>
            <w:r w:rsidR="00264871">
              <w:rPr>
                <w:rFonts w:cs="Arial"/>
              </w:rPr>
              <w:t xml:space="preserve">ople </w:t>
            </w:r>
            <w:r w:rsidRPr="00F75DED">
              <w:rPr>
                <w:rFonts w:cs="Arial"/>
              </w:rPr>
              <w:t xml:space="preserve">deployed in a role which </w:t>
            </w:r>
            <w:r w:rsidRPr="00D35AAA">
              <w:rPr>
                <w:rFonts w:cs="Arial"/>
                <w:b/>
                <w:bCs/>
              </w:rPr>
              <w:t>supports</w:t>
            </w:r>
            <w:r w:rsidRPr="00F75DED">
              <w:rPr>
                <w:rFonts w:cs="Arial"/>
              </w:rPr>
              <w:t xml:space="preserve"> the operation of the election at a count </w:t>
            </w:r>
            <w:r w:rsidR="00A30850">
              <w:rPr>
                <w:rFonts w:cs="Arial"/>
              </w:rPr>
              <w:t>venue</w:t>
            </w:r>
            <w:r w:rsidRPr="00F75DED">
              <w:rPr>
                <w:rFonts w:cs="Arial"/>
              </w:rPr>
              <w:t xml:space="preserve"> or the operation of the count hub at City Hall. </w:t>
            </w:r>
          </w:p>
        </w:tc>
        <w:tc>
          <w:tcPr>
            <w:tcW w:w="1134" w:type="dxa"/>
          </w:tcPr>
          <w:p w14:paraId="23DD7E13" w14:textId="472D151E" w:rsidR="0005377B" w:rsidRPr="0005377B" w:rsidRDefault="0005377B" w:rsidP="008B63C5">
            <w:pPr>
              <w:rPr>
                <w:rFonts w:cs="Arial"/>
              </w:rPr>
            </w:pPr>
            <w:r w:rsidRPr="00F75DED">
              <w:rPr>
                <w:rFonts w:cs="Arial"/>
              </w:rPr>
              <w:t>£2</w:t>
            </w:r>
            <w:r>
              <w:rPr>
                <w:rFonts w:cs="Arial"/>
              </w:rPr>
              <w:t>75</w:t>
            </w:r>
            <w:r w:rsidRPr="707BA960">
              <w:rPr>
                <w:rFonts w:cs="Arial"/>
              </w:rPr>
              <w:t xml:space="preserve"> </w:t>
            </w:r>
          </w:p>
        </w:tc>
      </w:tr>
      <w:tr w:rsidR="0005377B" w:rsidRPr="00F75DED" w14:paraId="64852C80" w14:textId="3C0145C5" w:rsidTr="00FB7A12">
        <w:tc>
          <w:tcPr>
            <w:tcW w:w="1355" w:type="dxa"/>
            <w:vMerge/>
          </w:tcPr>
          <w:p w14:paraId="50FB9CAA" w14:textId="77777777" w:rsidR="0005377B" w:rsidRPr="00F75DED" w:rsidRDefault="0005377B" w:rsidP="008B63C5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5FB5F7CD" w14:textId="3ACDBAFA" w:rsidR="0005377B" w:rsidRPr="00F75DED" w:rsidRDefault="0005377B" w:rsidP="707BA960">
            <w:pPr>
              <w:spacing w:line="259" w:lineRule="auto"/>
              <w:rPr>
                <w:rFonts w:cs="Arial"/>
              </w:rPr>
            </w:pPr>
            <w:r w:rsidRPr="707BA960">
              <w:rPr>
                <w:rFonts w:cs="Arial"/>
              </w:rPr>
              <w:t xml:space="preserve">A guide to the types of </w:t>
            </w:r>
            <w:r w:rsidR="00CE2160">
              <w:rPr>
                <w:rFonts w:cs="Arial"/>
              </w:rPr>
              <w:t xml:space="preserve">eligible </w:t>
            </w:r>
            <w:r w:rsidRPr="707BA960">
              <w:rPr>
                <w:rFonts w:cs="Arial"/>
              </w:rPr>
              <w:t>roles</w:t>
            </w:r>
          </w:p>
        </w:tc>
        <w:tc>
          <w:tcPr>
            <w:tcW w:w="5161" w:type="dxa"/>
          </w:tcPr>
          <w:p w14:paraId="07F11ECB" w14:textId="182A9386" w:rsidR="0005377B" w:rsidRPr="00E731AF" w:rsidRDefault="0005377B" w:rsidP="00E731AF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 w:rsidRPr="00E731AF">
              <w:rPr>
                <w:rFonts w:cs="Arial"/>
              </w:rPr>
              <w:t>ExCel reception team</w:t>
            </w:r>
          </w:p>
          <w:p w14:paraId="5A1C0E3A" w14:textId="77777777" w:rsidR="0005377B" w:rsidRDefault="0005377B" w:rsidP="00E731AF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 w:rsidRPr="00E731AF">
              <w:rPr>
                <w:rFonts w:cs="Arial"/>
              </w:rPr>
              <w:t xml:space="preserve">Support to the </w:t>
            </w:r>
            <w:bookmarkStart w:id="4" w:name="_Int_4FnE4x7E"/>
            <w:r w:rsidRPr="00E731AF">
              <w:rPr>
                <w:rFonts w:cs="Arial"/>
              </w:rPr>
              <w:t>GLROs</w:t>
            </w:r>
            <w:bookmarkEnd w:id="4"/>
            <w:r w:rsidRPr="00E731AF">
              <w:rPr>
                <w:rFonts w:cs="Arial"/>
              </w:rPr>
              <w:t xml:space="preserve"> lead officers at the 14 count venues</w:t>
            </w:r>
          </w:p>
          <w:p w14:paraId="46C7BF50" w14:textId="77777777" w:rsidR="0005377B" w:rsidRDefault="0005377B" w:rsidP="008B63C5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>
              <w:rPr>
                <w:rFonts w:cs="Arial"/>
              </w:rPr>
              <w:t>City Hall stewards</w:t>
            </w:r>
          </w:p>
          <w:p w14:paraId="62F06FB4" w14:textId="5992A423" w:rsidR="00535415" w:rsidRPr="009A044C" w:rsidRDefault="0024507C" w:rsidP="009A044C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 w:rsidRPr="0024507C">
              <w:rPr>
                <w:rFonts w:cs="Arial"/>
              </w:rPr>
              <w:t>Those roles not already covered by overtime or other contractual conditions</w:t>
            </w:r>
            <w:r w:rsidR="00535415">
              <w:rPr>
                <w:rFonts w:cs="Arial"/>
              </w:rPr>
              <w:t>,</w:t>
            </w:r>
            <w:r w:rsidRPr="0024507C">
              <w:rPr>
                <w:rFonts w:cs="Arial"/>
              </w:rPr>
              <w:t xml:space="preserve"> which may apply to FM, TG, media support, press, social media/digital</w:t>
            </w:r>
            <w:r w:rsidR="00535415">
              <w:rPr>
                <w:rFonts w:cs="Arial"/>
              </w:rPr>
              <w:t>.</w:t>
            </w:r>
          </w:p>
        </w:tc>
        <w:tc>
          <w:tcPr>
            <w:tcW w:w="1134" w:type="dxa"/>
          </w:tcPr>
          <w:p w14:paraId="3CFA2C60" w14:textId="77777777" w:rsidR="0005377B" w:rsidRPr="00F75DED" w:rsidRDefault="0005377B" w:rsidP="008B63C5">
            <w:pPr>
              <w:rPr>
                <w:rFonts w:cs="Arial"/>
              </w:rPr>
            </w:pPr>
          </w:p>
        </w:tc>
      </w:tr>
      <w:tr w:rsidR="0005377B" w:rsidRPr="00F75DED" w14:paraId="6C23D687" w14:textId="4BE728C4" w:rsidTr="00FB7A12">
        <w:tc>
          <w:tcPr>
            <w:tcW w:w="1355" w:type="dxa"/>
            <w:vMerge/>
          </w:tcPr>
          <w:p w14:paraId="500E10F8" w14:textId="21BC2AA4" w:rsidR="0005377B" w:rsidRPr="00F75DED" w:rsidRDefault="0005377B" w:rsidP="008B63C5">
            <w:pPr>
              <w:rPr>
                <w:rFonts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D810BA1" w14:textId="0FDD769E" w:rsidR="0005377B" w:rsidRPr="00F75DED" w:rsidRDefault="0005377B" w:rsidP="008B63C5">
            <w:pPr>
              <w:rPr>
                <w:rFonts w:cs="Arial"/>
              </w:rPr>
            </w:pPr>
            <w:r w:rsidRPr="00F75DED">
              <w:rPr>
                <w:rFonts w:cs="Arial"/>
              </w:rPr>
              <w:t>FEE 1 B</w:t>
            </w:r>
          </w:p>
        </w:tc>
        <w:tc>
          <w:tcPr>
            <w:tcW w:w="5161" w:type="dxa"/>
            <w:shd w:val="clear" w:color="auto" w:fill="D9D9D9" w:themeFill="background1" w:themeFillShade="D9"/>
          </w:tcPr>
          <w:p w14:paraId="46ADEB4F" w14:textId="098B5B54" w:rsidR="0005377B" w:rsidRPr="00F75DED" w:rsidRDefault="0005377B" w:rsidP="008B63C5">
            <w:pPr>
              <w:rPr>
                <w:rFonts w:cs="Arial"/>
                <w:i/>
              </w:rPr>
            </w:pPr>
            <w:r w:rsidRPr="00F75DED">
              <w:rPr>
                <w:rFonts w:cs="Arial"/>
              </w:rPr>
              <w:t>To recognise pe</w:t>
            </w:r>
            <w:r w:rsidR="00264871">
              <w:rPr>
                <w:rFonts w:cs="Arial"/>
              </w:rPr>
              <w:t>ople</w:t>
            </w:r>
            <w:r w:rsidRPr="00F75DED">
              <w:rPr>
                <w:rFonts w:cs="Arial"/>
              </w:rPr>
              <w:t xml:space="preserve"> deployed in a </w:t>
            </w:r>
            <w:r w:rsidRPr="00D35AAA">
              <w:rPr>
                <w:rFonts w:cs="Arial"/>
                <w:b/>
                <w:bCs/>
              </w:rPr>
              <w:t>senior</w:t>
            </w:r>
            <w:r w:rsidRPr="00F75DED">
              <w:rPr>
                <w:rFonts w:cs="Arial"/>
              </w:rPr>
              <w:t xml:space="preserve"> role at a count </w:t>
            </w:r>
            <w:r w:rsidR="00154202">
              <w:rPr>
                <w:rFonts w:cs="Arial"/>
              </w:rPr>
              <w:t>venue</w:t>
            </w:r>
            <w:r w:rsidRPr="00F75DED">
              <w:rPr>
                <w:rFonts w:cs="Arial"/>
              </w:rPr>
              <w:t xml:space="preserve"> or the count hub at City Hall.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134" w:type="dxa"/>
          </w:tcPr>
          <w:p w14:paraId="19292126" w14:textId="52C428EA" w:rsidR="0005377B" w:rsidRPr="0005377B" w:rsidRDefault="0005377B" w:rsidP="008B63C5">
            <w:pPr>
              <w:rPr>
                <w:rFonts w:cs="Arial"/>
              </w:rPr>
            </w:pPr>
            <w:r w:rsidRPr="00F75DED">
              <w:rPr>
                <w:rFonts w:cs="Arial"/>
              </w:rPr>
              <w:t>£3</w:t>
            </w:r>
            <w:r>
              <w:rPr>
                <w:rFonts w:cs="Arial"/>
              </w:rPr>
              <w:t>85</w:t>
            </w:r>
          </w:p>
        </w:tc>
      </w:tr>
      <w:tr w:rsidR="0005377B" w:rsidRPr="00F75DED" w14:paraId="13F460FB" w14:textId="466D0786" w:rsidTr="00FB7A12">
        <w:tc>
          <w:tcPr>
            <w:tcW w:w="1355" w:type="dxa"/>
            <w:vMerge/>
          </w:tcPr>
          <w:p w14:paraId="74E21036" w14:textId="77777777" w:rsidR="0005377B" w:rsidRPr="00F75DED" w:rsidRDefault="0005377B" w:rsidP="008B63C5">
            <w:pPr>
              <w:rPr>
                <w:rFonts w:cs="Arial"/>
                <w:b/>
              </w:rPr>
            </w:pPr>
          </w:p>
        </w:tc>
        <w:tc>
          <w:tcPr>
            <w:tcW w:w="1276" w:type="dxa"/>
          </w:tcPr>
          <w:p w14:paraId="1F94EE6B" w14:textId="2E4A43A1" w:rsidR="0005377B" w:rsidRPr="00F75DED" w:rsidRDefault="0005377B" w:rsidP="004A46F6">
            <w:pPr>
              <w:rPr>
                <w:rFonts w:cs="Arial"/>
              </w:rPr>
            </w:pPr>
            <w:r w:rsidRPr="707BA960">
              <w:rPr>
                <w:rFonts w:cs="Arial"/>
              </w:rPr>
              <w:t xml:space="preserve">A guide to the types of </w:t>
            </w:r>
            <w:r w:rsidR="00CE2160">
              <w:rPr>
                <w:rFonts w:cs="Arial"/>
              </w:rPr>
              <w:t xml:space="preserve">eligible </w:t>
            </w:r>
            <w:r w:rsidRPr="707BA960">
              <w:rPr>
                <w:rFonts w:cs="Arial"/>
              </w:rPr>
              <w:t xml:space="preserve">roles  </w:t>
            </w:r>
          </w:p>
        </w:tc>
        <w:tc>
          <w:tcPr>
            <w:tcW w:w="5161" w:type="dxa"/>
          </w:tcPr>
          <w:p w14:paraId="3D84ABC6" w14:textId="1DD21DFC" w:rsidR="0005377B" w:rsidRPr="00E731AF" w:rsidRDefault="0005377B" w:rsidP="00E731AF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E731AF">
              <w:rPr>
                <w:rFonts w:cs="Arial"/>
              </w:rPr>
              <w:t xml:space="preserve">GLRO’s lead </w:t>
            </w:r>
            <w:r w:rsidRPr="707BA960">
              <w:rPr>
                <w:rFonts w:cs="Arial"/>
              </w:rPr>
              <w:t xml:space="preserve">‘eyes and ears’ </w:t>
            </w:r>
            <w:r w:rsidRPr="00E731AF">
              <w:rPr>
                <w:rFonts w:cs="Arial"/>
              </w:rPr>
              <w:t>officers at the 14 count venues</w:t>
            </w:r>
          </w:p>
          <w:p w14:paraId="5DFAA224" w14:textId="138B2BEB" w:rsidR="0005377B" w:rsidRDefault="0005377B" w:rsidP="61633655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Senior </w:t>
            </w:r>
            <w:r w:rsidR="0024507C">
              <w:rPr>
                <w:rFonts w:cs="Arial"/>
              </w:rPr>
              <w:t>officer</w:t>
            </w:r>
            <w:r>
              <w:rPr>
                <w:rFonts w:cs="Arial"/>
              </w:rPr>
              <w:t xml:space="preserve"> </w:t>
            </w:r>
            <w:r w:rsidR="0024507C">
              <w:rPr>
                <w:rFonts w:cs="Arial"/>
              </w:rPr>
              <w:t>for the</w:t>
            </w:r>
            <w:r>
              <w:rPr>
                <w:rFonts w:cs="Arial"/>
              </w:rPr>
              <w:t xml:space="preserve"> ExCel reception team</w:t>
            </w:r>
          </w:p>
          <w:p w14:paraId="1E6899E4" w14:textId="77777777" w:rsidR="0005377B" w:rsidRDefault="0005377B" w:rsidP="00912601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61633655">
              <w:rPr>
                <w:rFonts w:cs="Arial"/>
              </w:rPr>
              <w:t>London Elects core team at City Hall</w:t>
            </w:r>
          </w:p>
          <w:p w14:paraId="2F8B4096" w14:textId="1E79CCCF" w:rsidR="00535415" w:rsidRPr="009A044C" w:rsidRDefault="0005377B" w:rsidP="009A044C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912601">
              <w:rPr>
                <w:rFonts w:cs="Arial"/>
              </w:rPr>
              <w:t>hose roles not already covered by overtime or other contractual conditions</w:t>
            </w:r>
            <w:r w:rsidR="00535415">
              <w:rPr>
                <w:rFonts w:cs="Arial"/>
              </w:rPr>
              <w:t>,</w:t>
            </w:r>
            <w:r w:rsidRPr="00912601">
              <w:rPr>
                <w:rFonts w:cs="Arial"/>
              </w:rPr>
              <w:t xml:space="preserve"> which may apply to FM, TG, media support, press, social media/digital</w:t>
            </w:r>
          </w:p>
        </w:tc>
        <w:tc>
          <w:tcPr>
            <w:tcW w:w="1134" w:type="dxa"/>
          </w:tcPr>
          <w:p w14:paraId="0C39796F" w14:textId="77777777" w:rsidR="0005377B" w:rsidRPr="00F75DED" w:rsidRDefault="0005377B" w:rsidP="008B63C5">
            <w:pPr>
              <w:rPr>
                <w:rFonts w:cs="Arial"/>
              </w:rPr>
            </w:pPr>
          </w:p>
        </w:tc>
      </w:tr>
      <w:tr w:rsidR="0005377B" w:rsidRPr="00F75DED" w14:paraId="5FCFD699" w14:textId="08E1D0FD" w:rsidTr="00FB7A12">
        <w:tc>
          <w:tcPr>
            <w:tcW w:w="1355" w:type="dxa"/>
            <w:vMerge w:val="restart"/>
          </w:tcPr>
          <w:p w14:paraId="3BDA963F" w14:textId="77777777" w:rsidR="0005377B" w:rsidRPr="00F75DED" w:rsidRDefault="0005377B" w:rsidP="008B63C5">
            <w:pPr>
              <w:rPr>
                <w:rFonts w:cs="Arial"/>
                <w:b/>
              </w:rPr>
            </w:pPr>
            <w:r w:rsidRPr="00F75DED">
              <w:rPr>
                <w:rFonts w:cs="Arial"/>
                <w:b/>
              </w:rPr>
              <w:t xml:space="preserve">FEE 2 </w:t>
            </w:r>
          </w:p>
          <w:p w14:paraId="2BBDAA3F" w14:textId="27820AD4" w:rsidR="0005377B" w:rsidRPr="00F75DED" w:rsidRDefault="0005377B" w:rsidP="008B63C5">
            <w:pPr>
              <w:rPr>
                <w:rFonts w:cs="Arial"/>
                <w:b/>
              </w:rPr>
            </w:pPr>
            <w:r w:rsidRPr="00F75DED">
              <w:rPr>
                <w:rFonts w:cs="Arial"/>
                <w:b/>
              </w:rPr>
              <w:t xml:space="preserve">Elections Planning </w:t>
            </w:r>
          </w:p>
          <w:p w14:paraId="2638EFA8" w14:textId="3035CFA0" w:rsidR="0005377B" w:rsidRPr="00F75DED" w:rsidRDefault="0005377B" w:rsidP="008B63C5">
            <w:pPr>
              <w:rPr>
                <w:rFonts w:cs="Arial"/>
              </w:rPr>
            </w:pPr>
          </w:p>
          <w:p w14:paraId="35E9F8F2" w14:textId="3F2DF79D" w:rsidR="0005377B" w:rsidRPr="00F75DED" w:rsidRDefault="0005377B" w:rsidP="008B63C5">
            <w:pPr>
              <w:rPr>
                <w:rFonts w:cs="Arial"/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B4B23B5" w14:textId="1E1553BE" w:rsidR="0005377B" w:rsidRPr="00F75DED" w:rsidRDefault="0005377B" w:rsidP="004A46F6">
            <w:pPr>
              <w:rPr>
                <w:rFonts w:cs="Arial"/>
              </w:rPr>
            </w:pPr>
            <w:r w:rsidRPr="00F75DED">
              <w:rPr>
                <w:rFonts w:cs="Arial"/>
              </w:rPr>
              <w:t>FEE 2 A</w:t>
            </w:r>
          </w:p>
        </w:tc>
        <w:tc>
          <w:tcPr>
            <w:tcW w:w="5161" w:type="dxa"/>
            <w:shd w:val="clear" w:color="auto" w:fill="D9D9D9" w:themeFill="background1" w:themeFillShade="D9"/>
          </w:tcPr>
          <w:p w14:paraId="6C003826" w14:textId="57066BEF" w:rsidR="0005377B" w:rsidRPr="00F75DED" w:rsidRDefault="0005377B" w:rsidP="00382CEC">
            <w:pPr>
              <w:rPr>
                <w:rFonts w:cs="Arial"/>
              </w:rPr>
            </w:pPr>
            <w:r w:rsidRPr="00F75DED">
              <w:rPr>
                <w:rFonts w:cs="Arial"/>
              </w:rPr>
              <w:t>To recognise people providing support to an activity during the planning and preparation for the Mayor of London and London Assembly Elections</w:t>
            </w:r>
            <w:bookmarkStart w:id="5" w:name="_Int_LX0bH7NX"/>
            <w:r w:rsidRPr="00F75DED">
              <w:rPr>
                <w:rFonts w:cs="Arial"/>
              </w:rPr>
              <w:t xml:space="preserve">.  </w:t>
            </w:r>
            <w:bookmarkEnd w:id="5"/>
          </w:p>
        </w:tc>
        <w:tc>
          <w:tcPr>
            <w:tcW w:w="1134" w:type="dxa"/>
          </w:tcPr>
          <w:p w14:paraId="20B37076" w14:textId="64276A51" w:rsidR="0005377B" w:rsidRDefault="0005377B" w:rsidP="008B63C5">
            <w:pPr>
              <w:rPr>
                <w:rFonts w:cs="Arial"/>
                <w:color w:val="FF0000"/>
              </w:rPr>
            </w:pPr>
            <w:r w:rsidRPr="00F75DED">
              <w:rPr>
                <w:rFonts w:cs="Arial"/>
              </w:rPr>
              <w:t>£1</w:t>
            </w:r>
            <w:r>
              <w:rPr>
                <w:rFonts w:cs="Arial"/>
              </w:rPr>
              <w:t>65</w:t>
            </w:r>
          </w:p>
          <w:p w14:paraId="5F76FAA5" w14:textId="77CB53B0" w:rsidR="0005377B" w:rsidRPr="0005377B" w:rsidRDefault="0005377B" w:rsidP="004D7F47">
            <w:pPr>
              <w:rPr>
                <w:rFonts w:cs="Arial"/>
                <w:color w:val="FF0000"/>
              </w:rPr>
            </w:pPr>
          </w:p>
        </w:tc>
      </w:tr>
      <w:tr w:rsidR="0005377B" w:rsidRPr="00F75DED" w14:paraId="7F17D14D" w14:textId="74621F16" w:rsidTr="00FB7A12">
        <w:tc>
          <w:tcPr>
            <w:tcW w:w="1355" w:type="dxa"/>
            <w:vMerge/>
          </w:tcPr>
          <w:p w14:paraId="53A52609" w14:textId="77777777" w:rsidR="0005377B" w:rsidRPr="00F75DED" w:rsidRDefault="0005377B" w:rsidP="008B63C5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01B11053" w14:textId="704DA41C" w:rsidR="0005377B" w:rsidRPr="00F75DED" w:rsidRDefault="0005377B" w:rsidP="00BA4A75">
            <w:pPr>
              <w:rPr>
                <w:rFonts w:cs="Arial"/>
              </w:rPr>
            </w:pPr>
            <w:r w:rsidRPr="707BA960">
              <w:rPr>
                <w:rFonts w:cs="Arial"/>
              </w:rPr>
              <w:t xml:space="preserve">A guide to the types of </w:t>
            </w:r>
            <w:r w:rsidR="00CE2160">
              <w:rPr>
                <w:rFonts w:cs="Arial"/>
              </w:rPr>
              <w:t xml:space="preserve">eligible </w:t>
            </w:r>
            <w:r w:rsidRPr="707BA960">
              <w:rPr>
                <w:rFonts w:cs="Arial"/>
              </w:rPr>
              <w:t xml:space="preserve">roles  </w:t>
            </w:r>
          </w:p>
        </w:tc>
        <w:tc>
          <w:tcPr>
            <w:tcW w:w="5161" w:type="dxa"/>
          </w:tcPr>
          <w:p w14:paraId="11A70A13" w14:textId="7D2D451D" w:rsidR="0005377B" w:rsidRDefault="0005377B" w:rsidP="00E731AF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Officers s</w:t>
            </w:r>
            <w:r w:rsidRPr="00E731AF">
              <w:rPr>
                <w:rFonts w:cs="Arial"/>
              </w:rPr>
              <w:t>upport</w:t>
            </w:r>
            <w:r>
              <w:rPr>
                <w:rFonts w:cs="Arial"/>
              </w:rPr>
              <w:t>ing</w:t>
            </w:r>
            <w:r w:rsidRPr="00E731AF">
              <w:rPr>
                <w:rFonts w:cs="Arial"/>
              </w:rPr>
              <w:t xml:space="preserve"> the nominations </w:t>
            </w:r>
            <w:r w:rsidR="00A815D1">
              <w:rPr>
                <w:rFonts w:cs="Arial"/>
              </w:rPr>
              <w:t xml:space="preserve">and booklet </w:t>
            </w:r>
            <w:r w:rsidRPr="00E731AF">
              <w:rPr>
                <w:rFonts w:cs="Arial"/>
              </w:rPr>
              <w:t>process (weekend working only)</w:t>
            </w:r>
          </w:p>
          <w:p w14:paraId="00CBE698" w14:textId="51706139" w:rsidR="009A044C" w:rsidRPr="009A044C" w:rsidRDefault="009B5815" w:rsidP="009A044C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05377B" w:rsidRPr="61633655">
              <w:rPr>
                <w:rFonts w:cs="Arial"/>
              </w:rPr>
              <w:t xml:space="preserve">hose roles not already covered by overtime or other contractual conditions, which may apply to FM. </w:t>
            </w:r>
          </w:p>
        </w:tc>
        <w:tc>
          <w:tcPr>
            <w:tcW w:w="1134" w:type="dxa"/>
          </w:tcPr>
          <w:p w14:paraId="295A0FAB" w14:textId="77777777" w:rsidR="0005377B" w:rsidRPr="00F75DED" w:rsidRDefault="0005377B" w:rsidP="008B63C5">
            <w:pPr>
              <w:rPr>
                <w:rFonts w:cs="Arial"/>
              </w:rPr>
            </w:pPr>
          </w:p>
        </w:tc>
      </w:tr>
      <w:tr w:rsidR="0005377B" w:rsidRPr="00F75DED" w14:paraId="25A85362" w14:textId="4034D5E9" w:rsidTr="00FB7A12">
        <w:tc>
          <w:tcPr>
            <w:tcW w:w="1355" w:type="dxa"/>
            <w:vMerge/>
          </w:tcPr>
          <w:p w14:paraId="43689801" w14:textId="3AC86478" w:rsidR="0005377B" w:rsidRPr="00F75DED" w:rsidRDefault="0005377B" w:rsidP="008B63C5">
            <w:pPr>
              <w:rPr>
                <w:rFonts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0347230" w14:textId="2F6C1A5A" w:rsidR="0005377B" w:rsidRPr="00F75DED" w:rsidRDefault="0005377B" w:rsidP="00BA4A75">
            <w:pPr>
              <w:rPr>
                <w:rFonts w:cs="Arial"/>
              </w:rPr>
            </w:pPr>
            <w:r w:rsidRPr="00F75DED">
              <w:rPr>
                <w:rFonts w:cs="Arial"/>
              </w:rPr>
              <w:t>FEE 2 B</w:t>
            </w:r>
          </w:p>
        </w:tc>
        <w:tc>
          <w:tcPr>
            <w:tcW w:w="5161" w:type="dxa"/>
            <w:shd w:val="clear" w:color="auto" w:fill="D9D9D9" w:themeFill="background1" w:themeFillShade="D9"/>
          </w:tcPr>
          <w:p w14:paraId="1E9C31D6" w14:textId="4144B656" w:rsidR="0005377B" w:rsidRPr="00F75DED" w:rsidRDefault="0005377B" w:rsidP="00BA4A75">
            <w:pPr>
              <w:rPr>
                <w:rFonts w:cs="Arial"/>
              </w:rPr>
            </w:pPr>
            <w:r w:rsidRPr="00F75DED">
              <w:rPr>
                <w:rFonts w:cs="Arial"/>
              </w:rPr>
              <w:t>To recognise people leading an activity during the planning and preparation for the Mayor of London and London Assembly Elections</w:t>
            </w:r>
            <w:bookmarkStart w:id="6" w:name="_Int_uxXfnuk5"/>
            <w:r w:rsidRPr="00F75DED">
              <w:rPr>
                <w:rFonts w:cs="Arial"/>
              </w:rPr>
              <w:t xml:space="preserve">.  </w:t>
            </w:r>
            <w:bookmarkEnd w:id="6"/>
          </w:p>
        </w:tc>
        <w:tc>
          <w:tcPr>
            <w:tcW w:w="1134" w:type="dxa"/>
          </w:tcPr>
          <w:p w14:paraId="69309F8E" w14:textId="5898D555" w:rsidR="0005377B" w:rsidRPr="0005377B" w:rsidRDefault="0005377B" w:rsidP="004D7F47">
            <w:pPr>
              <w:rPr>
                <w:rFonts w:cs="Arial"/>
                <w:color w:val="FF0000"/>
              </w:rPr>
            </w:pPr>
            <w:r w:rsidRPr="00F75DED">
              <w:rPr>
                <w:rFonts w:cs="Arial"/>
              </w:rPr>
              <w:t>£3</w:t>
            </w:r>
            <w:r>
              <w:rPr>
                <w:rFonts w:cs="Arial"/>
              </w:rPr>
              <w:t>30</w:t>
            </w:r>
          </w:p>
        </w:tc>
      </w:tr>
      <w:tr w:rsidR="0005377B" w:rsidRPr="00F75DED" w14:paraId="34DA3008" w14:textId="285B162D" w:rsidTr="00FB7A12">
        <w:tc>
          <w:tcPr>
            <w:tcW w:w="1355" w:type="dxa"/>
            <w:vMerge/>
          </w:tcPr>
          <w:p w14:paraId="7F65D967" w14:textId="77777777" w:rsidR="0005377B" w:rsidRPr="00F75DED" w:rsidRDefault="0005377B" w:rsidP="008B63C5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0AD9838D" w14:textId="456B372B" w:rsidR="0005377B" w:rsidRPr="00F75DED" w:rsidRDefault="0005377B" w:rsidP="707BA960">
            <w:pPr>
              <w:spacing w:line="259" w:lineRule="auto"/>
              <w:rPr>
                <w:rFonts w:cs="Arial"/>
              </w:rPr>
            </w:pPr>
            <w:r w:rsidRPr="707BA960">
              <w:rPr>
                <w:rFonts w:cs="Arial"/>
              </w:rPr>
              <w:t>A guide to the types of</w:t>
            </w:r>
            <w:r w:rsidR="00CE2160">
              <w:rPr>
                <w:rFonts w:cs="Arial"/>
              </w:rPr>
              <w:t xml:space="preserve"> eligible</w:t>
            </w:r>
            <w:r w:rsidRPr="707BA960">
              <w:rPr>
                <w:rFonts w:cs="Arial"/>
              </w:rPr>
              <w:t xml:space="preserve"> roles</w:t>
            </w:r>
          </w:p>
          <w:p w14:paraId="0152309E" w14:textId="79557BED" w:rsidR="0005377B" w:rsidRPr="00F75DED" w:rsidRDefault="0005377B" w:rsidP="00BA4A75">
            <w:pPr>
              <w:rPr>
                <w:rFonts w:cs="Arial"/>
              </w:rPr>
            </w:pPr>
          </w:p>
        </w:tc>
        <w:tc>
          <w:tcPr>
            <w:tcW w:w="5161" w:type="dxa"/>
          </w:tcPr>
          <w:p w14:paraId="491FDBF7" w14:textId="4812C539" w:rsidR="0005377B" w:rsidRPr="004B42FB" w:rsidRDefault="0005377B" w:rsidP="61633655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E731AF">
              <w:rPr>
                <w:rFonts w:cs="Arial"/>
              </w:rPr>
              <w:t xml:space="preserve">London Elects </w:t>
            </w:r>
            <w:r w:rsidR="007A41AE">
              <w:rPr>
                <w:rFonts w:cs="Arial"/>
              </w:rPr>
              <w:t xml:space="preserve">core </w:t>
            </w:r>
            <w:r w:rsidRPr="00E731AF">
              <w:rPr>
                <w:rFonts w:cs="Arial"/>
              </w:rPr>
              <w:t xml:space="preserve">team weekend working for key activities including </w:t>
            </w:r>
            <w:r>
              <w:rPr>
                <w:rFonts w:cs="Arial"/>
              </w:rPr>
              <w:t xml:space="preserve">nominations and </w:t>
            </w:r>
            <w:r w:rsidRPr="00E731AF">
              <w:rPr>
                <w:rFonts w:cs="Arial"/>
              </w:rPr>
              <w:t xml:space="preserve">the statutory booklet </w:t>
            </w:r>
            <w:r w:rsidRPr="707BA960">
              <w:rPr>
                <w:rFonts w:cs="Arial"/>
              </w:rPr>
              <w:t>processes.</w:t>
            </w:r>
          </w:p>
        </w:tc>
        <w:tc>
          <w:tcPr>
            <w:tcW w:w="1134" w:type="dxa"/>
          </w:tcPr>
          <w:p w14:paraId="66465FE8" w14:textId="77777777" w:rsidR="0005377B" w:rsidRPr="00F75DED" w:rsidRDefault="0005377B" w:rsidP="008B63C5">
            <w:pPr>
              <w:rPr>
                <w:rFonts w:cs="Arial"/>
              </w:rPr>
            </w:pPr>
          </w:p>
        </w:tc>
      </w:tr>
    </w:tbl>
    <w:p w14:paraId="1BF898D3" w14:textId="79606132" w:rsidR="00A77296" w:rsidRPr="0079594B" w:rsidRDefault="00A77296" w:rsidP="00A77296">
      <w:pPr>
        <w:rPr>
          <w:rFonts w:cs="Arial"/>
          <w:b/>
          <w:bCs/>
        </w:rPr>
      </w:pPr>
    </w:p>
    <w:sectPr w:rsidR="00A77296" w:rsidRPr="0079594B" w:rsidSect="00E6018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2E49" w14:textId="77777777" w:rsidR="00B71B21" w:rsidRDefault="00B71B21" w:rsidP="00896458">
      <w:r>
        <w:separator/>
      </w:r>
    </w:p>
  </w:endnote>
  <w:endnote w:type="continuationSeparator" w:id="0">
    <w:p w14:paraId="6A30C71E" w14:textId="77777777" w:rsidR="00B71B21" w:rsidRDefault="00B71B21" w:rsidP="00896458">
      <w:r>
        <w:continuationSeparator/>
      </w:r>
    </w:p>
  </w:endnote>
  <w:endnote w:type="continuationNotice" w:id="1">
    <w:p w14:paraId="655D7A8A" w14:textId="77777777" w:rsidR="00B71B21" w:rsidRDefault="00B71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undry Form Sans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E3D94" w14:textId="77777777" w:rsidR="00B71B21" w:rsidRDefault="00B71B21" w:rsidP="00896458">
      <w:r>
        <w:separator/>
      </w:r>
    </w:p>
  </w:footnote>
  <w:footnote w:type="continuationSeparator" w:id="0">
    <w:p w14:paraId="2513DA4D" w14:textId="77777777" w:rsidR="00B71B21" w:rsidRDefault="00B71B21" w:rsidP="00896458">
      <w:r>
        <w:continuationSeparator/>
      </w:r>
    </w:p>
  </w:footnote>
  <w:footnote w:type="continuationNotice" w:id="1">
    <w:p w14:paraId="79E95943" w14:textId="77777777" w:rsidR="00B71B21" w:rsidRDefault="00B71B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60AD" w14:textId="74590BBF" w:rsidR="007051A4" w:rsidRDefault="00111216" w:rsidP="00E91517">
    <w:pPr>
      <w:pStyle w:val="Header"/>
      <w:rPr>
        <w:rFonts w:ascii="Foundry Form Sans" w:hAnsi="Foundry Form Sans"/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249813" wp14:editId="438B9A62">
              <wp:simplePos x="0" y="0"/>
              <wp:positionH relativeFrom="column">
                <wp:posOffset>-102845</wp:posOffset>
              </wp:positionH>
              <wp:positionV relativeFrom="paragraph">
                <wp:posOffset>-149225</wp:posOffset>
              </wp:positionV>
              <wp:extent cx="1382573" cy="365760"/>
              <wp:effectExtent l="0" t="0" r="27305" b="152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2573" cy="3657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4FB339" w14:textId="291DBCB7" w:rsidR="00111216" w:rsidRPr="00111216" w:rsidRDefault="00111216" w:rsidP="00111216">
                          <w:pPr>
                            <w:rPr>
                              <w:color w:val="000000" w:themeColor="text1"/>
                            </w:rPr>
                          </w:pPr>
                          <w:r w:rsidRPr="00111216">
                            <w:rPr>
                              <w:color w:val="000000" w:themeColor="text1"/>
                            </w:rPr>
                            <w:t>Appendix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249813" id="Rectangle 1" o:spid="_x0000_s1026" style="position:absolute;margin-left:-8.1pt;margin-top:-11.75pt;width:108.85pt;height:2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" fillcolor="white [3212]" strokecolor="white [3212]" strokeweight="2pt">
              <v:textbox>
                <w:txbxContent>
                  <w:p w14:paraId="124FB339" w14:textId="291DBCB7" w:rsidR="00111216" w:rsidRPr="00111216" w:rsidRDefault="00111216" w:rsidP="00111216">
                    <w:pPr>
                      <w:rPr>
                        <w:color w:val="000000" w:themeColor="text1"/>
                      </w:rPr>
                    </w:pPr>
                    <w:r w:rsidRPr="00111216">
                      <w:rPr>
                        <w:color w:val="000000" w:themeColor="text1"/>
                      </w:rPr>
                      <w:t>Appendix 1</w:t>
                    </w:r>
                  </w:p>
                </w:txbxContent>
              </v:textbox>
            </v:rect>
          </w:pict>
        </mc:Fallback>
      </mc:AlternateContent>
    </w:r>
    <w:r w:rsidR="007051A4">
      <w:rPr>
        <w:noProof/>
      </w:rPr>
      <w:drawing>
        <wp:anchor distT="0" distB="0" distL="114300" distR="114300" simplePos="0" relativeHeight="251658240" behindDoc="0" locked="0" layoutInCell="1" allowOverlap="1" wp14:anchorId="56962422" wp14:editId="0E3AA193">
          <wp:simplePos x="0" y="0"/>
          <wp:positionH relativeFrom="column">
            <wp:posOffset>4921250</wp:posOffset>
          </wp:positionH>
          <wp:positionV relativeFrom="paragraph">
            <wp:posOffset>116205</wp:posOffset>
          </wp:positionV>
          <wp:extent cx="717550" cy="577215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6B154" w14:textId="25691119" w:rsidR="007051A4" w:rsidRDefault="007051A4" w:rsidP="00E91517">
    <w:pPr>
      <w:pStyle w:val="Header"/>
      <w:rPr>
        <w:rFonts w:ascii="Foundry Form Sans" w:hAnsi="Foundry Form Sans"/>
        <w:b/>
        <w:sz w:val="32"/>
        <w:szCs w:val="32"/>
      </w:rPr>
    </w:pPr>
  </w:p>
  <w:p w14:paraId="535A3C4E" w14:textId="5D211562" w:rsidR="00BA5793" w:rsidRPr="00BA5793" w:rsidRDefault="00E91517" w:rsidP="00E91517">
    <w:pPr>
      <w:pStyle w:val="Header"/>
      <w:rPr>
        <w:rFonts w:ascii="Foundry Form Sans" w:hAnsi="Foundry Form Sans"/>
        <w:b/>
        <w:sz w:val="32"/>
        <w:szCs w:val="32"/>
      </w:rPr>
    </w:pPr>
    <w:r>
      <w:rPr>
        <w:rFonts w:ascii="Foundry Form Sans" w:hAnsi="Foundry Form Sans"/>
        <w:b/>
        <w:sz w:val="32"/>
        <w:szCs w:val="32"/>
      </w:rPr>
      <w:t>L</w:t>
    </w:r>
    <w:r w:rsidR="00F75DED">
      <w:rPr>
        <w:rFonts w:ascii="Foundry Form Sans" w:hAnsi="Foundry Form Sans"/>
        <w:b/>
        <w:sz w:val="32"/>
        <w:szCs w:val="32"/>
      </w:rPr>
      <w:t>ONDON ELECTS: SCALE OF FEE</w:t>
    </w:r>
    <w:r>
      <w:rPr>
        <w:rFonts w:ascii="Foundry Form Sans" w:hAnsi="Foundry Form Sans"/>
        <w:b/>
        <w:sz w:val="32"/>
        <w:szCs w:val="32"/>
      </w:rPr>
      <w:t xml:space="preserve">S </w:t>
    </w:r>
    <w:r w:rsidR="00A77296">
      <w:rPr>
        <w:rFonts w:ascii="Foundry Form Sans" w:hAnsi="Foundry Form Sans"/>
        <w:b/>
        <w:sz w:val="32"/>
        <w:szCs w:val="32"/>
      </w:rPr>
      <w:t>202</w:t>
    </w:r>
    <w:r w:rsidR="00701A16">
      <w:rPr>
        <w:rFonts w:ascii="Foundry Form Sans" w:hAnsi="Foundry Form Sans"/>
        <w:b/>
        <w:sz w:val="32"/>
        <w:szCs w:val="32"/>
      </w:rPr>
      <w:t>4</w:t>
    </w:r>
    <w:r w:rsidR="00A77296">
      <w:rPr>
        <w:rFonts w:ascii="Foundry Form Sans" w:hAnsi="Foundry Form Sans"/>
        <w:b/>
        <w:sz w:val="32"/>
        <w:szCs w:val="32"/>
      </w:rPr>
      <w:t xml:space="preserve">   </w:t>
    </w:r>
    <w:r w:rsidR="00A77296" w:rsidRPr="00912601">
      <w:rPr>
        <w:rFonts w:ascii="Foundry Form Sans" w:hAnsi="Foundry Form Sans"/>
        <w:b/>
        <w:color w:val="FF0000"/>
        <w:sz w:val="32"/>
        <w:szCs w:val="32"/>
      </w:rPr>
      <w:t xml:space="preserve">         </w:t>
    </w:r>
    <w:r w:rsidR="00A77296">
      <w:rPr>
        <w:rFonts w:ascii="Foundry Form Sans" w:hAnsi="Foundry Form Sans"/>
        <w:b/>
        <w:sz w:val="32"/>
        <w:szCs w:val="32"/>
      </w:rPr>
      <w:t xml:space="preserve">        </w:t>
    </w:r>
    <w:r w:rsidR="00D06591">
      <w:rPr>
        <w:rFonts w:ascii="Foundry Form Sans" w:hAnsi="Foundry Form Sans"/>
        <w:b/>
        <w:sz w:val="32"/>
        <w:szCs w:val="32"/>
      </w:rPr>
      <w:t xml:space="preserve">                                     </w:t>
    </w:r>
  </w:p>
  <w:p w14:paraId="3B2F4B70" w14:textId="30CF2176" w:rsidR="003E7B7A" w:rsidRDefault="003E7B7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FW+St98II/M1a" int2:id="cxmIufDV">
      <int2:state int2:value="Rejected" int2:type="AugLoop_Text_Critique"/>
    </int2:textHash>
    <int2:bookmark int2:bookmarkName="_Int_LX0bH7NX" int2:invalidationBookmarkName="" int2:hashCode="RoHRJMxsS3O6q/" int2:id="yQoOUYOR">
      <int2:state int2:value="Rejected" int2:type="AugLoop_Text_Critique"/>
    </int2:bookmark>
    <int2:bookmark int2:bookmarkName="_Int_uxXfnuk5" int2:invalidationBookmarkName="" int2:hashCode="RoHRJMxsS3O6q/" int2:id="e9kRw1S8">
      <int2:state int2:value="Rejected" int2:type="AugLoop_Text_Critique"/>
    </int2:bookmark>
    <int2:bookmark int2:bookmarkName="_Int_VJyGRseG" int2:invalidationBookmarkName="" int2:hashCode="RoHRJMxsS3O6q/" int2:id="m7HwuCRP">
      <int2:state int2:value="Rejected" int2:type="AugLoop_Text_Critique"/>
    </int2:bookmark>
    <int2:bookmark int2:bookmarkName="_Int_4FnE4x7E" int2:invalidationBookmarkName="" int2:hashCode="3LuRo9FxpHxTrS" int2:id="nWhs8AZr">
      <int2:state int2:value="Rejected" int2:type="AugLoop_Acronyms_AcronymsCritique"/>
    </int2:bookmark>
    <int2:bookmark int2:bookmarkName="_Int_LWpIAZ2s" int2:invalidationBookmarkName="" int2:hashCode="SI4KztiPwtutZy" int2:id="x1OMZqW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DBA"/>
    <w:multiLevelType w:val="multilevel"/>
    <w:tmpl w:val="79E82B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E417F"/>
    <w:multiLevelType w:val="hybridMultilevel"/>
    <w:tmpl w:val="A91C2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6C84"/>
    <w:multiLevelType w:val="multilevel"/>
    <w:tmpl w:val="BD887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F67D26"/>
    <w:multiLevelType w:val="multilevel"/>
    <w:tmpl w:val="FF064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3A6E8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F3495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481100"/>
    <w:multiLevelType w:val="multilevel"/>
    <w:tmpl w:val="C2282C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8649A5"/>
    <w:multiLevelType w:val="hybridMultilevel"/>
    <w:tmpl w:val="E98E9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92D78"/>
    <w:multiLevelType w:val="hybridMultilevel"/>
    <w:tmpl w:val="73702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4729ED"/>
    <w:multiLevelType w:val="hybridMultilevel"/>
    <w:tmpl w:val="6D2ED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D16FC"/>
    <w:multiLevelType w:val="multilevel"/>
    <w:tmpl w:val="B4EC6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31501A"/>
    <w:multiLevelType w:val="hybridMultilevel"/>
    <w:tmpl w:val="8392E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93223"/>
    <w:multiLevelType w:val="hybridMultilevel"/>
    <w:tmpl w:val="4D529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E31F9B"/>
    <w:multiLevelType w:val="hybridMultilevel"/>
    <w:tmpl w:val="A9F49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03D15"/>
    <w:multiLevelType w:val="hybridMultilevel"/>
    <w:tmpl w:val="0F744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93573"/>
    <w:multiLevelType w:val="hybridMultilevel"/>
    <w:tmpl w:val="5F6A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2F304">
      <w:start w:val="1"/>
      <w:numFmt w:val="bullet"/>
      <w:lvlText w:val="!"/>
      <w:lvlJc w:val="left"/>
      <w:pPr>
        <w:ind w:left="1440" w:hanging="360"/>
      </w:pPr>
      <w:rPr>
        <w:rFonts w:ascii="Foundry Form Sans" w:hAnsi="Foundry Form 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231C7"/>
    <w:multiLevelType w:val="hybridMultilevel"/>
    <w:tmpl w:val="D4FAF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E4D99"/>
    <w:multiLevelType w:val="hybridMultilevel"/>
    <w:tmpl w:val="770EEC0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813503C"/>
    <w:multiLevelType w:val="hybridMultilevel"/>
    <w:tmpl w:val="AA749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52838"/>
    <w:multiLevelType w:val="hybridMultilevel"/>
    <w:tmpl w:val="632041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3312127">
    <w:abstractNumId w:val="10"/>
  </w:num>
  <w:num w:numId="2" w16cid:durableId="1078745544">
    <w:abstractNumId w:val="2"/>
  </w:num>
  <w:num w:numId="3" w16cid:durableId="1014840209">
    <w:abstractNumId w:val="3"/>
  </w:num>
  <w:num w:numId="4" w16cid:durableId="1112289174">
    <w:abstractNumId w:val="15"/>
  </w:num>
  <w:num w:numId="5" w16cid:durableId="1963225781">
    <w:abstractNumId w:val="1"/>
  </w:num>
  <w:num w:numId="6" w16cid:durableId="1980718740">
    <w:abstractNumId w:val="16"/>
  </w:num>
  <w:num w:numId="7" w16cid:durableId="748235566">
    <w:abstractNumId w:val="4"/>
  </w:num>
  <w:num w:numId="8" w16cid:durableId="445544362">
    <w:abstractNumId w:val="5"/>
  </w:num>
  <w:num w:numId="9" w16cid:durableId="566770564">
    <w:abstractNumId w:val="9"/>
  </w:num>
  <w:num w:numId="10" w16cid:durableId="600187769">
    <w:abstractNumId w:val="11"/>
  </w:num>
  <w:num w:numId="11" w16cid:durableId="3031226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418352">
    <w:abstractNumId w:val="13"/>
  </w:num>
  <w:num w:numId="13" w16cid:durableId="2059159105">
    <w:abstractNumId w:val="19"/>
  </w:num>
  <w:num w:numId="14" w16cid:durableId="1963415480">
    <w:abstractNumId w:val="12"/>
  </w:num>
  <w:num w:numId="15" w16cid:durableId="668681525">
    <w:abstractNumId w:val="8"/>
  </w:num>
  <w:num w:numId="16" w16cid:durableId="1318150456">
    <w:abstractNumId w:val="14"/>
  </w:num>
  <w:num w:numId="17" w16cid:durableId="1497918606">
    <w:abstractNumId w:val="6"/>
  </w:num>
  <w:num w:numId="18" w16cid:durableId="1531533332">
    <w:abstractNumId w:val="7"/>
  </w:num>
  <w:num w:numId="19" w16cid:durableId="324237823">
    <w:abstractNumId w:val="18"/>
  </w:num>
  <w:num w:numId="20" w16cid:durableId="552616690">
    <w:abstractNumId w:val="17"/>
  </w:num>
  <w:num w:numId="21" w16cid:durableId="34825846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C9"/>
    <w:rsid w:val="00013072"/>
    <w:rsid w:val="000136B9"/>
    <w:rsid w:val="00020AC9"/>
    <w:rsid w:val="00020C70"/>
    <w:rsid w:val="00037817"/>
    <w:rsid w:val="0004432C"/>
    <w:rsid w:val="0005377B"/>
    <w:rsid w:val="000627F4"/>
    <w:rsid w:val="00092A96"/>
    <w:rsid w:val="000941C0"/>
    <w:rsid w:val="000C26A0"/>
    <w:rsid w:val="000D0CDF"/>
    <w:rsid w:val="000D62A0"/>
    <w:rsid w:val="000D6833"/>
    <w:rsid w:val="000D7855"/>
    <w:rsid w:val="000E27D2"/>
    <w:rsid w:val="000E5AEE"/>
    <w:rsid w:val="000F0DE6"/>
    <w:rsid w:val="000F7282"/>
    <w:rsid w:val="000F7E38"/>
    <w:rsid w:val="00105AFD"/>
    <w:rsid w:val="00111216"/>
    <w:rsid w:val="00115539"/>
    <w:rsid w:val="0011693B"/>
    <w:rsid w:val="00124B6A"/>
    <w:rsid w:val="00127097"/>
    <w:rsid w:val="00131A7F"/>
    <w:rsid w:val="00132FF8"/>
    <w:rsid w:val="001349FB"/>
    <w:rsid w:val="001350EA"/>
    <w:rsid w:val="00147221"/>
    <w:rsid w:val="001472FB"/>
    <w:rsid w:val="0015139C"/>
    <w:rsid w:val="00154202"/>
    <w:rsid w:val="00154B58"/>
    <w:rsid w:val="00167422"/>
    <w:rsid w:val="0017592E"/>
    <w:rsid w:val="0017692F"/>
    <w:rsid w:val="00182B1C"/>
    <w:rsid w:val="00182B50"/>
    <w:rsid w:val="00184493"/>
    <w:rsid w:val="00187CFB"/>
    <w:rsid w:val="00191DC2"/>
    <w:rsid w:val="00194804"/>
    <w:rsid w:val="001976F1"/>
    <w:rsid w:val="001A2E14"/>
    <w:rsid w:val="001B3020"/>
    <w:rsid w:val="001B61FA"/>
    <w:rsid w:val="001C3B8A"/>
    <w:rsid w:val="001D2012"/>
    <w:rsid w:val="001E2EFC"/>
    <w:rsid w:val="001E69D9"/>
    <w:rsid w:val="001E6BDB"/>
    <w:rsid w:val="002006C3"/>
    <w:rsid w:val="0020144B"/>
    <w:rsid w:val="00202440"/>
    <w:rsid w:val="00204415"/>
    <w:rsid w:val="00211003"/>
    <w:rsid w:val="00217610"/>
    <w:rsid w:val="002306F4"/>
    <w:rsid w:val="00233F32"/>
    <w:rsid w:val="00235CDC"/>
    <w:rsid w:val="0024507C"/>
    <w:rsid w:val="0025134C"/>
    <w:rsid w:val="00252019"/>
    <w:rsid w:val="002645B8"/>
    <w:rsid w:val="00264871"/>
    <w:rsid w:val="002664AF"/>
    <w:rsid w:val="00274B34"/>
    <w:rsid w:val="002A66E9"/>
    <w:rsid w:val="002B1F80"/>
    <w:rsid w:val="002C1C49"/>
    <w:rsid w:val="002C4DB1"/>
    <w:rsid w:val="002C7867"/>
    <w:rsid w:val="002D3FC9"/>
    <w:rsid w:val="002E66FC"/>
    <w:rsid w:val="002E743C"/>
    <w:rsid w:val="002F20CD"/>
    <w:rsid w:val="002F4941"/>
    <w:rsid w:val="00304BB5"/>
    <w:rsid w:val="00304C81"/>
    <w:rsid w:val="00325A53"/>
    <w:rsid w:val="0032B036"/>
    <w:rsid w:val="00331E5E"/>
    <w:rsid w:val="00334B64"/>
    <w:rsid w:val="00346178"/>
    <w:rsid w:val="00347FBF"/>
    <w:rsid w:val="00351BA4"/>
    <w:rsid w:val="003537EA"/>
    <w:rsid w:val="0035694F"/>
    <w:rsid w:val="00380796"/>
    <w:rsid w:val="00380EBD"/>
    <w:rsid w:val="00382CEC"/>
    <w:rsid w:val="00386CF0"/>
    <w:rsid w:val="00387139"/>
    <w:rsid w:val="00393ADC"/>
    <w:rsid w:val="00395600"/>
    <w:rsid w:val="00395B87"/>
    <w:rsid w:val="003B548E"/>
    <w:rsid w:val="003C7111"/>
    <w:rsid w:val="003E0D0A"/>
    <w:rsid w:val="003E189E"/>
    <w:rsid w:val="003E7B7A"/>
    <w:rsid w:val="00405252"/>
    <w:rsid w:val="00414D20"/>
    <w:rsid w:val="0042625D"/>
    <w:rsid w:val="00427ED6"/>
    <w:rsid w:val="00431C2A"/>
    <w:rsid w:val="00450DC2"/>
    <w:rsid w:val="00455692"/>
    <w:rsid w:val="00462684"/>
    <w:rsid w:val="00463E43"/>
    <w:rsid w:val="00486395"/>
    <w:rsid w:val="0049195A"/>
    <w:rsid w:val="004965DF"/>
    <w:rsid w:val="004A146B"/>
    <w:rsid w:val="004A46F6"/>
    <w:rsid w:val="004A7723"/>
    <w:rsid w:val="004B0921"/>
    <w:rsid w:val="004B0C17"/>
    <w:rsid w:val="004B3468"/>
    <w:rsid w:val="004B42FB"/>
    <w:rsid w:val="004B7489"/>
    <w:rsid w:val="004C4CD1"/>
    <w:rsid w:val="004D7F47"/>
    <w:rsid w:val="004F3456"/>
    <w:rsid w:val="004F69CC"/>
    <w:rsid w:val="00507082"/>
    <w:rsid w:val="00515D34"/>
    <w:rsid w:val="0051664A"/>
    <w:rsid w:val="005222E5"/>
    <w:rsid w:val="00522A2E"/>
    <w:rsid w:val="0053162C"/>
    <w:rsid w:val="00535415"/>
    <w:rsid w:val="00535FD8"/>
    <w:rsid w:val="0053686C"/>
    <w:rsid w:val="0054073F"/>
    <w:rsid w:val="00546098"/>
    <w:rsid w:val="00550012"/>
    <w:rsid w:val="00550B92"/>
    <w:rsid w:val="00585D4C"/>
    <w:rsid w:val="005A1794"/>
    <w:rsid w:val="005A4770"/>
    <w:rsid w:val="005A7E8F"/>
    <w:rsid w:val="005B70B6"/>
    <w:rsid w:val="005C0834"/>
    <w:rsid w:val="005C4451"/>
    <w:rsid w:val="005D0E2F"/>
    <w:rsid w:val="005D2C41"/>
    <w:rsid w:val="005E2E3A"/>
    <w:rsid w:val="005F2174"/>
    <w:rsid w:val="006006B2"/>
    <w:rsid w:val="0060606C"/>
    <w:rsid w:val="0061746A"/>
    <w:rsid w:val="0062369A"/>
    <w:rsid w:val="006302DC"/>
    <w:rsid w:val="00634493"/>
    <w:rsid w:val="00635D76"/>
    <w:rsid w:val="00647788"/>
    <w:rsid w:val="006514F5"/>
    <w:rsid w:val="00653863"/>
    <w:rsid w:val="006606CF"/>
    <w:rsid w:val="00670EBA"/>
    <w:rsid w:val="0067731C"/>
    <w:rsid w:val="00692C29"/>
    <w:rsid w:val="00694829"/>
    <w:rsid w:val="00695E38"/>
    <w:rsid w:val="006A6C78"/>
    <w:rsid w:val="006A7380"/>
    <w:rsid w:val="006B374E"/>
    <w:rsid w:val="006C0B18"/>
    <w:rsid w:val="006C2287"/>
    <w:rsid w:val="006C3B74"/>
    <w:rsid w:val="006D0242"/>
    <w:rsid w:val="006E428B"/>
    <w:rsid w:val="006F5E2D"/>
    <w:rsid w:val="00701A16"/>
    <w:rsid w:val="007051A4"/>
    <w:rsid w:val="007121DD"/>
    <w:rsid w:val="00717C86"/>
    <w:rsid w:val="00723D3F"/>
    <w:rsid w:val="007305F6"/>
    <w:rsid w:val="00762BE9"/>
    <w:rsid w:val="00787632"/>
    <w:rsid w:val="0079594B"/>
    <w:rsid w:val="007A2DD1"/>
    <w:rsid w:val="007A41AE"/>
    <w:rsid w:val="007A7804"/>
    <w:rsid w:val="007B001F"/>
    <w:rsid w:val="007C2FFF"/>
    <w:rsid w:val="007D29AB"/>
    <w:rsid w:val="007D2E64"/>
    <w:rsid w:val="007E0535"/>
    <w:rsid w:val="007E30B2"/>
    <w:rsid w:val="007E5496"/>
    <w:rsid w:val="007E78E6"/>
    <w:rsid w:val="008118EE"/>
    <w:rsid w:val="00813138"/>
    <w:rsid w:val="00827710"/>
    <w:rsid w:val="00833131"/>
    <w:rsid w:val="00835776"/>
    <w:rsid w:val="00850C3D"/>
    <w:rsid w:val="0087058F"/>
    <w:rsid w:val="008713D7"/>
    <w:rsid w:val="0088411D"/>
    <w:rsid w:val="008943E9"/>
    <w:rsid w:val="00896458"/>
    <w:rsid w:val="008B63C5"/>
    <w:rsid w:val="008B7BEB"/>
    <w:rsid w:val="008C4BD9"/>
    <w:rsid w:val="008D18FF"/>
    <w:rsid w:val="008D5CE7"/>
    <w:rsid w:val="008F5EAD"/>
    <w:rsid w:val="008F5FDD"/>
    <w:rsid w:val="00912601"/>
    <w:rsid w:val="009376E3"/>
    <w:rsid w:val="00943A3A"/>
    <w:rsid w:val="00956C7E"/>
    <w:rsid w:val="0095723E"/>
    <w:rsid w:val="0097184C"/>
    <w:rsid w:val="00976F05"/>
    <w:rsid w:val="00976F31"/>
    <w:rsid w:val="009A044C"/>
    <w:rsid w:val="009A195D"/>
    <w:rsid w:val="009A28EA"/>
    <w:rsid w:val="009A7522"/>
    <w:rsid w:val="009B09F1"/>
    <w:rsid w:val="009B50FF"/>
    <w:rsid w:val="009B5815"/>
    <w:rsid w:val="009B7B0E"/>
    <w:rsid w:val="009C1C38"/>
    <w:rsid w:val="009C4296"/>
    <w:rsid w:val="009D06C9"/>
    <w:rsid w:val="009D4571"/>
    <w:rsid w:val="009F1639"/>
    <w:rsid w:val="00A16CD2"/>
    <w:rsid w:val="00A26F84"/>
    <w:rsid w:val="00A27E88"/>
    <w:rsid w:val="00A30850"/>
    <w:rsid w:val="00A42336"/>
    <w:rsid w:val="00A44765"/>
    <w:rsid w:val="00A51557"/>
    <w:rsid w:val="00A533A4"/>
    <w:rsid w:val="00A53E76"/>
    <w:rsid w:val="00A61492"/>
    <w:rsid w:val="00A61885"/>
    <w:rsid w:val="00A771CA"/>
    <w:rsid w:val="00A77296"/>
    <w:rsid w:val="00A815D1"/>
    <w:rsid w:val="00A85EBB"/>
    <w:rsid w:val="00A87745"/>
    <w:rsid w:val="00A9279F"/>
    <w:rsid w:val="00AA32A9"/>
    <w:rsid w:val="00AA5082"/>
    <w:rsid w:val="00AB6B8E"/>
    <w:rsid w:val="00AB6CC0"/>
    <w:rsid w:val="00AC73F5"/>
    <w:rsid w:val="00AD2729"/>
    <w:rsid w:val="00AD7F7F"/>
    <w:rsid w:val="00AE1DCE"/>
    <w:rsid w:val="00AE7B12"/>
    <w:rsid w:val="00AF22A0"/>
    <w:rsid w:val="00AF48AB"/>
    <w:rsid w:val="00B0142F"/>
    <w:rsid w:val="00B05C4F"/>
    <w:rsid w:val="00B07590"/>
    <w:rsid w:val="00B13DFE"/>
    <w:rsid w:val="00B21822"/>
    <w:rsid w:val="00B342BE"/>
    <w:rsid w:val="00B41A71"/>
    <w:rsid w:val="00B46D3F"/>
    <w:rsid w:val="00B46D40"/>
    <w:rsid w:val="00B479F5"/>
    <w:rsid w:val="00B47CD2"/>
    <w:rsid w:val="00B5312D"/>
    <w:rsid w:val="00B54694"/>
    <w:rsid w:val="00B559ED"/>
    <w:rsid w:val="00B71B21"/>
    <w:rsid w:val="00B82C45"/>
    <w:rsid w:val="00BA047F"/>
    <w:rsid w:val="00BA3FCE"/>
    <w:rsid w:val="00BA4A75"/>
    <w:rsid w:val="00BA5793"/>
    <w:rsid w:val="00BB2B6B"/>
    <w:rsid w:val="00BC3B73"/>
    <w:rsid w:val="00BF425E"/>
    <w:rsid w:val="00BF4F2A"/>
    <w:rsid w:val="00C23D1D"/>
    <w:rsid w:val="00C24FC4"/>
    <w:rsid w:val="00C277C6"/>
    <w:rsid w:val="00C319CE"/>
    <w:rsid w:val="00C35FC7"/>
    <w:rsid w:val="00C37B85"/>
    <w:rsid w:val="00C47984"/>
    <w:rsid w:val="00C5646F"/>
    <w:rsid w:val="00C85BF4"/>
    <w:rsid w:val="00C86B27"/>
    <w:rsid w:val="00C9481C"/>
    <w:rsid w:val="00CA3BC8"/>
    <w:rsid w:val="00CA5BBF"/>
    <w:rsid w:val="00CB65A9"/>
    <w:rsid w:val="00CC093D"/>
    <w:rsid w:val="00CC5072"/>
    <w:rsid w:val="00CC6F3E"/>
    <w:rsid w:val="00CD2160"/>
    <w:rsid w:val="00CE09BB"/>
    <w:rsid w:val="00CE2160"/>
    <w:rsid w:val="00CE6358"/>
    <w:rsid w:val="00CF404C"/>
    <w:rsid w:val="00CF76F4"/>
    <w:rsid w:val="00D03A59"/>
    <w:rsid w:val="00D06591"/>
    <w:rsid w:val="00D127E9"/>
    <w:rsid w:val="00D16133"/>
    <w:rsid w:val="00D16E39"/>
    <w:rsid w:val="00D20437"/>
    <w:rsid w:val="00D23C55"/>
    <w:rsid w:val="00D26BDF"/>
    <w:rsid w:val="00D34B0E"/>
    <w:rsid w:val="00D34C84"/>
    <w:rsid w:val="00D35AAA"/>
    <w:rsid w:val="00D43831"/>
    <w:rsid w:val="00D4794B"/>
    <w:rsid w:val="00D5087A"/>
    <w:rsid w:val="00D5215E"/>
    <w:rsid w:val="00D5319A"/>
    <w:rsid w:val="00D73BBF"/>
    <w:rsid w:val="00D84037"/>
    <w:rsid w:val="00DA232C"/>
    <w:rsid w:val="00DB2AE8"/>
    <w:rsid w:val="00DC1DA8"/>
    <w:rsid w:val="00DC4411"/>
    <w:rsid w:val="00DE4D1E"/>
    <w:rsid w:val="00DE64CC"/>
    <w:rsid w:val="00DF4F21"/>
    <w:rsid w:val="00E0066B"/>
    <w:rsid w:val="00E0638A"/>
    <w:rsid w:val="00E256B7"/>
    <w:rsid w:val="00E3466D"/>
    <w:rsid w:val="00E416E6"/>
    <w:rsid w:val="00E53C5C"/>
    <w:rsid w:val="00E57097"/>
    <w:rsid w:val="00E60184"/>
    <w:rsid w:val="00E61D73"/>
    <w:rsid w:val="00E65EA3"/>
    <w:rsid w:val="00E70B45"/>
    <w:rsid w:val="00E731AF"/>
    <w:rsid w:val="00E74111"/>
    <w:rsid w:val="00E7682E"/>
    <w:rsid w:val="00E7740A"/>
    <w:rsid w:val="00E778B1"/>
    <w:rsid w:val="00E816D6"/>
    <w:rsid w:val="00E867AD"/>
    <w:rsid w:val="00E87248"/>
    <w:rsid w:val="00E91517"/>
    <w:rsid w:val="00E91A03"/>
    <w:rsid w:val="00E97C36"/>
    <w:rsid w:val="00EA0028"/>
    <w:rsid w:val="00EC0B2E"/>
    <w:rsid w:val="00EC16D5"/>
    <w:rsid w:val="00EC49CF"/>
    <w:rsid w:val="00ED64C2"/>
    <w:rsid w:val="00EE4143"/>
    <w:rsid w:val="00F01C56"/>
    <w:rsid w:val="00F173A5"/>
    <w:rsid w:val="00F3400D"/>
    <w:rsid w:val="00F35A77"/>
    <w:rsid w:val="00F441AD"/>
    <w:rsid w:val="00F478A8"/>
    <w:rsid w:val="00F52FEE"/>
    <w:rsid w:val="00F552D6"/>
    <w:rsid w:val="00F60E34"/>
    <w:rsid w:val="00F75DED"/>
    <w:rsid w:val="00F804F0"/>
    <w:rsid w:val="00F82F12"/>
    <w:rsid w:val="00F84866"/>
    <w:rsid w:val="00F84A20"/>
    <w:rsid w:val="00FB586B"/>
    <w:rsid w:val="00FB67E6"/>
    <w:rsid w:val="00FB7A12"/>
    <w:rsid w:val="00FC362C"/>
    <w:rsid w:val="00FC3A05"/>
    <w:rsid w:val="00FC4FD6"/>
    <w:rsid w:val="00FC5727"/>
    <w:rsid w:val="00FD33F7"/>
    <w:rsid w:val="00FE0D0C"/>
    <w:rsid w:val="02EAEB3F"/>
    <w:rsid w:val="0518D97A"/>
    <w:rsid w:val="073EFC05"/>
    <w:rsid w:val="08351ED0"/>
    <w:rsid w:val="08B5D8A0"/>
    <w:rsid w:val="0CD92CD9"/>
    <w:rsid w:val="11E60642"/>
    <w:rsid w:val="130BEC92"/>
    <w:rsid w:val="14CEA2A5"/>
    <w:rsid w:val="17C86A84"/>
    <w:rsid w:val="19FA6DFF"/>
    <w:rsid w:val="1B6A6A8F"/>
    <w:rsid w:val="1C3FBAC5"/>
    <w:rsid w:val="1E75A4E5"/>
    <w:rsid w:val="2056680D"/>
    <w:rsid w:val="20F88F6D"/>
    <w:rsid w:val="229A383C"/>
    <w:rsid w:val="2A0D588A"/>
    <w:rsid w:val="2A106263"/>
    <w:rsid w:val="2C9A2DE9"/>
    <w:rsid w:val="31BC266B"/>
    <w:rsid w:val="3549C946"/>
    <w:rsid w:val="35A322F4"/>
    <w:rsid w:val="35C8FBFD"/>
    <w:rsid w:val="375035F3"/>
    <w:rsid w:val="37E29B99"/>
    <w:rsid w:val="37F08131"/>
    <w:rsid w:val="3A3932BC"/>
    <w:rsid w:val="3E585C2D"/>
    <w:rsid w:val="491EAE0F"/>
    <w:rsid w:val="4950511E"/>
    <w:rsid w:val="4C081CC7"/>
    <w:rsid w:val="56AD2E4B"/>
    <w:rsid w:val="58076919"/>
    <w:rsid w:val="584FED17"/>
    <w:rsid w:val="5914CC32"/>
    <w:rsid w:val="61633655"/>
    <w:rsid w:val="61A47C5A"/>
    <w:rsid w:val="63394BC8"/>
    <w:rsid w:val="6870977B"/>
    <w:rsid w:val="6920926F"/>
    <w:rsid w:val="6A5D835C"/>
    <w:rsid w:val="6B72F015"/>
    <w:rsid w:val="707BA960"/>
    <w:rsid w:val="76A4041B"/>
    <w:rsid w:val="7762775F"/>
    <w:rsid w:val="77DEADD7"/>
    <w:rsid w:val="797A7E38"/>
    <w:rsid w:val="7BC6498D"/>
    <w:rsid w:val="7D919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B7300"/>
  <w15:chartTrackingRefBased/>
  <w15:docId w15:val="{D84C7F09-7C33-4983-8DB4-7901F09A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6C9"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aliases w:val="Sub head 1"/>
    <w:basedOn w:val="Normal"/>
    <w:next w:val="Normal"/>
    <w:link w:val="Heading1Char"/>
    <w:uiPriority w:val="9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aliases w:val="Sub head 3"/>
    <w:basedOn w:val="Normal"/>
    <w:link w:val="Heading3Char"/>
    <w:uiPriority w:val="9"/>
    <w:unhideWhenUsed/>
    <w:qFormat/>
    <w:rsid w:val="00380796"/>
    <w:pPr>
      <w:keepNext/>
      <w:spacing w:line="300" w:lineRule="exact"/>
      <w:outlineLvl w:val="2"/>
    </w:pPr>
    <w:rPr>
      <w:rFonts w:ascii="Arial" w:eastAsiaTheme="minorHAnsi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aliases w:val="bullets,NumberedList,Colorful List - Accent 11,Dot pt,No Spacing1,List Paragraph Char Char Char,Indicator Text,List Paragraph1,Bullet 1,Numbered Para 1,F5 List Paragraph,Bullet Points,MAIN CONTENT,List Paragraph12,List Paragraph11"/>
    <w:basedOn w:val="Normal"/>
    <w:link w:val="ListParagraphChar"/>
    <w:uiPriority w:val="34"/>
    <w:qFormat/>
    <w:rsid w:val="009D06C9"/>
    <w:pPr>
      <w:ind w:left="720"/>
      <w:contextualSpacing/>
    </w:pPr>
  </w:style>
  <w:style w:type="character" w:customStyle="1" w:styleId="ListParagraphChar">
    <w:name w:val="List Paragraph Char"/>
    <w:aliases w:val="bullets Char,NumberedList Char,Colorful List - Accent 11 Char,Dot pt Char,No Spacing1 Char,List Paragraph Char Char Char Char,Indicator Text Char,List Paragraph1 Char,Bullet 1 Char,Numbered Para 1 Char,F5 List Paragraph Char"/>
    <w:basedOn w:val="DefaultParagraphFont"/>
    <w:link w:val="ListParagraph"/>
    <w:uiPriority w:val="34"/>
    <w:qFormat/>
    <w:rsid w:val="009D06C9"/>
    <w:rPr>
      <w:rFonts w:ascii="Foundry Form Sans" w:hAnsi="Foundry Form Sans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D06C9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D06C9"/>
    <w:rPr>
      <w:sz w:val="24"/>
      <w:lang w:val="en-US" w:eastAsia="en-US"/>
    </w:rPr>
  </w:style>
  <w:style w:type="paragraph" w:styleId="NoSpacing">
    <w:name w:val="No Spacing"/>
    <w:aliases w:val="body copy"/>
    <w:link w:val="NoSpacingChar"/>
    <w:uiPriority w:val="1"/>
    <w:qFormat/>
    <w:rsid w:val="009D06C9"/>
    <w:pPr>
      <w:spacing w:before="280" w:line="280" w:lineRule="exact"/>
    </w:pPr>
    <w:rPr>
      <w:rFonts w:ascii="Arial" w:eastAsiaTheme="minorEastAsia" w:hAnsi="Arial" w:cstheme="minorBidi"/>
      <w:szCs w:val="24"/>
      <w:lang w:eastAsia="en-US"/>
    </w:rPr>
  </w:style>
  <w:style w:type="character" w:customStyle="1" w:styleId="NoSpacingChar">
    <w:name w:val="No Spacing Char"/>
    <w:aliases w:val="body copy Char"/>
    <w:basedOn w:val="DefaultParagraphFont"/>
    <w:link w:val="NoSpacing"/>
    <w:uiPriority w:val="1"/>
    <w:rsid w:val="009D06C9"/>
    <w:rPr>
      <w:rFonts w:ascii="Arial" w:eastAsiaTheme="minorEastAsia" w:hAnsi="Arial" w:cstheme="minorBidi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964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96458"/>
    <w:rPr>
      <w:rFonts w:ascii="Foundry Form Sans" w:hAnsi="Foundry Form Sans"/>
      <w:sz w:val="24"/>
      <w:szCs w:val="24"/>
      <w:lang w:eastAsia="en-US"/>
    </w:rPr>
  </w:style>
  <w:style w:type="character" w:customStyle="1" w:styleId="Heading3Char">
    <w:name w:val="Heading 3 Char"/>
    <w:aliases w:val="Sub head 3 Char"/>
    <w:basedOn w:val="DefaultParagraphFont"/>
    <w:link w:val="Heading3"/>
    <w:uiPriority w:val="9"/>
    <w:rsid w:val="00380796"/>
    <w:rPr>
      <w:rFonts w:ascii="Arial" w:eastAsiaTheme="minorHAnsi" w:hAnsi="Arial" w:cs="Arial"/>
      <w:i/>
      <w:iCs/>
      <w:sz w:val="24"/>
      <w:szCs w:val="24"/>
      <w:lang w:eastAsia="en-US"/>
    </w:rPr>
  </w:style>
  <w:style w:type="character" w:customStyle="1" w:styleId="Heading1Char">
    <w:name w:val="Heading 1 Char"/>
    <w:aliases w:val="Sub head 1 Char"/>
    <w:basedOn w:val="DefaultParagraphFont"/>
    <w:link w:val="Heading1"/>
    <w:uiPriority w:val="9"/>
    <w:rsid w:val="00380796"/>
    <w:rPr>
      <w:rFonts w:ascii="Arial" w:hAnsi="Arial" w:cs="Arial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rsid w:val="00F478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05AF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5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5AFD"/>
    <w:rPr>
      <w:rFonts w:ascii="Foundry Form Sans" w:hAnsi="Foundry Form San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5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5AFD"/>
    <w:rPr>
      <w:rFonts w:ascii="Foundry Form Sans" w:hAnsi="Foundry Form Sans"/>
      <w:b/>
      <w:bCs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6B3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B374E"/>
    <w:rPr>
      <w:rFonts w:ascii="Foundry Form Sans" w:hAnsi="Foundry Form Sans"/>
      <w:lang w:eastAsia="en-US"/>
    </w:rPr>
  </w:style>
  <w:style w:type="character" w:styleId="FootnoteReference">
    <w:name w:val="footnote reference"/>
    <w:basedOn w:val="DefaultParagraphFont"/>
    <w:semiHidden/>
    <w:unhideWhenUsed/>
    <w:rsid w:val="006B374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77296"/>
    <w:rPr>
      <w:color w:val="0000FF"/>
      <w:u w:val="single"/>
    </w:rPr>
  </w:style>
  <w:style w:type="paragraph" w:styleId="Revision">
    <w:name w:val="Revision"/>
    <w:hidden/>
    <w:uiPriority w:val="99"/>
    <w:semiHidden/>
    <w:rsid w:val="00FB586B"/>
    <w:rPr>
      <w:rFonts w:ascii="Foundry Form Sans" w:hAnsi="Foundry Form San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69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942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264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4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3f1d5-6be3-45b0-84c6-c63d75522dd9" xsi:nil="true"/>
    <lcf76f155ced4ddcb4097134ff3c332f xmlns="a8106964-8f96-4449-bd77-4e7dc880edc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D80BB0208A848BEEBF556B6DD8F73" ma:contentTypeVersion="18" ma:contentTypeDescription="Create a new document." ma:contentTypeScope="" ma:versionID="749f3bef330725df4a9ff8874bea9984">
  <xsd:schema xmlns:xsd="http://www.w3.org/2001/XMLSchema" xmlns:xs="http://www.w3.org/2001/XMLSchema" xmlns:p="http://schemas.microsoft.com/office/2006/metadata/properties" xmlns:ns2="a8106964-8f96-4449-bd77-4e7dc880edce" xmlns:ns3="5563f1d5-6be3-45b0-84c6-c63d75522dd9" targetNamespace="http://schemas.microsoft.com/office/2006/metadata/properties" ma:root="true" ma:fieldsID="fe702005950976a62bd83ad32c38b124" ns2:_="" ns3:_="">
    <xsd:import namespace="a8106964-8f96-4449-bd77-4e7dc880edce"/>
    <xsd:import namespace="5563f1d5-6be3-45b0-84c6-c63d75522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6964-8f96-4449-bd77-4e7dc880e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3f1d5-6be3-45b0-84c6-c63d75522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cfaf52-afed-4cd2-a7d5-c2b663873793}" ma:internalName="TaxCatchAll" ma:showField="CatchAllData" ma:web="5563f1d5-6be3-45b0-84c6-c63d75522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121B9-2877-4B21-BEE8-C718E36CE14B}">
  <ds:schemaRefs>
    <ds:schemaRef ds:uri="http://schemas.microsoft.com/office/2006/metadata/properties"/>
    <ds:schemaRef ds:uri="http://schemas.microsoft.com/office/infopath/2007/PartnerControls"/>
    <ds:schemaRef ds:uri="5563f1d5-6be3-45b0-84c6-c63d75522dd9"/>
    <ds:schemaRef ds:uri="a8106964-8f96-4449-bd77-4e7dc880edce"/>
  </ds:schemaRefs>
</ds:datastoreItem>
</file>

<file path=customXml/itemProps2.xml><?xml version="1.0" encoding="utf-8"?>
<ds:datastoreItem xmlns:ds="http://schemas.openxmlformats.org/officeDocument/2006/customXml" ds:itemID="{C62D98FF-9129-4184-B7ED-B8F720D3A4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FB332A-2246-43E8-9AD8-568238532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06964-8f96-4449-bd77-4e7dc880edce"/>
    <ds:schemaRef ds:uri="5563f1d5-6be3-45b0-84c6-c63d75522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0F84C-D6C7-4456-A9E5-5B31E9448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885</Words>
  <Characters>4329</Characters>
  <Application>Microsoft Office Word</Application>
  <DocSecurity>0</DocSecurity>
  <Lines>36</Lines>
  <Paragraphs>10</Paragraphs>
  <ScaleCrop>false</ScaleCrop>
  <Company>Greater London Authority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Morgan</dc:creator>
  <cp:keywords/>
  <dc:description/>
  <cp:lastModifiedBy>Stuart Scott</cp:lastModifiedBy>
  <cp:revision>111</cp:revision>
  <cp:lastPrinted>2020-02-04T19:01:00Z</cp:lastPrinted>
  <dcterms:created xsi:type="dcterms:W3CDTF">2024-02-01T19:22:00Z</dcterms:created>
  <dcterms:modified xsi:type="dcterms:W3CDTF">2024-03-15T13:23:00Z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0x0101006DDD80BB0208A848BEEBF556B6DD8F73</vt:lpwstr>
  </property>
  <property fmtid="{D5CDD505-2E9C-101B-9397-08002B2CF9AE}" pid="3" name="MediaServiceImageTags">
    <vt:lpwstr/>
  </property>
</Properties>
</file>