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20" w:type="dxa"/>
        <w:tblInd w:w="-13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20"/>
      </w:tblGrid>
      <w:tr w:rsidR="00242FB4">
        <w:trPr>
          <w:trHeight w:val="183"/>
        </w:trPr>
        <w:tc>
          <w:tcPr>
            <w:tcW w:w="9120" w:type="dxa"/>
            <w:tcBorders>
              <w:top w:val="single" w:sz="12" w:space="0" w:color="auto"/>
            </w:tcBorders>
          </w:tcPr>
          <w:p w:rsidR="00242FB4" w:rsidRDefault="00242FB4" w:rsidP="009F133B">
            <w:pPr>
              <w:ind w:left="284"/>
              <w:jc w:val="both"/>
              <w:rPr>
                <w:rFonts w:ascii="Foundry Form Sans" w:hAnsi="Foundry Form Sans"/>
                <w:sz w:val="28"/>
                <w:szCs w:val="28"/>
              </w:rPr>
            </w:pPr>
            <w:bookmarkStart w:id="0" w:name="_GoBack"/>
            <w:bookmarkEnd w:id="0"/>
          </w:p>
        </w:tc>
      </w:tr>
      <w:tr w:rsidR="00242FB4">
        <w:trPr>
          <w:trHeight w:val="3630"/>
        </w:trPr>
        <w:tc>
          <w:tcPr>
            <w:tcW w:w="9120" w:type="dxa"/>
          </w:tcPr>
          <w:p w:rsidR="00242FB4" w:rsidRPr="00C07FD9" w:rsidRDefault="00242FB4" w:rsidP="009F133B">
            <w:pPr>
              <w:ind w:left="284"/>
              <w:jc w:val="both"/>
              <w:rPr>
                <w:rFonts w:ascii="Foundry Form Sans" w:hAnsi="Foundry Form Sans"/>
              </w:rPr>
            </w:pPr>
            <w:r w:rsidRPr="00C07FD9">
              <w:rPr>
                <w:rFonts w:ascii="Foundry Form Sans" w:hAnsi="Foundry Form Sans" w:cs="Arial"/>
              </w:rPr>
              <w:t xml:space="preserve">OJEU: </w:t>
            </w:r>
            <w:r>
              <w:rPr>
                <w:rFonts w:ascii="Foundry Form Sans" w:hAnsi="Foundry Form Sans" w:cs="Arial"/>
              </w:rPr>
              <w:t>2012/S 69-113942</w:t>
            </w:r>
          </w:p>
          <w:p w:rsidR="00242FB4" w:rsidRDefault="00242FB4" w:rsidP="009F133B">
            <w:pPr>
              <w:ind w:left="284"/>
              <w:jc w:val="both"/>
            </w:pPr>
          </w:p>
          <w:p w:rsidR="00242FB4" w:rsidRDefault="00242FB4" w:rsidP="009F133B">
            <w:pPr>
              <w:ind w:left="284"/>
              <w:jc w:val="both"/>
            </w:pPr>
          </w:p>
          <w:p w:rsidR="00242FB4" w:rsidRDefault="00242FB4" w:rsidP="009F133B">
            <w:pPr>
              <w:ind w:left="284"/>
              <w:jc w:val="both"/>
            </w:pPr>
          </w:p>
          <w:p w:rsidR="00242FB4" w:rsidRDefault="00242FB4" w:rsidP="009F133B">
            <w:pPr>
              <w:pBdr>
                <w:top w:val="single" w:sz="4" w:space="1" w:color="auto"/>
                <w:bottom w:val="single" w:sz="4" w:space="1" w:color="auto"/>
              </w:pBdr>
              <w:ind w:left="284"/>
              <w:jc w:val="both"/>
              <w:rPr>
                <w:rFonts w:ascii="Foundry Form Sans" w:hAnsi="Foundry Form Sans" w:cs="Arial"/>
                <w:b/>
                <w:bCs/>
                <w:color w:val="000000"/>
                <w:kern w:val="32"/>
                <w:sz w:val="44"/>
                <w:szCs w:val="44"/>
              </w:rPr>
            </w:pPr>
            <w:r>
              <w:rPr>
                <w:rFonts w:ascii="Foundry Form Sans" w:hAnsi="Foundry Form Sans" w:cs="Arial"/>
                <w:b/>
                <w:bCs/>
                <w:color w:val="000000"/>
                <w:kern w:val="32"/>
                <w:sz w:val="44"/>
                <w:szCs w:val="44"/>
              </w:rPr>
              <w:t xml:space="preserve">Stage 3 Mini-Competition – </w:t>
            </w:r>
          </w:p>
          <w:p w:rsidR="00242FB4" w:rsidRDefault="00242FB4" w:rsidP="009F133B">
            <w:pPr>
              <w:ind w:left="284"/>
              <w:jc w:val="both"/>
            </w:pPr>
          </w:p>
          <w:p w:rsidR="00242FB4" w:rsidRDefault="00242FB4" w:rsidP="009F133B">
            <w:pPr>
              <w:ind w:left="284"/>
              <w:jc w:val="both"/>
            </w:pPr>
          </w:p>
        </w:tc>
      </w:tr>
      <w:tr w:rsidR="00242FB4">
        <w:trPr>
          <w:trHeight w:val="2188"/>
        </w:trPr>
        <w:tc>
          <w:tcPr>
            <w:tcW w:w="9120" w:type="dxa"/>
            <w:shd w:val="clear" w:color="auto" w:fill="B3B3B3"/>
          </w:tcPr>
          <w:p w:rsidR="00BE430B" w:rsidRDefault="005705C1" w:rsidP="009F133B">
            <w:pPr>
              <w:ind w:left="284"/>
              <w:jc w:val="both"/>
              <w:rPr>
                <w:rFonts w:ascii="Foundry Form Sans" w:hAnsi="Foundry Form Sans"/>
                <w:b/>
                <w:color w:val="FFFFFF"/>
                <w:sz w:val="68"/>
                <w:szCs w:val="68"/>
              </w:rPr>
            </w:pPr>
            <w:r>
              <w:rPr>
                <w:rFonts w:ascii="Foundry Form Sans" w:hAnsi="Foundry Form Sans"/>
                <w:b/>
                <w:color w:val="FFFFFF"/>
                <w:sz w:val="68"/>
                <w:szCs w:val="68"/>
              </w:rPr>
              <w:t>Gallions 3</w:t>
            </w:r>
            <w:r w:rsidR="00F27BF8">
              <w:rPr>
                <w:rFonts w:ascii="Foundry Form Sans" w:hAnsi="Foundry Form Sans"/>
                <w:b/>
                <w:color w:val="FFFFFF"/>
                <w:sz w:val="68"/>
                <w:szCs w:val="68"/>
              </w:rPr>
              <w:t>B</w:t>
            </w:r>
          </w:p>
          <w:p w:rsidR="00BE430B" w:rsidRDefault="002F008C" w:rsidP="009F133B">
            <w:pPr>
              <w:ind w:left="284"/>
              <w:jc w:val="both"/>
              <w:rPr>
                <w:rFonts w:ascii="Foundry Form Sans" w:hAnsi="Foundry Form Sans"/>
                <w:b/>
                <w:color w:val="FFFFFF"/>
                <w:sz w:val="40"/>
                <w:szCs w:val="40"/>
              </w:rPr>
            </w:pPr>
            <w:r w:rsidRPr="00052B7D">
              <w:rPr>
                <w:rFonts w:ascii="Foundry Form Sans" w:hAnsi="Foundry Form Sans"/>
                <w:b/>
                <w:color w:val="FFFFFF"/>
                <w:sz w:val="40"/>
                <w:szCs w:val="40"/>
              </w:rPr>
              <w:t>Royal Albert Basin</w:t>
            </w:r>
            <w:r w:rsidR="00FD1B53" w:rsidRPr="00052B7D">
              <w:rPr>
                <w:rFonts w:ascii="Foundry Form Sans" w:hAnsi="Foundry Form Sans"/>
                <w:b/>
                <w:color w:val="FFFFFF"/>
                <w:sz w:val="40"/>
                <w:szCs w:val="40"/>
              </w:rPr>
              <w:t>,</w:t>
            </w:r>
            <w:r w:rsidR="00BE430B">
              <w:rPr>
                <w:rFonts w:ascii="Foundry Form Sans" w:hAnsi="Foundry Form Sans"/>
                <w:b/>
                <w:color w:val="FFFFFF"/>
                <w:sz w:val="40"/>
                <w:szCs w:val="40"/>
              </w:rPr>
              <w:t xml:space="preserve"> </w:t>
            </w:r>
          </w:p>
          <w:p w:rsidR="00BE430B" w:rsidRPr="00052B7D" w:rsidRDefault="002F008C" w:rsidP="009F133B">
            <w:pPr>
              <w:ind w:left="284"/>
              <w:jc w:val="both"/>
              <w:rPr>
                <w:rFonts w:ascii="Foundry Form Sans" w:hAnsi="Foundry Form Sans"/>
                <w:b/>
                <w:color w:val="FFFFFF"/>
                <w:sz w:val="40"/>
                <w:szCs w:val="40"/>
              </w:rPr>
            </w:pPr>
            <w:r w:rsidRPr="00052B7D">
              <w:rPr>
                <w:rFonts w:ascii="Foundry Form Sans" w:hAnsi="Foundry Form Sans"/>
                <w:b/>
                <w:color w:val="FFFFFF"/>
                <w:sz w:val="40"/>
                <w:szCs w:val="40"/>
              </w:rPr>
              <w:t>Royal Docks</w:t>
            </w:r>
          </w:p>
          <w:p w:rsidR="00242FB4" w:rsidRDefault="00242FB4" w:rsidP="009F133B">
            <w:pPr>
              <w:ind w:left="284"/>
              <w:jc w:val="both"/>
              <w:rPr>
                <w:rFonts w:ascii="Foundry Form Sans" w:hAnsi="Foundry Form Sans"/>
                <w:b/>
                <w:color w:val="FFFFFF"/>
                <w:sz w:val="96"/>
                <w:szCs w:val="96"/>
              </w:rPr>
            </w:pPr>
            <w:r w:rsidRPr="00FD1B53">
              <w:rPr>
                <w:rFonts w:ascii="Foundry Form Sans" w:hAnsi="Foundry Form Sans"/>
                <w:b/>
                <w:color w:val="FFFFFF"/>
                <w:sz w:val="66"/>
                <w:szCs w:val="66"/>
              </w:rPr>
              <w:t>Invitation to Tender</w:t>
            </w:r>
          </w:p>
        </w:tc>
      </w:tr>
      <w:tr w:rsidR="00242FB4" w:rsidTr="002A6358">
        <w:trPr>
          <w:trHeight w:val="3981"/>
        </w:trPr>
        <w:tc>
          <w:tcPr>
            <w:tcW w:w="9120" w:type="dxa"/>
          </w:tcPr>
          <w:p w:rsidR="00242FB4" w:rsidRDefault="00242FB4" w:rsidP="009F133B">
            <w:pPr>
              <w:ind w:left="284"/>
              <w:jc w:val="both"/>
              <w:rPr>
                <w:rFonts w:ascii="Foundry Form Sans" w:hAnsi="Foundry Form Sans"/>
                <w:sz w:val="44"/>
                <w:szCs w:val="44"/>
              </w:rPr>
            </w:pPr>
          </w:p>
          <w:p w:rsidR="00E0400D" w:rsidRPr="000962A4" w:rsidRDefault="00242FB4" w:rsidP="009F133B">
            <w:pPr>
              <w:ind w:left="284"/>
              <w:jc w:val="both"/>
              <w:rPr>
                <w:rFonts w:ascii="Foundry Form Sans" w:hAnsi="Foundry Form Sans"/>
                <w:sz w:val="52"/>
                <w:szCs w:val="52"/>
              </w:rPr>
            </w:pPr>
            <w:r>
              <w:rPr>
                <w:rFonts w:ascii="Foundry Form Sans" w:hAnsi="Foundry Form Sans" w:cs="Arial"/>
                <w:b/>
                <w:bCs/>
                <w:color w:val="999999"/>
                <w:kern w:val="32"/>
                <w:sz w:val="72"/>
                <w:szCs w:val="72"/>
              </w:rPr>
              <w:t>London Development Panel</w:t>
            </w:r>
          </w:p>
        </w:tc>
      </w:tr>
      <w:tr w:rsidR="00242FB4">
        <w:trPr>
          <w:trHeight w:val="178"/>
        </w:trPr>
        <w:tc>
          <w:tcPr>
            <w:tcW w:w="9120" w:type="dxa"/>
            <w:tcBorders>
              <w:bottom w:val="single" w:sz="12" w:space="0" w:color="auto"/>
            </w:tcBorders>
          </w:tcPr>
          <w:p w:rsidR="003942BB" w:rsidRPr="00051C31" w:rsidRDefault="00242FB4" w:rsidP="009F133B">
            <w:pPr>
              <w:ind w:left="284"/>
              <w:jc w:val="both"/>
              <w:rPr>
                <w:rFonts w:ascii="Foundry Form Sans" w:hAnsi="Foundry Form Sans"/>
              </w:rPr>
            </w:pPr>
            <w:r>
              <w:rPr>
                <w:rFonts w:ascii="Foundry Form Sans" w:hAnsi="Foundry Form Sans"/>
              </w:rPr>
              <w:t xml:space="preserve">Client </w:t>
            </w:r>
            <w:r w:rsidRPr="00051C31">
              <w:rPr>
                <w:rFonts w:ascii="Foundry Form Sans" w:hAnsi="Foundry Form Sans"/>
              </w:rPr>
              <w:t xml:space="preserve">Contact: </w:t>
            </w:r>
            <w:r w:rsidR="006836A7">
              <w:rPr>
                <w:rFonts w:ascii="Foundry Form Sans" w:hAnsi="Foundry Form Sans"/>
              </w:rPr>
              <w:t>Alison Altoft, Assistant Commercial Manager</w:t>
            </w:r>
          </w:p>
          <w:p w:rsidR="00242FB4" w:rsidRPr="00403C2B" w:rsidRDefault="00242FB4" w:rsidP="009F133B">
            <w:pPr>
              <w:ind w:left="284"/>
              <w:jc w:val="both"/>
              <w:rPr>
                <w:rFonts w:ascii="Foundry Form Sans" w:hAnsi="Foundry Form Sans"/>
              </w:rPr>
            </w:pPr>
            <w:r w:rsidRPr="00403C2B">
              <w:rPr>
                <w:rFonts w:ascii="Foundry Form Sans" w:hAnsi="Foundry Form Sans"/>
                <w:b/>
              </w:rPr>
              <w:t>Transport for London</w:t>
            </w:r>
          </w:p>
          <w:p w:rsidR="00242FB4" w:rsidRPr="00051C31" w:rsidRDefault="00242FB4" w:rsidP="009F133B">
            <w:pPr>
              <w:ind w:left="284"/>
              <w:jc w:val="both"/>
              <w:rPr>
                <w:rFonts w:ascii="Foundry Form Sans" w:hAnsi="Foundry Form Sans" w:cs="Arial"/>
                <w:noProof/>
              </w:rPr>
            </w:pPr>
            <w:r w:rsidRPr="00403C2B">
              <w:rPr>
                <w:rFonts w:ascii="Foundry Form Sans" w:hAnsi="Foundry Form Sans" w:cs="Arial"/>
                <w:noProof/>
              </w:rPr>
              <w:t xml:space="preserve">Email: </w:t>
            </w:r>
            <w:r w:rsidR="006836A7">
              <w:rPr>
                <w:rFonts w:ascii="Foundry Form Sans" w:hAnsi="Foundry Form Sans" w:cs="Arial"/>
                <w:noProof/>
              </w:rPr>
              <w:t>AlisonAltoft@tfl.gov.uk</w:t>
            </w:r>
          </w:p>
          <w:p w:rsidR="00051C31" w:rsidRPr="002A6358" w:rsidRDefault="00242FB4" w:rsidP="009F133B">
            <w:pPr>
              <w:ind w:left="284"/>
              <w:jc w:val="both"/>
              <w:rPr>
                <w:rFonts w:ascii="Foundry Form Sans" w:hAnsi="Foundry Form Sans" w:cs="Arial"/>
                <w:noProof/>
              </w:rPr>
            </w:pPr>
            <w:r w:rsidRPr="00051C31">
              <w:rPr>
                <w:rFonts w:ascii="Foundry Form Sans" w:hAnsi="Foundry Form Sans" w:cs="Arial"/>
                <w:noProof/>
              </w:rPr>
              <w:t xml:space="preserve">Phone: </w:t>
            </w:r>
            <w:r w:rsidR="006836A7">
              <w:rPr>
                <w:rFonts w:ascii="Foundry Form Sans" w:hAnsi="Foundry Form Sans" w:cs="Arial"/>
                <w:noProof/>
              </w:rPr>
              <w:t>020 7126 4675</w:t>
            </w:r>
          </w:p>
          <w:p w:rsidR="00242FB4" w:rsidRDefault="00242FB4" w:rsidP="009F133B">
            <w:pPr>
              <w:ind w:left="284"/>
              <w:jc w:val="both"/>
              <w:rPr>
                <w:rFonts w:ascii="Foundry Form Sans" w:hAnsi="Foundry Form Sans"/>
              </w:rPr>
            </w:pPr>
          </w:p>
          <w:p w:rsidR="00242FB4" w:rsidRDefault="00242FB4" w:rsidP="009F133B">
            <w:pPr>
              <w:ind w:left="284"/>
              <w:jc w:val="both"/>
              <w:rPr>
                <w:rFonts w:ascii="Foundry Form Sans" w:hAnsi="Foundry Form Sans" w:cs="Arial"/>
                <w:lang w:eastAsia="en-GB"/>
              </w:rPr>
            </w:pPr>
            <w:r w:rsidRPr="008D723D">
              <w:rPr>
                <w:rFonts w:ascii="Foundry Form Sans" w:hAnsi="Foundry Form Sans" w:cs="Arial"/>
                <w:bCs/>
                <w:lang w:eastAsia="en-GB"/>
              </w:rPr>
              <w:t>On behalf of:</w:t>
            </w:r>
            <w:r>
              <w:rPr>
                <w:rFonts w:ascii="Foundry Form Sans" w:hAnsi="Foundry Form Sans" w:cs="Arial"/>
                <w:b/>
                <w:bCs/>
                <w:lang w:eastAsia="en-GB"/>
              </w:rPr>
              <w:t xml:space="preserve"> Greater London Authority </w:t>
            </w:r>
            <w:r>
              <w:rPr>
                <w:rFonts w:ascii="Foundry Form Sans" w:hAnsi="Foundry Form Sans" w:cs="Arial"/>
                <w:lang w:eastAsia="en-GB"/>
              </w:rPr>
              <w:t xml:space="preserve">City Hall | The Queens Walk | London | SE1 2AA </w:t>
            </w:r>
          </w:p>
          <w:p w:rsidR="00403C2B" w:rsidRPr="006836A7" w:rsidRDefault="00242FB4" w:rsidP="009F133B">
            <w:pPr>
              <w:ind w:left="284"/>
              <w:jc w:val="both"/>
              <w:rPr>
                <w:rFonts w:ascii="Foundry Form Sans" w:hAnsi="Foundry Form Sans" w:cs="Arial"/>
                <w:b/>
              </w:rPr>
            </w:pPr>
            <w:r>
              <w:rPr>
                <w:rFonts w:ascii="Foundry Form Sans" w:hAnsi="Foundry Form Sans" w:cs="Arial"/>
              </w:rPr>
              <w:t>Please return your Acknowledgment of Receipt by email to the contacts above by</w:t>
            </w:r>
            <w:r w:rsidR="003942BB">
              <w:rPr>
                <w:rFonts w:ascii="Foundry Form Sans" w:hAnsi="Foundry Form Sans" w:cs="Arial"/>
              </w:rPr>
              <w:t xml:space="preserve"> </w:t>
            </w:r>
            <w:r w:rsidR="00281030">
              <w:rPr>
                <w:rFonts w:ascii="Foundry Form Sans" w:hAnsi="Foundry Form Sans" w:cs="Arial"/>
                <w:b/>
              </w:rPr>
              <w:t>4pm</w:t>
            </w:r>
            <w:r w:rsidR="00051C31" w:rsidRPr="006836A7">
              <w:rPr>
                <w:rFonts w:ascii="Foundry Form Sans" w:hAnsi="Foundry Form Sans" w:cs="Arial"/>
                <w:b/>
              </w:rPr>
              <w:t xml:space="preserve"> GMT on </w:t>
            </w:r>
            <w:r w:rsidR="006836A7" w:rsidRPr="006836A7">
              <w:rPr>
                <w:rFonts w:ascii="Foundry Form Sans" w:hAnsi="Foundry Form Sans" w:cs="Arial"/>
                <w:b/>
              </w:rPr>
              <w:t>Friday 17</w:t>
            </w:r>
            <w:r w:rsidR="006836A7" w:rsidRPr="006836A7">
              <w:rPr>
                <w:rFonts w:ascii="Foundry Form Sans" w:hAnsi="Foundry Form Sans" w:cs="Arial"/>
                <w:b/>
                <w:vertAlign w:val="superscript"/>
              </w:rPr>
              <w:t>th</w:t>
            </w:r>
            <w:r w:rsidR="006836A7" w:rsidRPr="006836A7">
              <w:rPr>
                <w:rFonts w:ascii="Foundry Form Sans" w:hAnsi="Foundry Form Sans" w:cs="Arial"/>
                <w:b/>
              </w:rPr>
              <w:t xml:space="preserve"> March</w:t>
            </w:r>
          </w:p>
          <w:p w:rsidR="00242FB4" w:rsidRDefault="00242FB4" w:rsidP="009F133B">
            <w:pPr>
              <w:ind w:left="284"/>
              <w:jc w:val="both"/>
              <w:rPr>
                <w:rFonts w:ascii="Foundry Form Sans" w:hAnsi="Foundry Form Sans" w:cs="Arial"/>
              </w:rPr>
            </w:pPr>
            <w:r w:rsidRPr="00D94A47">
              <w:rPr>
                <w:rFonts w:ascii="Foundry Form Sans" w:hAnsi="Foundry Form Sans" w:cs="Arial"/>
              </w:rPr>
              <w:t xml:space="preserve">and </w:t>
            </w:r>
            <w:r>
              <w:rPr>
                <w:rFonts w:ascii="Foundry Form Sans" w:hAnsi="Foundry Form Sans" w:cs="Arial"/>
              </w:rPr>
              <w:t>upload your</w:t>
            </w:r>
            <w:r w:rsidRPr="00D94A47">
              <w:rPr>
                <w:rFonts w:ascii="Foundry Form Sans" w:hAnsi="Foundry Form Sans" w:cs="Arial"/>
              </w:rPr>
              <w:t xml:space="preserve"> tende</w:t>
            </w:r>
            <w:r>
              <w:rPr>
                <w:rFonts w:ascii="Foundry Form Sans" w:hAnsi="Foundry Form Sans" w:cs="Arial"/>
              </w:rPr>
              <w:t xml:space="preserve">r document to the eTender portal </w:t>
            </w:r>
            <w:r w:rsidRPr="00D94A47">
              <w:rPr>
                <w:rFonts w:ascii="Foundry Form Sans" w:hAnsi="Foundry Form Sans" w:cs="Arial"/>
              </w:rPr>
              <w:t xml:space="preserve">by </w:t>
            </w:r>
            <w:bookmarkStart w:id="1" w:name="_MailAutoSig"/>
            <w:r w:rsidR="00051C31" w:rsidRPr="003B3D6A">
              <w:rPr>
                <w:rFonts w:ascii="Foundry Form Sans" w:hAnsi="Foundry Form Sans" w:cs="Arial"/>
                <w:b/>
                <w:highlight w:val="yellow"/>
              </w:rPr>
              <w:t xml:space="preserve">12 noon GMT on </w:t>
            </w:r>
            <w:r w:rsidR="006836A7">
              <w:rPr>
                <w:rFonts w:ascii="Foundry Form Sans" w:hAnsi="Foundry Form Sans" w:cs="Arial"/>
                <w:b/>
                <w:highlight w:val="yellow"/>
              </w:rPr>
              <w:t>2</w:t>
            </w:r>
            <w:r w:rsidR="006836A7">
              <w:rPr>
                <w:rFonts w:ascii="Foundry Form Sans" w:hAnsi="Foundry Form Sans" w:cs="Arial"/>
                <w:b/>
                <w:highlight w:val="yellow"/>
                <w:vertAlign w:val="superscript"/>
              </w:rPr>
              <w:t>nd</w:t>
            </w:r>
            <w:r w:rsidR="00051C31" w:rsidRPr="003B3D6A">
              <w:rPr>
                <w:rFonts w:ascii="Foundry Form Sans" w:hAnsi="Foundry Form Sans" w:cs="Arial"/>
                <w:b/>
                <w:highlight w:val="yellow"/>
              </w:rPr>
              <w:t xml:space="preserve"> </w:t>
            </w:r>
            <w:r w:rsidR="006836A7">
              <w:rPr>
                <w:rFonts w:ascii="Foundry Form Sans" w:hAnsi="Foundry Form Sans" w:cs="Arial"/>
                <w:b/>
                <w:highlight w:val="yellow"/>
              </w:rPr>
              <w:t>June</w:t>
            </w:r>
            <w:r w:rsidR="00FE18AA" w:rsidRPr="003B3D6A">
              <w:rPr>
                <w:rFonts w:ascii="Foundry Form Sans" w:hAnsi="Foundry Form Sans" w:cs="Arial"/>
                <w:b/>
                <w:highlight w:val="yellow"/>
              </w:rPr>
              <w:t xml:space="preserve"> </w:t>
            </w:r>
            <w:r w:rsidR="00051C31" w:rsidRPr="003B3D6A">
              <w:rPr>
                <w:rFonts w:ascii="Foundry Form Sans" w:hAnsi="Foundry Form Sans" w:cs="Arial"/>
                <w:b/>
                <w:highlight w:val="yellow"/>
              </w:rPr>
              <w:t>201</w:t>
            </w:r>
            <w:bookmarkEnd w:id="1"/>
            <w:r w:rsidR="003B3D6A" w:rsidRPr="003B3D6A">
              <w:rPr>
                <w:rFonts w:ascii="Foundry Form Sans" w:hAnsi="Foundry Form Sans" w:cs="Arial"/>
                <w:b/>
                <w:highlight w:val="yellow"/>
              </w:rPr>
              <w:t>7</w:t>
            </w:r>
          </w:p>
        </w:tc>
      </w:tr>
    </w:tbl>
    <w:p w:rsidR="00242FB4" w:rsidRPr="00A22836" w:rsidRDefault="00242FB4" w:rsidP="009F133B">
      <w:pPr>
        <w:pStyle w:val="Heading3"/>
        <w:ind w:left="284"/>
        <w:jc w:val="both"/>
        <w:rPr>
          <w:b/>
          <w:color w:val="FF0000"/>
          <w:sz w:val="32"/>
          <w:szCs w:val="32"/>
        </w:rPr>
      </w:pPr>
      <w:r>
        <w:rPr>
          <w:b/>
          <w:sz w:val="32"/>
          <w:szCs w:val="32"/>
        </w:rPr>
        <w:lastRenderedPageBreak/>
        <w:t>Index</w:t>
      </w:r>
      <w:r w:rsidR="00F148F6">
        <w:rPr>
          <w:b/>
          <w:sz w:val="32"/>
          <w:szCs w:val="32"/>
        </w:rPr>
        <w:t xml:space="preserve"> </w:t>
      </w:r>
    </w:p>
    <w:p w:rsidR="00242FB4" w:rsidRPr="00A22836" w:rsidRDefault="00242FB4" w:rsidP="009F133B">
      <w:pPr>
        <w:ind w:left="284"/>
        <w:jc w:val="both"/>
        <w:rPr>
          <w:color w:val="FF0000"/>
        </w:rPr>
      </w:pPr>
    </w:p>
    <w:p w:rsidR="00A22836" w:rsidRDefault="003C03A2" w:rsidP="009F133B">
      <w:pPr>
        <w:pStyle w:val="TOC1"/>
        <w:ind w:left="284"/>
        <w:jc w:val="both"/>
        <w:rPr>
          <w:rFonts w:asciiTheme="minorHAnsi" w:eastAsiaTheme="minorEastAsia" w:hAnsiTheme="minorHAnsi" w:cstheme="minorBidi"/>
          <w:b w:val="0"/>
          <w:noProof/>
          <w:sz w:val="22"/>
          <w:lang w:eastAsia="en-GB"/>
        </w:rPr>
      </w:pPr>
      <w:r>
        <w:fldChar w:fldCharType="begin"/>
      </w:r>
      <w:r w:rsidR="00242FB4">
        <w:instrText xml:space="preserve"> TOC \o "1-1" \h \z \u </w:instrText>
      </w:r>
      <w:r>
        <w:fldChar w:fldCharType="separate"/>
      </w:r>
      <w:hyperlink w:anchor="_Toc441674202" w:history="1">
        <w:r w:rsidR="00A22836" w:rsidRPr="00E67235">
          <w:rPr>
            <w:rStyle w:val="Hyperlink"/>
            <w:noProof/>
          </w:rPr>
          <w:t>1</w:t>
        </w:r>
        <w:r w:rsidR="00A22836">
          <w:rPr>
            <w:rFonts w:asciiTheme="minorHAnsi" w:eastAsiaTheme="minorEastAsia" w:hAnsiTheme="minorHAnsi" w:cstheme="minorBidi"/>
            <w:b w:val="0"/>
            <w:noProof/>
            <w:sz w:val="22"/>
            <w:lang w:eastAsia="en-GB"/>
          </w:rPr>
          <w:tab/>
        </w:r>
        <w:r w:rsidR="00A22836" w:rsidRPr="00E67235">
          <w:rPr>
            <w:rStyle w:val="Hyperlink"/>
            <w:noProof/>
          </w:rPr>
          <w:t>Executive Summary</w:t>
        </w:r>
        <w:r w:rsidR="00A22836">
          <w:rPr>
            <w:noProof/>
            <w:webHidden/>
          </w:rPr>
          <w:tab/>
        </w:r>
        <w:r w:rsidR="00A22836">
          <w:rPr>
            <w:noProof/>
            <w:webHidden/>
          </w:rPr>
          <w:fldChar w:fldCharType="begin"/>
        </w:r>
        <w:r w:rsidR="00A22836">
          <w:rPr>
            <w:noProof/>
            <w:webHidden/>
          </w:rPr>
          <w:instrText xml:space="preserve"> PAGEREF _Toc441674202 \h </w:instrText>
        </w:r>
        <w:r w:rsidR="00A22836">
          <w:rPr>
            <w:noProof/>
            <w:webHidden/>
          </w:rPr>
        </w:r>
        <w:r w:rsidR="00A22836">
          <w:rPr>
            <w:noProof/>
            <w:webHidden/>
          </w:rPr>
          <w:fldChar w:fldCharType="separate"/>
        </w:r>
        <w:r w:rsidR="00C91347">
          <w:rPr>
            <w:noProof/>
            <w:webHidden/>
          </w:rPr>
          <w:t>2</w:t>
        </w:r>
        <w:r w:rsidR="00A22836">
          <w:rPr>
            <w:noProof/>
            <w:webHidden/>
          </w:rPr>
          <w:fldChar w:fldCharType="end"/>
        </w:r>
      </w:hyperlink>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05" w:history="1">
        <w:r w:rsidR="00A22836" w:rsidRPr="00E67235">
          <w:rPr>
            <w:rStyle w:val="Hyperlink"/>
            <w:noProof/>
          </w:rPr>
          <w:t>2</w:t>
        </w:r>
        <w:r w:rsidR="00A22836">
          <w:rPr>
            <w:rFonts w:asciiTheme="minorHAnsi" w:eastAsiaTheme="minorEastAsia" w:hAnsiTheme="minorHAnsi" w:cstheme="minorBidi"/>
            <w:b w:val="0"/>
            <w:noProof/>
            <w:sz w:val="22"/>
            <w:lang w:eastAsia="en-GB"/>
          </w:rPr>
          <w:tab/>
        </w:r>
        <w:r w:rsidR="00A22836" w:rsidRPr="00E67235">
          <w:rPr>
            <w:rStyle w:val="Hyperlink"/>
            <w:noProof/>
          </w:rPr>
          <w:t>Development Opportunity</w:t>
        </w:r>
        <w:r w:rsidR="00A22836">
          <w:rPr>
            <w:noProof/>
            <w:webHidden/>
          </w:rPr>
          <w:tab/>
        </w:r>
        <w:r w:rsidR="00A22836">
          <w:rPr>
            <w:noProof/>
            <w:webHidden/>
          </w:rPr>
          <w:fldChar w:fldCharType="begin"/>
        </w:r>
        <w:r w:rsidR="00A22836">
          <w:rPr>
            <w:noProof/>
            <w:webHidden/>
          </w:rPr>
          <w:instrText xml:space="preserve"> PAGEREF _Toc441674205 \h </w:instrText>
        </w:r>
        <w:r w:rsidR="00A22836">
          <w:rPr>
            <w:noProof/>
            <w:webHidden/>
          </w:rPr>
        </w:r>
        <w:r w:rsidR="00A22836">
          <w:rPr>
            <w:noProof/>
            <w:webHidden/>
          </w:rPr>
          <w:fldChar w:fldCharType="separate"/>
        </w:r>
        <w:r w:rsidR="00C91347">
          <w:rPr>
            <w:noProof/>
            <w:webHidden/>
          </w:rPr>
          <w:t>4</w:t>
        </w:r>
        <w:r w:rsidR="00A22836">
          <w:rPr>
            <w:noProof/>
            <w:webHidden/>
          </w:rPr>
          <w:fldChar w:fldCharType="end"/>
        </w:r>
      </w:hyperlink>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06" w:history="1">
        <w:r w:rsidR="00A22836" w:rsidRPr="00E67235">
          <w:rPr>
            <w:rStyle w:val="Hyperlink"/>
            <w:noProof/>
          </w:rPr>
          <w:t>3</w:t>
        </w:r>
        <w:r w:rsidR="00A22836">
          <w:rPr>
            <w:rFonts w:asciiTheme="minorHAnsi" w:eastAsiaTheme="minorEastAsia" w:hAnsiTheme="minorHAnsi" w:cstheme="minorBidi"/>
            <w:b w:val="0"/>
            <w:noProof/>
            <w:sz w:val="22"/>
            <w:lang w:eastAsia="en-GB"/>
          </w:rPr>
          <w:tab/>
        </w:r>
        <w:r w:rsidR="00A22836" w:rsidRPr="00E67235">
          <w:rPr>
            <w:rStyle w:val="Hyperlink"/>
            <w:noProof/>
          </w:rPr>
          <w:t>Planning Overview and Policy</w:t>
        </w:r>
        <w:r w:rsidR="00A22836">
          <w:rPr>
            <w:noProof/>
            <w:webHidden/>
          </w:rPr>
          <w:tab/>
        </w:r>
        <w:r w:rsidR="00A22836">
          <w:rPr>
            <w:noProof/>
            <w:webHidden/>
          </w:rPr>
          <w:fldChar w:fldCharType="begin"/>
        </w:r>
        <w:r w:rsidR="00A22836">
          <w:rPr>
            <w:noProof/>
            <w:webHidden/>
          </w:rPr>
          <w:instrText xml:space="preserve"> PAGEREF _Toc441674206 \h </w:instrText>
        </w:r>
        <w:r w:rsidR="00A22836">
          <w:rPr>
            <w:noProof/>
            <w:webHidden/>
          </w:rPr>
        </w:r>
        <w:r w:rsidR="00A22836">
          <w:rPr>
            <w:noProof/>
            <w:webHidden/>
          </w:rPr>
          <w:fldChar w:fldCharType="separate"/>
        </w:r>
        <w:r w:rsidR="00C91347">
          <w:rPr>
            <w:noProof/>
            <w:webHidden/>
          </w:rPr>
          <w:t>9</w:t>
        </w:r>
        <w:r w:rsidR="00A22836">
          <w:rPr>
            <w:noProof/>
            <w:webHidden/>
          </w:rPr>
          <w:fldChar w:fldCharType="end"/>
        </w:r>
      </w:hyperlink>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07" w:history="1">
        <w:r w:rsidR="00A22836" w:rsidRPr="00E67235">
          <w:rPr>
            <w:rStyle w:val="Hyperlink"/>
            <w:noProof/>
          </w:rPr>
          <w:t>4</w:t>
        </w:r>
        <w:r w:rsidR="00A22836">
          <w:rPr>
            <w:rFonts w:asciiTheme="minorHAnsi" w:eastAsiaTheme="minorEastAsia" w:hAnsiTheme="minorHAnsi" w:cstheme="minorBidi"/>
            <w:b w:val="0"/>
            <w:noProof/>
            <w:sz w:val="22"/>
            <w:lang w:eastAsia="en-GB"/>
          </w:rPr>
          <w:tab/>
        </w:r>
        <w:r w:rsidR="00A22836" w:rsidRPr="00E67235">
          <w:rPr>
            <w:rStyle w:val="Hyperlink"/>
            <w:noProof/>
          </w:rPr>
          <w:t>General site constraints and considerations</w:t>
        </w:r>
        <w:r w:rsidR="00A22836">
          <w:rPr>
            <w:noProof/>
            <w:webHidden/>
          </w:rPr>
          <w:tab/>
        </w:r>
        <w:r w:rsidR="00A22836">
          <w:rPr>
            <w:noProof/>
            <w:webHidden/>
          </w:rPr>
          <w:fldChar w:fldCharType="begin"/>
        </w:r>
        <w:r w:rsidR="00A22836">
          <w:rPr>
            <w:noProof/>
            <w:webHidden/>
          </w:rPr>
          <w:instrText xml:space="preserve"> PAGEREF _Toc441674207 \h </w:instrText>
        </w:r>
        <w:r w:rsidR="00A22836">
          <w:rPr>
            <w:noProof/>
            <w:webHidden/>
          </w:rPr>
        </w:r>
        <w:r w:rsidR="00A22836">
          <w:rPr>
            <w:noProof/>
            <w:webHidden/>
          </w:rPr>
          <w:fldChar w:fldCharType="separate"/>
        </w:r>
        <w:r w:rsidR="00C91347">
          <w:rPr>
            <w:noProof/>
            <w:webHidden/>
          </w:rPr>
          <w:t>14</w:t>
        </w:r>
        <w:r w:rsidR="00A22836">
          <w:rPr>
            <w:noProof/>
            <w:webHidden/>
          </w:rPr>
          <w:fldChar w:fldCharType="end"/>
        </w:r>
      </w:hyperlink>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08" w:history="1">
        <w:r w:rsidR="00403C2B" w:rsidRPr="00E67235">
          <w:rPr>
            <w:rStyle w:val="Hyperlink"/>
            <w:noProof/>
          </w:rPr>
          <w:t>5</w:t>
        </w:r>
        <w:r w:rsidR="00403C2B">
          <w:rPr>
            <w:rFonts w:asciiTheme="minorHAnsi" w:eastAsiaTheme="minorEastAsia" w:hAnsiTheme="minorHAnsi" w:cstheme="minorBidi"/>
            <w:b w:val="0"/>
            <w:noProof/>
            <w:sz w:val="22"/>
            <w:lang w:eastAsia="en-GB"/>
          </w:rPr>
          <w:tab/>
        </w:r>
        <w:r w:rsidR="00403C2B" w:rsidRPr="00E67235">
          <w:rPr>
            <w:rStyle w:val="Hyperlink"/>
            <w:noProof/>
          </w:rPr>
          <w:t>Structure of the Transaction and Governance</w:t>
        </w:r>
        <w:r w:rsidR="00403C2B">
          <w:rPr>
            <w:noProof/>
            <w:webHidden/>
          </w:rPr>
          <w:tab/>
          <w:t>1</w:t>
        </w:r>
      </w:hyperlink>
      <w:r w:rsidR="0077501D">
        <w:rPr>
          <w:noProof/>
        </w:rPr>
        <w:t>6</w:t>
      </w:r>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09" w:history="1">
        <w:r w:rsidR="00403C2B" w:rsidRPr="00E67235">
          <w:rPr>
            <w:rStyle w:val="Hyperlink"/>
            <w:noProof/>
          </w:rPr>
          <w:t>6</w:t>
        </w:r>
        <w:r w:rsidR="00403C2B">
          <w:rPr>
            <w:rFonts w:asciiTheme="minorHAnsi" w:eastAsiaTheme="minorEastAsia" w:hAnsiTheme="minorHAnsi" w:cstheme="minorBidi"/>
            <w:b w:val="0"/>
            <w:noProof/>
            <w:sz w:val="22"/>
            <w:lang w:eastAsia="en-GB"/>
          </w:rPr>
          <w:tab/>
        </w:r>
        <w:r w:rsidR="00403C2B" w:rsidRPr="00E67235">
          <w:rPr>
            <w:rStyle w:val="Hyperlink"/>
            <w:noProof/>
          </w:rPr>
          <w:t>Selection of a Delivery Partner</w:t>
        </w:r>
        <w:r w:rsidR="00403C2B">
          <w:rPr>
            <w:noProof/>
            <w:webHidden/>
          </w:rPr>
          <w:tab/>
          <w:t>1</w:t>
        </w:r>
      </w:hyperlink>
      <w:r w:rsidR="00623571">
        <w:rPr>
          <w:noProof/>
        </w:rPr>
        <w:t>8</w:t>
      </w:r>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10" w:history="1">
        <w:r w:rsidR="00403C2B" w:rsidRPr="00E67235">
          <w:rPr>
            <w:rStyle w:val="Hyperlink"/>
            <w:noProof/>
          </w:rPr>
          <w:t>7</w:t>
        </w:r>
        <w:r w:rsidR="00403C2B">
          <w:rPr>
            <w:rFonts w:asciiTheme="minorHAnsi" w:eastAsiaTheme="minorEastAsia" w:hAnsiTheme="minorHAnsi" w:cstheme="minorBidi"/>
            <w:b w:val="0"/>
            <w:noProof/>
            <w:sz w:val="22"/>
            <w:lang w:eastAsia="en-GB"/>
          </w:rPr>
          <w:tab/>
        </w:r>
        <w:r w:rsidR="00403C2B" w:rsidRPr="00E67235">
          <w:rPr>
            <w:rStyle w:val="Hyperlink"/>
            <w:noProof/>
          </w:rPr>
          <w:t>Evaluation Criteria</w:t>
        </w:r>
        <w:r w:rsidR="00403C2B">
          <w:rPr>
            <w:noProof/>
            <w:webHidden/>
          </w:rPr>
          <w:tab/>
          <w:t>2</w:t>
        </w:r>
      </w:hyperlink>
      <w:r w:rsidR="00623571">
        <w:rPr>
          <w:noProof/>
        </w:rPr>
        <w:t>5</w:t>
      </w:r>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11" w:history="1">
        <w:r w:rsidR="00403C2B" w:rsidRPr="00E67235">
          <w:rPr>
            <w:rStyle w:val="Hyperlink"/>
            <w:noProof/>
          </w:rPr>
          <w:t>8</w:t>
        </w:r>
        <w:r w:rsidR="00403C2B">
          <w:rPr>
            <w:rFonts w:asciiTheme="minorHAnsi" w:eastAsiaTheme="minorEastAsia" w:hAnsiTheme="minorHAnsi" w:cstheme="minorBidi"/>
            <w:b w:val="0"/>
            <w:noProof/>
            <w:sz w:val="22"/>
            <w:lang w:eastAsia="en-GB"/>
          </w:rPr>
          <w:tab/>
        </w:r>
        <w:r w:rsidR="00403C2B" w:rsidRPr="00E67235">
          <w:rPr>
            <w:rStyle w:val="Hyperlink"/>
            <w:noProof/>
          </w:rPr>
          <w:t xml:space="preserve">Instructions to </w:t>
        </w:r>
        <w:r w:rsidR="00300BFA">
          <w:rPr>
            <w:rStyle w:val="Hyperlink"/>
            <w:noProof/>
          </w:rPr>
          <w:t>Bidder</w:t>
        </w:r>
        <w:r w:rsidR="00403C2B" w:rsidRPr="00E67235">
          <w:rPr>
            <w:rStyle w:val="Hyperlink"/>
            <w:noProof/>
          </w:rPr>
          <w:t>s</w:t>
        </w:r>
        <w:r w:rsidR="00403C2B">
          <w:rPr>
            <w:noProof/>
            <w:webHidden/>
          </w:rPr>
          <w:tab/>
        </w:r>
        <w:r w:rsidR="00623571">
          <w:rPr>
            <w:noProof/>
            <w:webHidden/>
          </w:rPr>
          <w:t>32</w:t>
        </w:r>
      </w:hyperlink>
    </w:p>
    <w:p w:rsidR="00A22836" w:rsidRDefault="009C6609" w:rsidP="009F133B">
      <w:pPr>
        <w:pStyle w:val="TOC1"/>
        <w:ind w:left="284"/>
        <w:jc w:val="both"/>
        <w:rPr>
          <w:rFonts w:asciiTheme="minorHAnsi" w:eastAsiaTheme="minorEastAsia" w:hAnsiTheme="minorHAnsi" w:cstheme="minorBidi"/>
          <w:b w:val="0"/>
          <w:noProof/>
          <w:sz w:val="22"/>
          <w:lang w:eastAsia="en-GB"/>
        </w:rPr>
      </w:pPr>
      <w:hyperlink w:anchor="_Toc441674212" w:history="1">
        <w:r w:rsidR="00403C2B" w:rsidRPr="00E67235">
          <w:rPr>
            <w:rStyle w:val="Hyperlink"/>
            <w:noProof/>
          </w:rPr>
          <w:t>9</w:t>
        </w:r>
        <w:r w:rsidR="00403C2B">
          <w:rPr>
            <w:rFonts w:asciiTheme="minorHAnsi" w:eastAsiaTheme="minorEastAsia" w:hAnsiTheme="minorHAnsi" w:cstheme="minorBidi"/>
            <w:b w:val="0"/>
            <w:noProof/>
            <w:sz w:val="22"/>
            <w:lang w:eastAsia="en-GB"/>
          </w:rPr>
          <w:tab/>
        </w:r>
        <w:r w:rsidR="00403C2B" w:rsidRPr="00E67235">
          <w:rPr>
            <w:rStyle w:val="Hyperlink"/>
            <w:noProof/>
          </w:rPr>
          <w:t>Mandatory Information</w:t>
        </w:r>
        <w:r w:rsidR="00403C2B">
          <w:rPr>
            <w:noProof/>
            <w:webHidden/>
          </w:rPr>
          <w:tab/>
        </w:r>
        <w:r w:rsidR="00623571">
          <w:rPr>
            <w:noProof/>
            <w:webHidden/>
          </w:rPr>
          <w:t>35</w:t>
        </w:r>
      </w:hyperlink>
    </w:p>
    <w:p w:rsidR="00242FB4" w:rsidRDefault="003C03A2" w:rsidP="009F133B">
      <w:pPr>
        <w:pStyle w:val="Heading1"/>
        <w:ind w:left="284"/>
        <w:jc w:val="both"/>
        <w:rPr>
          <w:sz w:val="28"/>
          <w:szCs w:val="28"/>
        </w:rPr>
      </w:pPr>
      <w:r>
        <w:fldChar w:fldCharType="end"/>
      </w:r>
      <w:bookmarkStart w:id="2" w:name="_Toc323547469"/>
    </w:p>
    <w:p w:rsidR="00242FB4" w:rsidRPr="00CD0FD9" w:rsidRDefault="00CD0FD9" w:rsidP="009F133B">
      <w:pPr>
        <w:pStyle w:val="Heading1"/>
        <w:ind w:left="284"/>
        <w:jc w:val="both"/>
        <w:rPr>
          <w:sz w:val="24"/>
          <w:szCs w:val="28"/>
        </w:rPr>
      </w:pPr>
      <w:bookmarkStart w:id="3" w:name="_Toc441674199"/>
      <w:r w:rsidRPr="00CD0FD9">
        <w:rPr>
          <w:sz w:val="24"/>
          <w:szCs w:val="28"/>
        </w:rPr>
        <w:t xml:space="preserve">List of </w:t>
      </w:r>
      <w:r w:rsidR="00242FB4" w:rsidRPr="00CD0FD9">
        <w:rPr>
          <w:sz w:val="24"/>
          <w:szCs w:val="28"/>
        </w:rPr>
        <w:t>A</w:t>
      </w:r>
      <w:r w:rsidR="00BB130C">
        <w:rPr>
          <w:sz w:val="24"/>
          <w:szCs w:val="28"/>
        </w:rPr>
        <w:t>nnexes</w:t>
      </w:r>
      <w:r w:rsidR="00242FB4" w:rsidRPr="00CD0FD9">
        <w:rPr>
          <w:sz w:val="24"/>
          <w:szCs w:val="28"/>
        </w:rPr>
        <w:t>:</w:t>
      </w:r>
      <w:bookmarkEnd w:id="3"/>
    </w:p>
    <w:p w:rsidR="00242FB4" w:rsidRDefault="00242FB4" w:rsidP="009F133B">
      <w:pPr>
        <w:pStyle w:val="Heading1"/>
        <w:ind w:left="284"/>
        <w:jc w:val="both"/>
        <w:rPr>
          <w:sz w:val="24"/>
          <w:szCs w:val="24"/>
        </w:rPr>
      </w:pPr>
    </w:p>
    <w:p w:rsidR="00242FB4" w:rsidRDefault="00242FB4" w:rsidP="009F133B">
      <w:pPr>
        <w:pStyle w:val="Heading1"/>
        <w:ind w:left="284"/>
        <w:jc w:val="both"/>
        <w:rPr>
          <w:sz w:val="24"/>
          <w:szCs w:val="24"/>
        </w:rPr>
      </w:pPr>
      <w:bookmarkStart w:id="4" w:name="_Toc441674200"/>
      <w:r>
        <w:rPr>
          <w:sz w:val="24"/>
          <w:szCs w:val="24"/>
        </w:rPr>
        <w:t xml:space="preserve">Annex </w:t>
      </w:r>
      <w:r w:rsidR="00611740">
        <w:rPr>
          <w:sz w:val="24"/>
          <w:szCs w:val="24"/>
        </w:rPr>
        <w:t>A</w:t>
      </w:r>
      <w:r>
        <w:rPr>
          <w:sz w:val="24"/>
          <w:szCs w:val="24"/>
        </w:rPr>
        <w:t xml:space="preserve"> – ITT Submission Documents</w:t>
      </w:r>
      <w:bookmarkEnd w:id="2"/>
      <w:bookmarkEnd w:id="4"/>
    </w:p>
    <w:p w:rsidR="00052F85" w:rsidRDefault="00242FB4" w:rsidP="009F133B">
      <w:pPr>
        <w:ind w:left="284"/>
        <w:jc w:val="both"/>
        <w:rPr>
          <w:rFonts w:ascii="Foundry Form Sans" w:hAnsi="Foundry Form Sans"/>
          <w:b/>
        </w:rPr>
      </w:pPr>
      <w:r w:rsidRPr="0061267B">
        <w:rPr>
          <w:rFonts w:ascii="Foundry Form Sans" w:hAnsi="Foundry Form Sans"/>
          <w:b/>
        </w:rPr>
        <w:t xml:space="preserve">Annex </w:t>
      </w:r>
      <w:r w:rsidR="00280880">
        <w:rPr>
          <w:rFonts w:ascii="Foundry Form Sans" w:hAnsi="Foundry Form Sans"/>
          <w:b/>
        </w:rPr>
        <w:t>B</w:t>
      </w:r>
      <w:r w:rsidRPr="0061267B">
        <w:rPr>
          <w:rFonts w:ascii="Foundry Form Sans" w:hAnsi="Foundry Form Sans"/>
          <w:b/>
        </w:rPr>
        <w:t xml:space="preserve"> – </w:t>
      </w:r>
      <w:r>
        <w:rPr>
          <w:rFonts w:ascii="Foundry Form Sans" w:hAnsi="Foundry Form Sans"/>
          <w:b/>
        </w:rPr>
        <w:t>Technical Documents</w:t>
      </w:r>
    </w:p>
    <w:p w:rsidR="00B418C1" w:rsidRDefault="00242FB4" w:rsidP="009F133B">
      <w:pPr>
        <w:pStyle w:val="Heading1"/>
        <w:numPr>
          <w:ilvl w:val="0"/>
          <w:numId w:val="42"/>
        </w:numPr>
        <w:pBdr>
          <w:bottom w:val="single" w:sz="4" w:space="1" w:color="auto"/>
        </w:pBdr>
        <w:ind w:left="284"/>
        <w:jc w:val="both"/>
      </w:pPr>
      <w:r>
        <w:br w:type="page"/>
      </w:r>
      <w:bookmarkStart w:id="5" w:name="_Toc441674202"/>
      <w:r w:rsidR="000F0633">
        <w:lastRenderedPageBreak/>
        <w:t>Executive Summary</w:t>
      </w:r>
      <w:bookmarkEnd w:id="5"/>
      <w:r>
        <w:t xml:space="preserve"> </w:t>
      </w:r>
    </w:p>
    <w:p w:rsidR="00242FB4" w:rsidRPr="00B418C1" w:rsidRDefault="00242FB4" w:rsidP="009F133B">
      <w:pPr>
        <w:ind w:left="284"/>
        <w:jc w:val="both"/>
      </w:pPr>
    </w:p>
    <w:p w:rsidR="00397E02" w:rsidRPr="007F20B6" w:rsidRDefault="00242FB4" w:rsidP="009F133B">
      <w:pPr>
        <w:pStyle w:val="Body"/>
        <w:numPr>
          <w:ilvl w:val="2"/>
          <w:numId w:val="42"/>
        </w:numPr>
        <w:tabs>
          <w:tab w:val="clear" w:pos="851"/>
          <w:tab w:val="left" w:pos="-1985"/>
        </w:tabs>
        <w:spacing w:after="120" w:line="23" w:lineRule="atLeast"/>
        <w:ind w:left="284"/>
        <w:rPr>
          <w:rFonts w:ascii="Foundry Form Sans" w:hAnsi="Foundry Form Sans"/>
          <w:sz w:val="22"/>
          <w:szCs w:val="22"/>
        </w:rPr>
      </w:pPr>
      <w:r w:rsidRPr="007F20B6">
        <w:rPr>
          <w:rFonts w:ascii="Foundry Form Sans" w:hAnsi="Foundry Form Sans"/>
          <w:sz w:val="22"/>
          <w:szCs w:val="22"/>
        </w:rPr>
        <w:t xml:space="preserve">This Invitation to Tender (ITT) is issued by the Greater London Authority (GLA) via Transport for London (TfL) to the London Development Panel members shortlisted to tender for the </w:t>
      </w:r>
      <w:r w:rsidR="00BE430B">
        <w:rPr>
          <w:rFonts w:ascii="Foundry Form Sans" w:hAnsi="Foundry Form Sans"/>
          <w:sz w:val="22"/>
          <w:szCs w:val="22"/>
        </w:rPr>
        <w:t xml:space="preserve">Gallions 3B </w:t>
      </w:r>
      <w:r w:rsidRPr="007F20B6">
        <w:rPr>
          <w:rFonts w:ascii="Foundry Form Sans" w:hAnsi="Foundry Form Sans"/>
          <w:sz w:val="22"/>
          <w:szCs w:val="22"/>
        </w:rPr>
        <w:t>development project</w:t>
      </w:r>
      <w:r w:rsidR="00D20AD8">
        <w:rPr>
          <w:rFonts w:ascii="Foundry Form Sans" w:hAnsi="Foundry Form Sans"/>
          <w:sz w:val="22"/>
          <w:szCs w:val="22"/>
        </w:rPr>
        <w:t xml:space="preserve"> in the Royal Albert Basin</w:t>
      </w:r>
      <w:r w:rsidRPr="007F20B6">
        <w:rPr>
          <w:rFonts w:ascii="Foundry Form Sans" w:hAnsi="Foundry Form Sans"/>
          <w:i/>
          <w:sz w:val="22"/>
          <w:szCs w:val="22"/>
        </w:rPr>
        <w:t>.</w:t>
      </w:r>
      <w:r w:rsidRPr="007F20B6">
        <w:rPr>
          <w:rFonts w:ascii="Foundry Form Sans" w:hAnsi="Foundry Form Sans"/>
          <w:sz w:val="22"/>
          <w:szCs w:val="22"/>
        </w:rPr>
        <w:t xml:space="preserve"> It provides a description of the project and development proposals, the GLA’s delivery requirements, instructions to bidders (including a description of the tender process) and evaluation criteria.</w:t>
      </w:r>
    </w:p>
    <w:p w:rsidR="00242FB4" w:rsidRPr="006D2037" w:rsidRDefault="00242FB4" w:rsidP="009F133B">
      <w:pPr>
        <w:pStyle w:val="Body"/>
        <w:numPr>
          <w:ilvl w:val="2"/>
          <w:numId w:val="42"/>
        </w:numPr>
        <w:tabs>
          <w:tab w:val="clear" w:pos="851"/>
          <w:tab w:val="left" w:pos="-1985"/>
        </w:tabs>
        <w:spacing w:after="120" w:line="23" w:lineRule="atLeast"/>
        <w:ind w:left="284"/>
        <w:rPr>
          <w:rFonts w:ascii="Foundry Form Sans" w:hAnsi="Foundry Form Sans"/>
          <w:sz w:val="22"/>
          <w:szCs w:val="22"/>
        </w:rPr>
      </w:pPr>
      <w:r w:rsidRPr="006D2037">
        <w:rPr>
          <w:rFonts w:ascii="Foundry Form Sans" w:hAnsi="Foundry Form Sans"/>
          <w:sz w:val="22"/>
          <w:szCs w:val="22"/>
        </w:rPr>
        <w:t>In 2009 the GLA</w:t>
      </w:r>
      <w:r w:rsidR="00F52B33">
        <w:rPr>
          <w:rFonts w:ascii="Foundry Form Sans" w:hAnsi="Foundry Form Sans"/>
          <w:sz w:val="22"/>
          <w:szCs w:val="22"/>
        </w:rPr>
        <w:t>’s</w:t>
      </w:r>
      <w:r w:rsidRPr="006D2037">
        <w:rPr>
          <w:rFonts w:ascii="Foundry Form Sans" w:hAnsi="Foundry Form Sans"/>
          <w:sz w:val="22"/>
          <w:szCs w:val="22"/>
        </w:rPr>
        <w:t xml:space="preserve"> procurement function was</w:t>
      </w:r>
      <w:r w:rsidR="005E3E2F" w:rsidRPr="006D2037">
        <w:rPr>
          <w:rFonts w:ascii="Foundry Form Sans" w:hAnsi="Foundry Form Sans"/>
          <w:sz w:val="22"/>
          <w:szCs w:val="22"/>
        </w:rPr>
        <w:t xml:space="preserve"> delegated to</w:t>
      </w:r>
      <w:r w:rsidRPr="006D2037">
        <w:rPr>
          <w:rFonts w:ascii="Foundry Form Sans" w:hAnsi="Foundry Form Sans"/>
          <w:sz w:val="22"/>
          <w:szCs w:val="22"/>
        </w:rPr>
        <w:t xml:space="preserve"> TfL with the result that TfL Group Procurement manages the GLA’s procurement function, which includes undertaking procurement exercises and providing tender information on behalf of the GLA.</w:t>
      </w:r>
    </w:p>
    <w:p w:rsidR="006A1836" w:rsidRDefault="00FA45A5" w:rsidP="009F133B">
      <w:pPr>
        <w:pStyle w:val="Body"/>
        <w:numPr>
          <w:ilvl w:val="2"/>
          <w:numId w:val="42"/>
        </w:numPr>
        <w:tabs>
          <w:tab w:val="clear" w:pos="851"/>
          <w:tab w:val="left" w:pos="-1985"/>
        </w:tabs>
        <w:spacing w:after="120" w:line="23" w:lineRule="atLeast"/>
        <w:ind w:left="284"/>
        <w:rPr>
          <w:rFonts w:ascii="Foundry Form Sans" w:hAnsi="Foundry Form Sans"/>
          <w:sz w:val="22"/>
          <w:szCs w:val="22"/>
        </w:rPr>
      </w:pPr>
      <w:r w:rsidRPr="006D2037">
        <w:rPr>
          <w:rFonts w:ascii="Foundry Form Sans" w:hAnsi="Foundry Form Sans"/>
          <w:sz w:val="22"/>
          <w:szCs w:val="22"/>
        </w:rPr>
        <w:t xml:space="preserve">The land at </w:t>
      </w:r>
      <w:r w:rsidR="002F008C" w:rsidRPr="006D2037">
        <w:rPr>
          <w:rFonts w:ascii="Foundry Form Sans" w:hAnsi="Foundry Form Sans"/>
          <w:sz w:val="22"/>
          <w:szCs w:val="22"/>
        </w:rPr>
        <w:t>Royal Albert Basin</w:t>
      </w:r>
      <w:r w:rsidRPr="006D2037">
        <w:rPr>
          <w:rFonts w:ascii="Foundry Form Sans" w:hAnsi="Foundry Form Sans"/>
          <w:sz w:val="22"/>
          <w:szCs w:val="22"/>
        </w:rPr>
        <w:t xml:space="preserve"> is a registered asset of GLA Land and Property Limited (GLAP), a subsidiary of the GLA. GLAP </w:t>
      </w:r>
      <w:r w:rsidR="00F850A6" w:rsidRPr="006D2037">
        <w:rPr>
          <w:rFonts w:ascii="Foundry Form Sans" w:hAnsi="Foundry Form Sans"/>
          <w:sz w:val="22"/>
          <w:szCs w:val="22"/>
        </w:rPr>
        <w:t>is</w:t>
      </w:r>
      <w:r w:rsidRPr="006D2037">
        <w:rPr>
          <w:rFonts w:ascii="Foundry Form Sans" w:hAnsi="Foundry Form Sans"/>
          <w:sz w:val="22"/>
          <w:szCs w:val="22"/>
        </w:rPr>
        <w:t xml:space="preserve"> bringing </w:t>
      </w:r>
      <w:r w:rsidR="005705C1" w:rsidRPr="006D2037">
        <w:rPr>
          <w:rFonts w:ascii="Foundry Form Sans" w:hAnsi="Foundry Form Sans"/>
          <w:sz w:val="22"/>
          <w:szCs w:val="22"/>
        </w:rPr>
        <w:t>the Gallions 3</w:t>
      </w:r>
      <w:r w:rsidR="00F27BF8" w:rsidRPr="006D2037">
        <w:rPr>
          <w:rFonts w:ascii="Foundry Form Sans" w:hAnsi="Foundry Form Sans"/>
          <w:sz w:val="22"/>
          <w:szCs w:val="22"/>
        </w:rPr>
        <w:t>B</w:t>
      </w:r>
      <w:r w:rsidR="00BE430B" w:rsidRPr="006D2037">
        <w:rPr>
          <w:rFonts w:ascii="Foundry Form Sans" w:hAnsi="Foundry Form Sans"/>
          <w:sz w:val="22"/>
          <w:szCs w:val="22"/>
        </w:rPr>
        <w:t xml:space="preserve"> site</w:t>
      </w:r>
      <w:r w:rsidRPr="006D2037">
        <w:rPr>
          <w:rFonts w:ascii="Foundry Form Sans" w:hAnsi="Foundry Form Sans"/>
          <w:sz w:val="22"/>
          <w:szCs w:val="22"/>
        </w:rPr>
        <w:t xml:space="preserve"> to the market, via the London Development Panel. It is with GLAP that the preferred delivery partner will be expected to enter into contract to deliver the </w:t>
      </w:r>
      <w:r w:rsidR="00BE430B" w:rsidRPr="006D2037">
        <w:rPr>
          <w:rFonts w:ascii="Foundry Form Sans" w:hAnsi="Foundry Form Sans"/>
          <w:sz w:val="22"/>
          <w:szCs w:val="22"/>
        </w:rPr>
        <w:t>Gallions 3</w:t>
      </w:r>
      <w:r w:rsidR="00F27BF8" w:rsidRPr="006D2037">
        <w:rPr>
          <w:rFonts w:ascii="Foundry Form Sans" w:hAnsi="Foundry Form Sans"/>
          <w:sz w:val="22"/>
          <w:szCs w:val="22"/>
        </w:rPr>
        <w:t>B</w:t>
      </w:r>
      <w:r w:rsidRPr="006D2037">
        <w:rPr>
          <w:rFonts w:ascii="Foundry Form Sans" w:hAnsi="Foundry Form Sans"/>
          <w:sz w:val="22"/>
          <w:szCs w:val="22"/>
        </w:rPr>
        <w:t xml:space="preserve"> project.</w:t>
      </w:r>
      <w:r w:rsidR="00EF719C" w:rsidRPr="006D2037">
        <w:rPr>
          <w:rFonts w:ascii="Foundry Form Sans" w:hAnsi="Foundry Form Sans"/>
          <w:sz w:val="22"/>
          <w:szCs w:val="22"/>
        </w:rPr>
        <w:t xml:space="preserve">  For brevity and the avoidance of doubt ‘GLA’ is referred to throughout.</w:t>
      </w:r>
    </w:p>
    <w:p w:rsidR="00D968DB" w:rsidRPr="006D2037" w:rsidRDefault="00D968DB" w:rsidP="009F133B">
      <w:pPr>
        <w:pStyle w:val="Body"/>
        <w:tabs>
          <w:tab w:val="clear" w:pos="851"/>
          <w:tab w:val="left" w:pos="-1985"/>
        </w:tabs>
        <w:spacing w:after="120" w:line="23" w:lineRule="atLeast"/>
        <w:ind w:left="284"/>
        <w:rPr>
          <w:rFonts w:ascii="Foundry Form Sans" w:hAnsi="Foundry Form Sans"/>
          <w:sz w:val="22"/>
          <w:szCs w:val="22"/>
        </w:rPr>
      </w:pPr>
    </w:p>
    <w:p w:rsidR="00112A2F" w:rsidRDefault="00112A2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The Site</w:t>
      </w:r>
    </w:p>
    <w:p w:rsidR="00D968DB" w:rsidRPr="00027DF3" w:rsidRDefault="00D968DB" w:rsidP="009F133B">
      <w:pPr>
        <w:pStyle w:val="BodyText"/>
        <w:spacing w:after="120" w:line="23" w:lineRule="atLeast"/>
        <w:ind w:left="284"/>
        <w:jc w:val="both"/>
        <w:rPr>
          <w:rFonts w:ascii="Foundry Form Sans" w:hAnsi="Foundry Form Sans" w:cs="Arial"/>
          <w:b/>
        </w:rPr>
      </w:pPr>
    </w:p>
    <w:p w:rsidR="0095029C" w:rsidRPr="00D968DB" w:rsidRDefault="00FA45A5"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w:t>
      </w:r>
      <w:r w:rsidR="00420C74" w:rsidRPr="00D968DB">
        <w:rPr>
          <w:rFonts w:ascii="Foundry Form Sans" w:hAnsi="Foundry Form Sans" w:cs="Arial"/>
        </w:rPr>
        <w:t>Royal Albert Basin is a mixed-use business and residential area</w:t>
      </w:r>
      <w:r w:rsidR="002F5AC4" w:rsidRPr="00D968DB">
        <w:rPr>
          <w:rFonts w:ascii="Foundry Form Sans" w:hAnsi="Foundry Form Sans" w:cs="Arial"/>
        </w:rPr>
        <w:t>, sitting at the eastern end of the Royal Docks in the London Borough of Newham, and is a key area for strategic development.</w:t>
      </w:r>
      <w:r w:rsidR="00112A2F" w:rsidRPr="00D968DB">
        <w:rPr>
          <w:rFonts w:ascii="Foundry Form Sans" w:hAnsi="Foundry Form Sans" w:cs="Arial"/>
        </w:rPr>
        <w:t xml:space="preserve"> </w:t>
      </w:r>
      <w:r w:rsidR="002F5AC4" w:rsidRPr="00D968DB">
        <w:rPr>
          <w:rFonts w:ascii="Foundry Form Sans" w:hAnsi="Foundry Form Sans" w:cs="Arial"/>
        </w:rPr>
        <w:t xml:space="preserve"> A large </w:t>
      </w:r>
      <w:r w:rsidR="00EC1C4F" w:rsidRPr="00D968DB">
        <w:rPr>
          <w:rFonts w:ascii="Foundry Form Sans" w:hAnsi="Foundry Form Sans" w:cs="Arial"/>
        </w:rPr>
        <w:t xml:space="preserve">amount </w:t>
      </w:r>
      <w:r w:rsidR="002F5AC4" w:rsidRPr="00D968DB">
        <w:rPr>
          <w:rFonts w:ascii="Foundry Form Sans" w:hAnsi="Foundry Form Sans" w:cs="Arial"/>
        </w:rPr>
        <w:t>of regeneration and development has already been undertaken in the area, with a number of residential</w:t>
      </w:r>
      <w:r w:rsidR="00F52B33">
        <w:rPr>
          <w:rFonts w:ascii="Foundry Form Sans" w:hAnsi="Foundry Form Sans" w:cs="Arial"/>
        </w:rPr>
        <w:t>-</w:t>
      </w:r>
      <w:r w:rsidR="002F5AC4" w:rsidRPr="00D968DB">
        <w:rPr>
          <w:rFonts w:ascii="Foundry Form Sans" w:hAnsi="Foundry Form Sans" w:cs="Arial"/>
        </w:rPr>
        <w:t xml:space="preserve">led, mixed use schemes currently under construction and more consented. </w:t>
      </w:r>
    </w:p>
    <w:p w:rsidR="0095029C" w:rsidRPr="00D968DB" w:rsidRDefault="00420C74"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This ITT is for </w:t>
      </w:r>
      <w:r w:rsidR="00BE430B" w:rsidRPr="00D968DB">
        <w:rPr>
          <w:rFonts w:ascii="Foundry Form Sans" w:hAnsi="Foundry Form Sans" w:cs="Arial"/>
        </w:rPr>
        <w:t>the Gallions 3</w:t>
      </w:r>
      <w:r w:rsidR="00F27BF8" w:rsidRPr="00D968DB">
        <w:rPr>
          <w:rFonts w:ascii="Foundry Form Sans" w:hAnsi="Foundry Form Sans" w:cs="Arial"/>
        </w:rPr>
        <w:t>B</w:t>
      </w:r>
      <w:r w:rsidR="00BE430B" w:rsidRPr="00D968DB">
        <w:rPr>
          <w:rFonts w:ascii="Foundry Form Sans" w:hAnsi="Foundry Form Sans" w:cs="Arial"/>
        </w:rPr>
        <w:t xml:space="preserve"> site</w:t>
      </w:r>
      <w:r w:rsidR="00297CE7" w:rsidRPr="00D968DB">
        <w:rPr>
          <w:rFonts w:ascii="Foundry Form Sans" w:hAnsi="Foundry Form Sans" w:cs="Arial"/>
        </w:rPr>
        <w:t xml:space="preserve"> </w:t>
      </w:r>
      <w:r w:rsidR="00C66BCA">
        <w:rPr>
          <w:rFonts w:ascii="Foundry Form Sans" w:hAnsi="Foundry Form Sans" w:cs="Arial"/>
        </w:rPr>
        <w:t xml:space="preserve">(which includes land at </w:t>
      </w:r>
      <w:r w:rsidR="00297CE7" w:rsidRPr="00D968DB">
        <w:rPr>
          <w:rFonts w:ascii="Foundry Form Sans" w:hAnsi="Foundry Form Sans" w:cs="Arial"/>
        </w:rPr>
        <w:t>Armada Green</w:t>
      </w:r>
      <w:r w:rsidR="00C66BCA">
        <w:rPr>
          <w:rFonts w:ascii="Foundry Form Sans" w:hAnsi="Foundry Form Sans" w:cs="Arial"/>
        </w:rPr>
        <w:t>)</w:t>
      </w:r>
      <w:r w:rsidR="00F52B33">
        <w:rPr>
          <w:rFonts w:ascii="Foundry Form Sans" w:hAnsi="Foundry Form Sans" w:cs="Arial"/>
        </w:rPr>
        <w:t xml:space="preserve"> and</w:t>
      </w:r>
      <w:r w:rsidRPr="00D968DB">
        <w:rPr>
          <w:rFonts w:ascii="Foundry Form Sans" w:hAnsi="Foundry Form Sans" w:cs="Arial"/>
        </w:rPr>
        <w:t>present</w:t>
      </w:r>
      <w:r w:rsidR="00BE430B" w:rsidRPr="00D968DB">
        <w:rPr>
          <w:rFonts w:ascii="Foundry Form Sans" w:hAnsi="Foundry Form Sans" w:cs="Arial"/>
        </w:rPr>
        <w:t>s</w:t>
      </w:r>
      <w:r w:rsidR="00FA45A5" w:rsidRPr="00D968DB">
        <w:rPr>
          <w:rFonts w:ascii="Foundry Form Sans" w:hAnsi="Foundry Form Sans" w:cs="Arial"/>
        </w:rPr>
        <w:t xml:space="preserve"> prospective bidder</w:t>
      </w:r>
      <w:r w:rsidR="00693447" w:rsidRPr="00D968DB">
        <w:rPr>
          <w:rFonts w:ascii="Foundry Form Sans" w:hAnsi="Foundry Form Sans" w:cs="Arial"/>
        </w:rPr>
        <w:t>s</w:t>
      </w:r>
      <w:r w:rsidR="00FA45A5" w:rsidRPr="00D968DB">
        <w:rPr>
          <w:rFonts w:ascii="Foundry Form Sans" w:hAnsi="Foundry Form Sans" w:cs="Arial"/>
        </w:rPr>
        <w:t xml:space="preserve"> with an exciting opportunity to</w:t>
      </w:r>
      <w:r w:rsidRPr="00D968DB">
        <w:rPr>
          <w:rFonts w:ascii="Foundry Form Sans" w:hAnsi="Foundry Form Sans" w:cs="Arial"/>
        </w:rPr>
        <w:t xml:space="preserve"> </w:t>
      </w:r>
      <w:r w:rsidR="00BE430B" w:rsidRPr="00D968DB">
        <w:rPr>
          <w:rFonts w:ascii="Foundry Form Sans" w:hAnsi="Foundry Form Sans" w:cs="Arial"/>
        </w:rPr>
        <w:t xml:space="preserve">provide a new residential-led scheme on the river’s edge in the emerging </w:t>
      </w:r>
      <w:r w:rsidRPr="00D968DB">
        <w:rPr>
          <w:rFonts w:ascii="Foundry Form Sans" w:hAnsi="Foundry Form Sans" w:cs="Arial"/>
        </w:rPr>
        <w:t>new quarter</w:t>
      </w:r>
      <w:r w:rsidR="00BE430B" w:rsidRPr="00D968DB">
        <w:rPr>
          <w:rFonts w:ascii="Foundry Form Sans" w:hAnsi="Foundry Form Sans" w:cs="Arial"/>
        </w:rPr>
        <w:t xml:space="preserve">. </w:t>
      </w:r>
      <w:r w:rsidR="006A1836" w:rsidRPr="00D968DB">
        <w:rPr>
          <w:rFonts w:ascii="Foundry Form Sans" w:hAnsi="Foundry Form Sans" w:cs="Arial"/>
        </w:rPr>
        <w:t>The site</w:t>
      </w:r>
      <w:r w:rsidR="00BE430B" w:rsidRPr="00D968DB">
        <w:rPr>
          <w:rFonts w:ascii="Foundry Form Sans" w:hAnsi="Foundry Form Sans" w:cs="Arial"/>
        </w:rPr>
        <w:t xml:space="preserve"> is</w:t>
      </w:r>
      <w:r w:rsidR="006A1836" w:rsidRPr="00D968DB">
        <w:rPr>
          <w:rFonts w:ascii="Foundry Form Sans" w:hAnsi="Foundry Form Sans" w:cs="Arial"/>
        </w:rPr>
        <w:t xml:space="preserve"> ideally positioned </w:t>
      </w:r>
      <w:r w:rsidR="009A7D77" w:rsidRPr="00D968DB">
        <w:rPr>
          <w:rFonts w:ascii="Foundry Form Sans" w:hAnsi="Foundry Form Sans" w:cs="Arial"/>
        </w:rPr>
        <w:t>to provide a</w:t>
      </w:r>
      <w:r w:rsidR="006A1836" w:rsidRPr="00D968DB">
        <w:rPr>
          <w:rFonts w:ascii="Foundry Form Sans" w:hAnsi="Foundry Form Sans" w:cs="Arial"/>
        </w:rPr>
        <w:t xml:space="preserve"> </w:t>
      </w:r>
      <w:r w:rsidR="00BE430B" w:rsidRPr="00D968DB">
        <w:rPr>
          <w:rFonts w:ascii="Foundry Form Sans" w:hAnsi="Foundry Form Sans" w:cs="Arial"/>
        </w:rPr>
        <w:t xml:space="preserve">distinct waterside development, benefitting from views of the </w:t>
      </w:r>
      <w:r w:rsidR="00052F85" w:rsidRPr="00D968DB">
        <w:rPr>
          <w:rFonts w:ascii="Foundry Form Sans" w:hAnsi="Foundry Form Sans" w:cs="Arial"/>
        </w:rPr>
        <w:t>R</w:t>
      </w:r>
      <w:r w:rsidR="00BE430B" w:rsidRPr="00D968DB">
        <w:rPr>
          <w:rFonts w:ascii="Foundry Form Sans" w:hAnsi="Foundry Form Sans" w:cs="Arial"/>
        </w:rPr>
        <w:t>iver Thames</w:t>
      </w:r>
      <w:r w:rsidR="003A1213" w:rsidRPr="00D968DB">
        <w:rPr>
          <w:rFonts w:ascii="Foundry Form Sans" w:hAnsi="Foundry Form Sans" w:cs="Arial"/>
        </w:rPr>
        <w:t xml:space="preserve"> and high quality urban form of the surrounding developments.</w:t>
      </w:r>
      <w:r w:rsidR="00514E0E">
        <w:rPr>
          <w:rFonts w:ascii="Foundry Form Sans" w:hAnsi="Foundry Form Sans" w:cs="Arial"/>
        </w:rPr>
        <w:t xml:space="preserve"> </w:t>
      </w:r>
      <w:r w:rsidR="00527194">
        <w:rPr>
          <w:rFonts w:ascii="Foundry Form Sans" w:hAnsi="Foundry Form Sans" w:cs="Arial"/>
        </w:rPr>
        <w:t xml:space="preserve">The </w:t>
      </w:r>
      <w:r w:rsidR="00C66BCA">
        <w:rPr>
          <w:rFonts w:ascii="Foundry Form Sans" w:hAnsi="Foundry Form Sans" w:cs="Arial"/>
        </w:rPr>
        <w:t>Gallions 3B s</w:t>
      </w:r>
      <w:r w:rsidR="00527194">
        <w:rPr>
          <w:rFonts w:ascii="Foundry Form Sans" w:hAnsi="Foundry Form Sans" w:cs="Arial"/>
        </w:rPr>
        <w:t xml:space="preserve">ite is the area </w:t>
      </w:r>
      <w:r w:rsidR="00114894">
        <w:rPr>
          <w:rFonts w:ascii="Foundry Form Sans" w:hAnsi="Foundry Form Sans" w:cs="Arial"/>
        </w:rPr>
        <w:t>edged red on the plan at Annex B</w:t>
      </w:r>
      <w:r w:rsidR="00527194">
        <w:rPr>
          <w:rFonts w:ascii="Foundry Form Sans" w:hAnsi="Foundry Form Sans" w:cs="Arial"/>
        </w:rPr>
        <w:t>1</w:t>
      </w:r>
      <w:r w:rsidR="00514E0E">
        <w:rPr>
          <w:rFonts w:ascii="Foundry Form Sans" w:hAnsi="Foundry Form Sans" w:cs="Arial"/>
        </w:rPr>
        <w:t xml:space="preserve"> (the 'Site')</w:t>
      </w:r>
    </w:p>
    <w:p w:rsidR="006A1836" w:rsidRDefault="00D4177D"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This procurement process will </w:t>
      </w:r>
      <w:r w:rsidR="00081B38" w:rsidRPr="00D968DB">
        <w:rPr>
          <w:rFonts w:ascii="Foundry Form Sans" w:hAnsi="Foundry Form Sans" w:cs="Arial"/>
        </w:rPr>
        <w:t>secure</w:t>
      </w:r>
      <w:r w:rsidRPr="00D968DB">
        <w:rPr>
          <w:rFonts w:ascii="Foundry Form Sans" w:hAnsi="Foundry Form Sans" w:cs="Arial"/>
        </w:rPr>
        <w:t xml:space="preserve"> a housing developer</w:t>
      </w:r>
      <w:r w:rsidR="008A6E6A" w:rsidRPr="00D968DB">
        <w:rPr>
          <w:rFonts w:ascii="Foundry Form Sans" w:hAnsi="Foundry Form Sans" w:cs="Arial"/>
        </w:rPr>
        <w:t xml:space="preserve"> </w:t>
      </w:r>
      <w:r w:rsidRPr="00D968DB">
        <w:rPr>
          <w:rFonts w:ascii="Foundry Form Sans" w:hAnsi="Foundry Form Sans" w:cs="Arial"/>
        </w:rPr>
        <w:t>to</w:t>
      </w:r>
      <w:r w:rsidR="008A6E6A" w:rsidRPr="00D968DB">
        <w:rPr>
          <w:rFonts w:ascii="Foundry Form Sans" w:hAnsi="Foundry Form Sans" w:cs="Arial"/>
        </w:rPr>
        <w:t xml:space="preserve"> </w:t>
      </w:r>
      <w:r w:rsidRPr="00D968DB">
        <w:rPr>
          <w:rFonts w:ascii="Foundry Form Sans" w:hAnsi="Foundry Form Sans" w:cs="Arial"/>
        </w:rPr>
        <w:t>deliver more homes for London</w:t>
      </w:r>
      <w:r w:rsidR="006A1836" w:rsidRPr="00D968DB">
        <w:rPr>
          <w:rFonts w:ascii="Foundry Form Sans" w:hAnsi="Foundry Form Sans" w:cs="Arial"/>
        </w:rPr>
        <w:t xml:space="preserve">. </w:t>
      </w:r>
      <w:r w:rsidR="00FA45A5" w:rsidRPr="00D968DB">
        <w:rPr>
          <w:rFonts w:ascii="Foundry Form Sans" w:hAnsi="Foundry Form Sans" w:cs="Arial"/>
        </w:rPr>
        <w:t>The GLA intends to select and appoint a delivery partner from the LDP, through this ‘mini competition’ tender process, who will work in partnership with the GLA to deliver the entire development to meet the requirements of the GLA and the London Borough of Newham as set out in the Tender Documentation.</w:t>
      </w:r>
    </w:p>
    <w:p w:rsidR="00D968DB" w:rsidRPr="00D968DB" w:rsidRDefault="00D968DB" w:rsidP="009F133B">
      <w:pPr>
        <w:pStyle w:val="BodyText"/>
        <w:spacing w:after="120" w:line="23" w:lineRule="atLeast"/>
        <w:ind w:left="284"/>
        <w:jc w:val="both"/>
        <w:rPr>
          <w:rFonts w:ascii="Foundry Form Sans" w:hAnsi="Foundry Form Sans" w:cs="Arial"/>
        </w:rPr>
      </w:pPr>
    </w:p>
    <w:p w:rsidR="00047973" w:rsidRDefault="00047973"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Role of Developer and Delivery Expectations</w:t>
      </w:r>
    </w:p>
    <w:p w:rsidR="00D968DB" w:rsidRPr="00027DF3" w:rsidRDefault="00D968DB" w:rsidP="009F133B">
      <w:pPr>
        <w:pStyle w:val="BodyText"/>
        <w:spacing w:after="120" w:line="23" w:lineRule="atLeast"/>
        <w:ind w:left="284"/>
        <w:jc w:val="both"/>
        <w:rPr>
          <w:rFonts w:ascii="Foundry Form Sans" w:hAnsi="Foundry Form Sans" w:cs="Arial"/>
          <w:b/>
        </w:rPr>
      </w:pPr>
    </w:p>
    <w:p w:rsidR="0096693F" w:rsidRPr="00D968DB" w:rsidRDefault="0096693F"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The developer will be expected to enter into the standard form of LDP development agreement.  We do not envisage there being any amendments required to this standard form of documentation</w:t>
      </w:r>
      <w:r w:rsidR="00B76701" w:rsidRPr="00D968DB">
        <w:rPr>
          <w:rFonts w:ascii="Foundry Form Sans" w:hAnsi="Foundry Form Sans" w:cs="Arial"/>
        </w:rPr>
        <w:t xml:space="preserve"> save for consequential amendments necessary to reflect the terms of the developer's bid</w:t>
      </w:r>
      <w:r w:rsidR="009612CA" w:rsidRPr="00D968DB">
        <w:rPr>
          <w:rFonts w:ascii="Foundry Form Sans" w:hAnsi="Foundry Form Sans" w:cs="Arial"/>
        </w:rPr>
        <w:t xml:space="preserve"> and those </w:t>
      </w:r>
      <w:r w:rsidR="00081B38" w:rsidRPr="00D968DB">
        <w:rPr>
          <w:rFonts w:ascii="Foundry Form Sans" w:hAnsi="Foundry Form Sans" w:cs="Arial"/>
        </w:rPr>
        <w:t xml:space="preserve">outlined further at </w:t>
      </w:r>
      <w:r w:rsidR="009612CA" w:rsidRPr="00D968DB">
        <w:rPr>
          <w:rFonts w:ascii="Foundry Form Sans" w:hAnsi="Foundry Form Sans" w:cs="Arial"/>
        </w:rPr>
        <w:t xml:space="preserve">5.3 of this ITT </w:t>
      </w:r>
      <w:r w:rsidRPr="00D968DB">
        <w:rPr>
          <w:rFonts w:ascii="Foundry Form Sans" w:hAnsi="Foundry Form Sans" w:cs="Arial"/>
        </w:rPr>
        <w:t>.</w:t>
      </w:r>
    </w:p>
    <w:p w:rsidR="00433402" w:rsidRPr="00D968DB" w:rsidRDefault="00047973"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developer will be wholly responsible </w:t>
      </w:r>
      <w:r w:rsidR="00800333" w:rsidRPr="00D968DB">
        <w:rPr>
          <w:rFonts w:ascii="Foundry Form Sans" w:hAnsi="Foundry Form Sans" w:cs="Arial"/>
        </w:rPr>
        <w:t>for securing planning and all other necessary consents, construction, marketing</w:t>
      </w:r>
      <w:r w:rsidR="009A7D77" w:rsidRPr="00D968DB">
        <w:rPr>
          <w:rFonts w:ascii="Foundry Form Sans" w:hAnsi="Foundry Form Sans" w:cs="Arial"/>
        </w:rPr>
        <w:t>, sales</w:t>
      </w:r>
      <w:r w:rsidR="00800333" w:rsidRPr="00D968DB">
        <w:rPr>
          <w:rFonts w:ascii="Foundry Form Sans" w:hAnsi="Foundry Form Sans" w:cs="Arial"/>
        </w:rPr>
        <w:t xml:space="preserve"> and letting</w:t>
      </w:r>
      <w:r w:rsidR="00433402" w:rsidRPr="00D968DB">
        <w:rPr>
          <w:rFonts w:ascii="Foundry Form Sans" w:hAnsi="Foundry Form Sans" w:cs="Arial"/>
        </w:rPr>
        <w:t>.</w:t>
      </w:r>
      <w:r w:rsidR="00800333" w:rsidRPr="00D968DB">
        <w:rPr>
          <w:rFonts w:ascii="Foundry Form Sans" w:hAnsi="Foundry Form Sans" w:cs="Arial"/>
        </w:rPr>
        <w:t xml:space="preserve"> </w:t>
      </w:r>
    </w:p>
    <w:p w:rsidR="00047973" w:rsidRPr="00D968DB" w:rsidRDefault="00F71759"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developer will be responsible for </w:t>
      </w:r>
      <w:r w:rsidR="009A7D77" w:rsidRPr="00D968DB">
        <w:rPr>
          <w:rFonts w:ascii="Foundry Form Sans" w:hAnsi="Foundry Form Sans" w:cs="Arial"/>
        </w:rPr>
        <w:t xml:space="preserve">security and </w:t>
      </w:r>
      <w:r w:rsidR="00047973" w:rsidRPr="00D968DB">
        <w:rPr>
          <w:rFonts w:ascii="Foundry Form Sans" w:hAnsi="Foundry Form Sans" w:cs="Arial"/>
        </w:rPr>
        <w:t xml:space="preserve">estate management </w:t>
      </w:r>
      <w:r w:rsidR="000F6377">
        <w:rPr>
          <w:rFonts w:ascii="Foundry Form Sans" w:hAnsi="Foundry Form Sans" w:cs="Arial"/>
        </w:rPr>
        <w:t xml:space="preserve">and their associated </w:t>
      </w:r>
      <w:r w:rsidR="00047973" w:rsidRPr="00D968DB">
        <w:rPr>
          <w:rFonts w:ascii="Foundry Form Sans" w:hAnsi="Foundry Form Sans" w:cs="Arial"/>
        </w:rPr>
        <w:t>costs</w:t>
      </w:r>
      <w:r w:rsidR="00071A9D" w:rsidRPr="00D968DB">
        <w:rPr>
          <w:rFonts w:ascii="Foundry Form Sans" w:hAnsi="Foundry Form Sans" w:cs="Arial"/>
        </w:rPr>
        <w:t xml:space="preserve"> following the </w:t>
      </w:r>
      <w:r w:rsidR="00EF719C" w:rsidRPr="00D968DB">
        <w:rPr>
          <w:rFonts w:ascii="Foundry Form Sans" w:hAnsi="Foundry Form Sans" w:cs="Arial"/>
        </w:rPr>
        <w:t xml:space="preserve">exchange </w:t>
      </w:r>
      <w:r w:rsidR="00071A9D" w:rsidRPr="00D968DB">
        <w:rPr>
          <w:rFonts w:ascii="Foundry Form Sans" w:hAnsi="Foundry Form Sans" w:cs="Arial"/>
        </w:rPr>
        <w:t xml:space="preserve">of </w:t>
      </w:r>
      <w:r w:rsidR="000541F8" w:rsidRPr="00D968DB">
        <w:rPr>
          <w:rFonts w:ascii="Foundry Form Sans" w:hAnsi="Foundry Form Sans" w:cs="Arial"/>
        </w:rPr>
        <w:t xml:space="preserve">the </w:t>
      </w:r>
      <w:r w:rsidR="00B76701" w:rsidRPr="00D968DB">
        <w:rPr>
          <w:rFonts w:ascii="Foundry Form Sans" w:hAnsi="Foundry Form Sans" w:cs="Arial"/>
        </w:rPr>
        <w:t>d</w:t>
      </w:r>
      <w:r w:rsidR="000541F8" w:rsidRPr="00D968DB">
        <w:rPr>
          <w:rFonts w:ascii="Foundry Form Sans" w:hAnsi="Foundry Form Sans" w:cs="Arial"/>
        </w:rPr>
        <w:t xml:space="preserve">evelopment </w:t>
      </w:r>
      <w:r w:rsidR="00B76701" w:rsidRPr="00D968DB">
        <w:rPr>
          <w:rFonts w:ascii="Foundry Form Sans" w:hAnsi="Foundry Form Sans" w:cs="Arial"/>
        </w:rPr>
        <w:t>a</w:t>
      </w:r>
      <w:r w:rsidR="000541F8" w:rsidRPr="00D968DB">
        <w:rPr>
          <w:rFonts w:ascii="Foundry Form Sans" w:hAnsi="Foundry Form Sans" w:cs="Arial"/>
        </w:rPr>
        <w:t>greement</w:t>
      </w:r>
      <w:r w:rsidR="00800333" w:rsidRPr="00D968DB">
        <w:rPr>
          <w:rFonts w:ascii="Foundry Form Sans" w:hAnsi="Foundry Form Sans" w:cs="Arial"/>
        </w:rPr>
        <w:t>.</w:t>
      </w:r>
      <w:r w:rsidR="00047973" w:rsidRPr="00D968DB">
        <w:rPr>
          <w:rFonts w:ascii="Foundry Form Sans" w:hAnsi="Foundry Form Sans" w:cs="Arial"/>
        </w:rPr>
        <w:t xml:space="preserve"> </w:t>
      </w:r>
    </w:p>
    <w:p w:rsidR="006A1836" w:rsidRPr="00D968DB" w:rsidRDefault="00F71759"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The developer will a</w:t>
      </w:r>
      <w:r w:rsidR="00047973" w:rsidRPr="00D968DB">
        <w:rPr>
          <w:rFonts w:ascii="Foundry Form Sans" w:hAnsi="Foundry Form Sans" w:cs="Arial"/>
        </w:rPr>
        <w:t xml:space="preserve">chieve </w:t>
      </w:r>
      <w:r w:rsidR="009A7D77" w:rsidRPr="00D968DB">
        <w:rPr>
          <w:rFonts w:ascii="Foundry Form Sans" w:hAnsi="Foundry Form Sans" w:cs="Arial"/>
        </w:rPr>
        <w:t>commencement of construction</w:t>
      </w:r>
      <w:r w:rsidR="00047973" w:rsidRPr="00D968DB">
        <w:rPr>
          <w:rFonts w:ascii="Foundry Form Sans" w:hAnsi="Foundry Form Sans" w:cs="Arial"/>
        </w:rPr>
        <w:t xml:space="preserve"> </w:t>
      </w:r>
      <w:r w:rsidR="00A630DC" w:rsidRPr="00D968DB">
        <w:rPr>
          <w:rFonts w:ascii="Foundry Form Sans" w:hAnsi="Foundry Form Sans" w:cs="Arial"/>
        </w:rPr>
        <w:t>promptly following receipt of</w:t>
      </w:r>
      <w:r w:rsidR="00047973" w:rsidRPr="00D968DB">
        <w:rPr>
          <w:rFonts w:ascii="Foundry Form Sans" w:hAnsi="Foundry Form Sans" w:cs="Arial"/>
        </w:rPr>
        <w:t xml:space="preserve"> detailed planning permission</w:t>
      </w:r>
      <w:r w:rsidR="00DB1F3A" w:rsidRPr="00D968DB">
        <w:rPr>
          <w:rFonts w:ascii="Foundry Form Sans" w:hAnsi="Foundry Form Sans" w:cs="Arial"/>
        </w:rPr>
        <w:t xml:space="preserve">, with an expectation </w:t>
      </w:r>
      <w:r w:rsidR="00DA1AAE" w:rsidRPr="00D968DB">
        <w:rPr>
          <w:rFonts w:ascii="Foundry Form Sans" w:hAnsi="Foundry Form Sans" w:cs="Arial"/>
        </w:rPr>
        <w:t xml:space="preserve">to </w:t>
      </w:r>
      <w:r w:rsidR="00047973" w:rsidRPr="00D968DB">
        <w:rPr>
          <w:rFonts w:ascii="Foundry Form Sans" w:hAnsi="Foundry Form Sans" w:cs="Arial"/>
        </w:rPr>
        <w:t xml:space="preserve">complete the development </w:t>
      </w:r>
      <w:r w:rsidRPr="00D968DB">
        <w:rPr>
          <w:rFonts w:ascii="Foundry Form Sans" w:hAnsi="Foundry Form Sans" w:cs="Arial"/>
        </w:rPr>
        <w:t xml:space="preserve">within a </w:t>
      </w:r>
      <w:r w:rsidR="000E3EDB" w:rsidRPr="00D968DB">
        <w:rPr>
          <w:rFonts w:ascii="Foundry Form Sans" w:hAnsi="Foundry Form Sans" w:cs="Arial"/>
        </w:rPr>
        <w:t xml:space="preserve">reasonable </w:t>
      </w:r>
      <w:r w:rsidRPr="00D968DB">
        <w:rPr>
          <w:rFonts w:ascii="Foundry Form Sans" w:hAnsi="Foundry Form Sans" w:cs="Arial"/>
        </w:rPr>
        <w:t>timeframe once</w:t>
      </w:r>
      <w:r w:rsidR="00343486" w:rsidRPr="00D968DB">
        <w:rPr>
          <w:rFonts w:ascii="Foundry Form Sans" w:hAnsi="Foundry Form Sans" w:cs="Arial"/>
        </w:rPr>
        <w:t xml:space="preserve"> </w:t>
      </w:r>
      <w:r w:rsidR="00047973" w:rsidRPr="00D968DB">
        <w:rPr>
          <w:rFonts w:ascii="Foundry Form Sans" w:hAnsi="Foundry Form Sans" w:cs="Arial"/>
        </w:rPr>
        <w:t>start</w:t>
      </w:r>
      <w:r w:rsidR="00343486" w:rsidRPr="00D968DB">
        <w:rPr>
          <w:rFonts w:ascii="Foundry Form Sans" w:hAnsi="Foundry Form Sans" w:cs="Arial"/>
        </w:rPr>
        <w:t>ed</w:t>
      </w:r>
      <w:r w:rsidR="00047973" w:rsidRPr="00D968DB">
        <w:rPr>
          <w:rFonts w:ascii="Foundry Form Sans" w:hAnsi="Foundry Form Sans" w:cs="Arial"/>
        </w:rPr>
        <w:t xml:space="preserve"> on site.</w:t>
      </w:r>
      <w:r w:rsidR="00AA3B23" w:rsidRPr="00D968DB">
        <w:rPr>
          <w:rFonts w:ascii="Foundry Form Sans" w:hAnsi="Foundry Form Sans" w:cs="Arial"/>
        </w:rPr>
        <w:t xml:space="preserve"> </w:t>
      </w:r>
    </w:p>
    <w:p w:rsidR="0035260B" w:rsidRPr="009E2CF2" w:rsidRDefault="000D211E"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lastRenderedPageBreak/>
        <w:t>As a means of improving the appearance of the general area and maximising the use of the safeguarded river fronted land, t</w:t>
      </w:r>
      <w:r w:rsidR="0035260B" w:rsidRPr="00D968DB">
        <w:rPr>
          <w:rFonts w:ascii="Foundry Form Sans" w:hAnsi="Foundry Form Sans" w:cs="Arial"/>
        </w:rPr>
        <w:t>he developer will be required to submit proposals for a temporary park/open space on the area</w:t>
      </w:r>
      <w:r w:rsidR="00F52B33">
        <w:rPr>
          <w:rFonts w:ascii="Foundry Form Sans" w:hAnsi="Foundry Form Sans" w:cs="Arial"/>
        </w:rPr>
        <w:t xml:space="preserve"> shaded green</w:t>
      </w:r>
      <w:r w:rsidR="0035260B" w:rsidRPr="00D968DB">
        <w:rPr>
          <w:rFonts w:ascii="Foundry Form Sans" w:hAnsi="Foundry Form Sans" w:cs="Arial"/>
        </w:rPr>
        <w:t xml:space="preserve"> on the plan</w:t>
      </w:r>
      <w:r w:rsidR="00114894">
        <w:rPr>
          <w:rFonts w:ascii="Foundry Form Sans" w:hAnsi="Foundry Form Sans" w:cs="Arial"/>
        </w:rPr>
        <w:t xml:space="preserve"> at Annex B</w:t>
      </w:r>
      <w:r w:rsidR="00C43F1B">
        <w:rPr>
          <w:rFonts w:ascii="Foundry Form Sans" w:hAnsi="Foundry Form Sans" w:cs="Arial"/>
        </w:rPr>
        <w:t>1</w:t>
      </w:r>
      <w:r w:rsidR="00C66BCA">
        <w:rPr>
          <w:rFonts w:ascii="Foundry Form Sans" w:hAnsi="Foundry Form Sans" w:cs="Arial"/>
        </w:rPr>
        <w:t xml:space="preserve"> (the ‘Temporary Open Space Land’)</w:t>
      </w:r>
      <w:r>
        <w:rPr>
          <w:rFonts w:ascii="Foundry Form Sans" w:hAnsi="Foundry Form Sans" w:cs="Arial"/>
        </w:rPr>
        <w:t>. The developer will be responsible for this Temporary Open Space Land until the proposed bridge crossing (referred to in paragraph 2.3.1) is built</w:t>
      </w:r>
      <w:r w:rsidR="00F52B33">
        <w:rPr>
          <w:rFonts w:ascii="Foundry Form Sans" w:hAnsi="Foundry Form Sans" w:cs="Arial"/>
        </w:rPr>
        <w:t xml:space="preserve"> or the safeguarding released,</w:t>
      </w:r>
      <w:r>
        <w:rPr>
          <w:rFonts w:ascii="Foundry Form Sans" w:hAnsi="Foundry Form Sans" w:cs="Arial"/>
        </w:rPr>
        <w:t xml:space="preserve"> or for 15 years from practical completion (whichever is the earlier)</w:t>
      </w:r>
      <w:r w:rsidR="00C66BCA">
        <w:rPr>
          <w:rFonts w:ascii="Foundry Form Sans" w:hAnsi="Foundry Form Sans" w:cs="Arial"/>
        </w:rPr>
        <w:t>.</w:t>
      </w:r>
      <w:r w:rsidR="0035260B" w:rsidRPr="00D968DB">
        <w:rPr>
          <w:rFonts w:ascii="Foundry Form Sans" w:hAnsi="Foundry Form Sans" w:cs="Arial"/>
        </w:rPr>
        <w:t xml:space="preserve">  Th</w:t>
      </w:r>
      <w:r w:rsidR="00F4785F">
        <w:rPr>
          <w:rFonts w:ascii="Foundry Form Sans" w:hAnsi="Foundry Form Sans" w:cs="Arial"/>
        </w:rPr>
        <w:t xml:space="preserve">e cost of maintenance of the Temporary Open Space Land </w:t>
      </w:r>
      <w:r w:rsidR="0035260B" w:rsidRPr="00D968DB">
        <w:rPr>
          <w:rFonts w:ascii="Foundry Form Sans" w:hAnsi="Foundry Form Sans" w:cs="Arial"/>
        </w:rPr>
        <w:t xml:space="preserve">will be part of the </w:t>
      </w:r>
      <w:r w:rsidR="00693447" w:rsidRPr="00D968DB">
        <w:rPr>
          <w:rFonts w:ascii="Foundry Form Sans" w:hAnsi="Foundry Form Sans" w:cs="Arial"/>
        </w:rPr>
        <w:t>overall project cost</w:t>
      </w:r>
      <w:r w:rsidR="006836A7">
        <w:rPr>
          <w:rFonts w:ascii="Foundry Form Sans" w:hAnsi="Foundry Form Sans" w:cs="Arial"/>
        </w:rPr>
        <w:t xml:space="preserve">, </w:t>
      </w:r>
      <w:r w:rsidR="006836A7" w:rsidRPr="009E2CF2">
        <w:rPr>
          <w:rFonts w:ascii="Foundry Form Sans" w:hAnsi="Foundry Form Sans" w:cs="Arial"/>
        </w:rPr>
        <w:t xml:space="preserve">and </w:t>
      </w:r>
      <w:r w:rsidR="003820BE" w:rsidRPr="009F133B">
        <w:rPr>
          <w:rFonts w:ascii="Foundry Form Sans" w:hAnsi="Foundry Form Sans" w:cs="Arial"/>
        </w:rPr>
        <w:t xml:space="preserve">Bidders </w:t>
      </w:r>
      <w:r w:rsidR="006836A7" w:rsidRPr="009E2CF2">
        <w:rPr>
          <w:rFonts w:ascii="Foundry Form Sans" w:hAnsi="Foundry Form Sans" w:cs="Arial"/>
        </w:rPr>
        <w:t xml:space="preserve">should be mindful of </w:t>
      </w:r>
      <w:r w:rsidR="00C17FF4" w:rsidRPr="009E2CF2">
        <w:rPr>
          <w:rFonts w:ascii="Foundry Form Sans" w:hAnsi="Foundry Form Sans" w:cs="Arial"/>
        </w:rPr>
        <w:t>its</w:t>
      </w:r>
      <w:r w:rsidR="006836A7" w:rsidRPr="009E2CF2">
        <w:rPr>
          <w:rFonts w:ascii="Foundry Form Sans" w:hAnsi="Foundry Form Sans" w:cs="Arial"/>
        </w:rPr>
        <w:t xml:space="preserve"> temporary </w:t>
      </w:r>
      <w:r w:rsidR="00C17FF4" w:rsidRPr="009E2CF2">
        <w:rPr>
          <w:rFonts w:ascii="Foundry Form Sans" w:hAnsi="Foundry Form Sans" w:cs="Arial"/>
        </w:rPr>
        <w:t>nature in the allocation of funding</w:t>
      </w:r>
      <w:r w:rsidR="00FE7E5B" w:rsidRPr="009E2CF2">
        <w:rPr>
          <w:rFonts w:ascii="Foundry Form Sans" w:hAnsi="Foundry Form Sans" w:cs="Arial"/>
        </w:rPr>
        <w:t>.</w:t>
      </w:r>
    </w:p>
    <w:p w:rsidR="00047973" w:rsidRPr="00027DF3" w:rsidRDefault="00047973" w:rsidP="009F133B">
      <w:pPr>
        <w:pStyle w:val="BodyText"/>
        <w:numPr>
          <w:ilvl w:val="1"/>
          <w:numId w:val="42"/>
        </w:numPr>
        <w:spacing w:after="120" w:line="23" w:lineRule="atLeast"/>
        <w:ind w:left="284"/>
        <w:jc w:val="both"/>
        <w:rPr>
          <w:rFonts w:ascii="Foundry Form Sans" w:hAnsi="Foundry Form Sans" w:cs="Arial"/>
          <w:b/>
        </w:rPr>
      </w:pPr>
      <w:r w:rsidRPr="009E2CF2">
        <w:rPr>
          <w:rFonts w:ascii="Foundry Form Sans" w:hAnsi="Foundry Form Sans" w:cs="Arial"/>
          <w:b/>
        </w:rPr>
        <w:t>Basis of Transfer and Availability of</w:t>
      </w:r>
      <w:r w:rsidRPr="00027DF3">
        <w:rPr>
          <w:rFonts w:ascii="Foundry Form Sans" w:hAnsi="Foundry Form Sans" w:cs="Arial"/>
          <w:b/>
        </w:rPr>
        <w:t xml:space="preserve"> Funding</w:t>
      </w:r>
    </w:p>
    <w:p w:rsidR="00616FBD" w:rsidRPr="00A37D08" w:rsidRDefault="00047973" w:rsidP="009F133B">
      <w:pPr>
        <w:pStyle w:val="BodyText"/>
        <w:numPr>
          <w:ilvl w:val="2"/>
          <w:numId w:val="42"/>
        </w:numPr>
        <w:spacing w:after="120" w:line="23" w:lineRule="atLeast"/>
        <w:ind w:left="284"/>
        <w:jc w:val="both"/>
        <w:rPr>
          <w:rFonts w:ascii="Foundry Form Sans" w:hAnsi="Foundry Form Sans" w:cs="Arial"/>
        </w:rPr>
      </w:pPr>
      <w:r w:rsidRPr="00006650">
        <w:rPr>
          <w:rFonts w:ascii="Foundry Form Sans" w:hAnsi="Foundry Form Sans" w:cs="Arial"/>
        </w:rPr>
        <w:t xml:space="preserve">The developer will offer a guaranteed minimum land value (net of all costs) for the </w:t>
      </w:r>
      <w:r w:rsidR="00D71996">
        <w:rPr>
          <w:rFonts w:ascii="Foundry Form Sans" w:hAnsi="Foundry Form Sans" w:cs="Arial"/>
        </w:rPr>
        <w:t>f</w:t>
      </w:r>
      <w:r w:rsidR="00CB2E6E">
        <w:rPr>
          <w:rFonts w:ascii="Foundry Form Sans" w:hAnsi="Foundry Form Sans" w:cs="Arial"/>
        </w:rPr>
        <w:t xml:space="preserve">reehold of </w:t>
      </w:r>
      <w:r w:rsidRPr="00006650">
        <w:rPr>
          <w:rFonts w:ascii="Foundry Form Sans" w:hAnsi="Foundry Form Sans" w:cs="Arial"/>
        </w:rPr>
        <w:t xml:space="preserve">the </w:t>
      </w:r>
      <w:r w:rsidR="00514E0E">
        <w:rPr>
          <w:rFonts w:ascii="Foundry Form Sans" w:hAnsi="Foundry Form Sans" w:cs="Arial"/>
        </w:rPr>
        <w:t>Site</w:t>
      </w:r>
      <w:r w:rsidR="00297CE7">
        <w:rPr>
          <w:rFonts w:ascii="Foundry Form Sans" w:hAnsi="Foundry Form Sans" w:cs="Arial"/>
        </w:rPr>
        <w:t xml:space="preserve"> with a minimum</w:t>
      </w:r>
      <w:r w:rsidR="00F4785F">
        <w:rPr>
          <w:rFonts w:ascii="Foundry Form Sans" w:hAnsi="Foundry Form Sans" w:cs="Arial"/>
        </w:rPr>
        <w:t xml:space="preserve"> </w:t>
      </w:r>
      <w:r w:rsidRPr="00616FBD">
        <w:rPr>
          <w:rFonts w:ascii="Foundry Form Sans" w:hAnsi="Foundry Form Sans" w:cs="Arial"/>
        </w:rPr>
        <w:t xml:space="preserve">20% payment </w:t>
      </w:r>
      <w:r w:rsidR="00A9426A">
        <w:rPr>
          <w:rFonts w:ascii="Foundry Form Sans" w:hAnsi="Foundry Form Sans" w:cs="Arial"/>
        </w:rPr>
        <w:t xml:space="preserve">upon </w:t>
      </w:r>
      <w:r w:rsidR="00693447">
        <w:rPr>
          <w:rFonts w:ascii="Foundry Form Sans" w:hAnsi="Foundry Form Sans" w:cs="Arial"/>
        </w:rPr>
        <w:t xml:space="preserve">satisfaction of the conditions contained in </w:t>
      </w:r>
      <w:r w:rsidR="00A9426A">
        <w:rPr>
          <w:rFonts w:ascii="Foundry Form Sans" w:hAnsi="Foundry Form Sans" w:cs="Arial"/>
        </w:rPr>
        <w:t xml:space="preserve">the </w:t>
      </w:r>
      <w:r w:rsidR="00B76701">
        <w:rPr>
          <w:rFonts w:ascii="Foundry Form Sans" w:hAnsi="Foundry Form Sans" w:cs="Arial"/>
        </w:rPr>
        <w:t>d</w:t>
      </w:r>
      <w:r w:rsidR="00A37D08">
        <w:rPr>
          <w:rFonts w:ascii="Foundry Form Sans" w:hAnsi="Foundry Form Sans" w:cs="Arial"/>
        </w:rPr>
        <w:t xml:space="preserve">evelopment </w:t>
      </w:r>
      <w:r w:rsidR="00B76701">
        <w:rPr>
          <w:rFonts w:ascii="Foundry Form Sans" w:hAnsi="Foundry Form Sans" w:cs="Arial"/>
        </w:rPr>
        <w:t>a</w:t>
      </w:r>
      <w:r w:rsidR="00A37D08">
        <w:rPr>
          <w:rFonts w:ascii="Foundry Form Sans" w:hAnsi="Foundry Form Sans" w:cs="Arial"/>
        </w:rPr>
        <w:t>greement</w:t>
      </w:r>
      <w:r w:rsidR="00A9426A">
        <w:rPr>
          <w:rFonts w:ascii="Foundry Form Sans" w:hAnsi="Foundry Form Sans" w:cs="Arial"/>
        </w:rPr>
        <w:t xml:space="preserve"> </w:t>
      </w:r>
      <w:r w:rsidRPr="00616FBD">
        <w:rPr>
          <w:rFonts w:ascii="Foundry Form Sans" w:hAnsi="Foundry Form Sans" w:cs="Arial"/>
        </w:rPr>
        <w:t xml:space="preserve">and </w:t>
      </w:r>
      <w:r w:rsidR="00314831">
        <w:rPr>
          <w:rFonts w:ascii="Foundry Form Sans" w:hAnsi="Foundry Form Sans" w:cs="Arial"/>
        </w:rPr>
        <w:t xml:space="preserve">thereafter </w:t>
      </w:r>
      <w:r w:rsidR="00B34905">
        <w:rPr>
          <w:rFonts w:ascii="Foundry Form Sans" w:hAnsi="Foundry Form Sans" w:cs="Arial"/>
        </w:rPr>
        <w:t xml:space="preserve">a limited number of </w:t>
      </w:r>
      <w:r w:rsidR="00B34905" w:rsidRPr="00616FBD">
        <w:rPr>
          <w:rFonts w:ascii="Foundry Form Sans" w:hAnsi="Foundry Form Sans" w:cs="Arial"/>
        </w:rPr>
        <w:t>fix</w:t>
      </w:r>
      <w:r w:rsidR="00B34905">
        <w:rPr>
          <w:rFonts w:ascii="Foundry Form Sans" w:hAnsi="Foundry Form Sans" w:cs="Arial"/>
        </w:rPr>
        <w:t xml:space="preserve">ed </w:t>
      </w:r>
      <w:r w:rsidR="00A7799C">
        <w:rPr>
          <w:rFonts w:ascii="Foundry Form Sans" w:hAnsi="Foundry Form Sans" w:cs="Arial"/>
        </w:rPr>
        <w:t xml:space="preserve">payments at agreed </w:t>
      </w:r>
      <w:r w:rsidR="00A7799C" w:rsidRPr="00A37D08">
        <w:rPr>
          <w:rFonts w:ascii="Foundry Form Sans" w:hAnsi="Foundry Form Sans" w:cs="Arial"/>
        </w:rPr>
        <w:t>intervals over an identified</w:t>
      </w:r>
      <w:r w:rsidR="00A37D08" w:rsidRPr="00A37D08">
        <w:rPr>
          <w:rFonts w:ascii="Foundry Form Sans" w:hAnsi="Foundry Form Sans" w:cs="Arial"/>
        </w:rPr>
        <w:t xml:space="preserve"> period</w:t>
      </w:r>
      <w:r w:rsidR="00F22757">
        <w:rPr>
          <w:rFonts w:ascii="Foundry Form Sans" w:hAnsi="Foundry Form Sans" w:cs="Arial"/>
        </w:rPr>
        <w:t xml:space="preserve"> up </w:t>
      </w:r>
      <w:r w:rsidR="00343486">
        <w:rPr>
          <w:rFonts w:ascii="Foundry Form Sans" w:hAnsi="Foundry Form Sans" w:cs="Arial"/>
        </w:rPr>
        <w:t xml:space="preserve">until </w:t>
      </w:r>
      <w:r w:rsidR="00FA5877">
        <w:rPr>
          <w:rFonts w:ascii="Foundry Form Sans" w:hAnsi="Foundry Form Sans" w:cs="Arial"/>
        </w:rPr>
        <w:t>practical co</w:t>
      </w:r>
      <w:r w:rsidR="00052B7D">
        <w:rPr>
          <w:rFonts w:ascii="Foundry Form Sans" w:hAnsi="Foundry Form Sans" w:cs="Arial"/>
        </w:rPr>
        <w:t>mpletion</w:t>
      </w:r>
      <w:r w:rsidR="00F22757">
        <w:rPr>
          <w:rFonts w:ascii="Foundry Form Sans" w:hAnsi="Foundry Form Sans" w:cs="Arial"/>
        </w:rPr>
        <w:t>.</w:t>
      </w:r>
      <w:r w:rsidR="00A44A65">
        <w:rPr>
          <w:rFonts w:ascii="Foundry Form Sans" w:hAnsi="Foundry Form Sans" w:cs="Arial"/>
        </w:rPr>
        <w:t xml:space="preserve">  </w:t>
      </w:r>
      <w:r w:rsidR="00D71996">
        <w:rPr>
          <w:rFonts w:ascii="Foundry Form Sans" w:hAnsi="Foundry Form Sans" w:cs="Arial"/>
        </w:rPr>
        <w:t xml:space="preserve">Bidders should note the intended structure of the project documentation, described in 5.3 below – with the developer entering into a development agreement that will act as an agreement for lease providing for the grant of a building lease for the </w:t>
      </w:r>
      <w:r w:rsidR="00514E0E">
        <w:rPr>
          <w:rFonts w:ascii="Foundry Form Sans" w:hAnsi="Foundry Form Sans" w:cs="Arial"/>
        </w:rPr>
        <w:t>Site</w:t>
      </w:r>
      <w:r w:rsidR="00D71996">
        <w:rPr>
          <w:rFonts w:ascii="Foundry Form Sans" w:hAnsi="Foundry Form Sans" w:cs="Arial"/>
        </w:rPr>
        <w:t xml:space="preserve">.  On practical completion of the development, the freehold will be transferred to the developer.  </w:t>
      </w:r>
    </w:p>
    <w:p w:rsidR="000541F8" w:rsidRPr="00052B7D" w:rsidRDefault="00F41476" w:rsidP="009F133B">
      <w:pPr>
        <w:pStyle w:val="BodyText"/>
        <w:numPr>
          <w:ilvl w:val="2"/>
          <w:numId w:val="42"/>
        </w:numPr>
        <w:spacing w:after="120" w:line="23" w:lineRule="atLeast"/>
        <w:ind w:left="284"/>
        <w:jc w:val="both"/>
        <w:rPr>
          <w:rFonts w:ascii="Foundry Form Sans" w:hAnsi="Foundry Form Sans" w:cs="Arial"/>
        </w:rPr>
      </w:pPr>
      <w:r w:rsidRPr="00616FBD">
        <w:rPr>
          <w:rFonts w:ascii="Foundry Form Sans" w:hAnsi="Foundry Form Sans" w:cs="Arial"/>
        </w:rPr>
        <w:t>No further GLA investment towards the delivery of the affordable housing (i.e. grant funding or recycled capital gr</w:t>
      </w:r>
      <w:r>
        <w:rPr>
          <w:rFonts w:ascii="Foundry Form Sans" w:hAnsi="Foundry Form Sans" w:cs="Arial"/>
        </w:rPr>
        <w:t>ant funding) should be assumed.</w:t>
      </w:r>
    </w:p>
    <w:p w:rsidR="002D4B0D" w:rsidRPr="00F41476" w:rsidRDefault="002D4B0D" w:rsidP="009F133B">
      <w:pPr>
        <w:spacing w:after="120" w:line="23" w:lineRule="atLeast"/>
        <w:ind w:left="284"/>
        <w:jc w:val="both"/>
        <w:rPr>
          <w:rFonts w:ascii="Foundry Form Sans" w:hAnsi="Foundry Form Sans" w:cs="Arial"/>
          <w:sz w:val="22"/>
          <w:szCs w:val="22"/>
        </w:rPr>
      </w:pPr>
    </w:p>
    <w:p w:rsidR="00047973" w:rsidRDefault="00047973" w:rsidP="009F133B">
      <w:pPr>
        <w:pStyle w:val="BodyText"/>
        <w:numPr>
          <w:ilvl w:val="1"/>
          <w:numId w:val="42"/>
        </w:numPr>
        <w:spacing w:after="120" w:line="23" w:lineRule="atLeast"/>
        <w:ind w:left="284"/>
        <w:jc w:val="both"/>
        <w:rPr>
          <w:rFonts w:ascii="Foundry Form Sans" w:hAnsi="Foundry Form Sans" w:cs="Arial"/>
          <w:b/>
        </w:rPr>
      </w:pPr>
      <w:r w:rsidRPr="007F20B6">
        <w:rPr>
          <w:rFonts w:ascii="Foundry Form Sans" w:hAnsi="Foundry Form Sans" w:cs="Arial"/>
          <w:b/>
        </w:rPr>
        <w:t>Indicative Delivery Programme</w:t>
      </w:r>
    </w:p>
    <w:p w:rsidR="00E32E23" w:rsidRDefault="00E32E23" w:rsidP="009F133B">
      <w:pPr>
        <w:pStyle w:val="BodyText"/>
        <w:spacing w:after="120" w:line="23" w:lineRule="atLeast"/>
        <w:ind w:left="284"/>
        <w:jc w:val="both"/>
        <w:rPr>
          <w:rFonts w:ascii="Foundry Form Sans" w:hAnsi="Foundry Form Sans" w:cs="Arial"/>
          <w:b/>
        </w:rPr>
      </w:pPr>
    </w:p>
    <w:p w:rsidR="009968BC" w:rsidRDefault="009968BC" w:rsidP="009F133B">
      <w:pPr>
        <w:pStyle w:val="BodyText"/>
        <w:numPr>
          <w:ilvl w:val="2"/>
          <w:numId w:val="42"/>
        </w:numPr>
        <w:spacing w:after="120" w:line="23" w:lineRule="atLeast"/>
        <w:ind w:left="284"/>
        <w:jc w:val="both"/>
        <w:rPr>
          <w:rFonts w:ascii="Foundry Form Sans" w:hAnsi="Foundry Form Sans" w:cs="Arial"/>
        </w:rPr>
      </w:pPr>
      <w:r w:rsidRPr="00305CB6">
        <w:rPr>
          <w:rFonts w:ascii="Foundry Form Sans" w:hAnsi="Foundry Form Sans" w:cs="Arial"/>
        </w:rPr>
        <w:t>The GLA is working to the following indicative</w:t>
      </w:r>
      <w:r>
        <w:rPr>
          <w:rFonts w:ascii="Foundry Form Sans" w:hAnsi="Foundry Form Sans" w:cs="Arial"/>
        </w:rPr>
        <w:t xml:space="preserve"> procurement</w:t>
      </w:r>
      <w:r w:rsidRPr="00305CB6">
        <w:rPr>
          <w:rFonts w:ascii="Foundry Form Sans" w:hAnsi="Foundry Form Sans" w:cs="Arial"/>
        </w:rPr>
        <w:t xml:space="preserve"> programme for </w:t>
      </w:r>
      <w:r>
        <w:rPr>
          <w:rFonts w:ascii="Foundry Form Sans" w:hAnsi="Foundry Form Sans" w:cs="Arial"/>
        </w:rPr>
        <w:t>appointment of a de</w:t>
      </w:r>
      <w:r w:rsidR="002D3198">
        <w:rPr>
          <w:rFonts w:ascii="Foundry Form Sans" w:hAnsi="Foundry Form Sans" w:cs="Arial"/>
        </w:rPr>
        <w:t>livery</w:t>
      </w:r>
      <w:r w:rsidR="00A77166">
        <w:rPr>
          <w:rFonts w:ascii="Foundry Form Sans" w:hAnsi="Foundry Form Sans" w:cs="Arial"/>
        </w:rPr>
        <w:t xml:space="preserve"> partner and delivery of Gallions 3</w:t>
      </w:r>
      <w:r w:rsidR="00051C31">
        <w:rPr>
          <w:rFonts w:ascii="Foundry Form Sans" w:hAnsi="Foundry Form Sans" w:cs="Arial"/>
        </w:rPr>
        <w:t>B</w:t>
      </w:r>
      <w:r w:rsidRPr="00305CB6">
        <w:rPr>
          <w:rFonts w:ascii="Foundry Form Sans" w:hAnsi="Foundry Form Sans" w:cs="Arial"/>
        </w:rPr>
        <w:t>:</w:t>
      </w:r>
    </w:p>
    <w:p w:rsidR="00E32E23" w:rsidRPr="009968BC" w:rsidRDefault="00E32E23" w:rsidP="009F133B">
      <w:pPr>
        <w:pStyle w:val="BodyText"/>
        <w:spacing w:after="120" w:line="23" w:lineRule="atLeast"/>
        <w:ind w:left="284"/>
        <w:jc w:val="both"/>
        <w:rPr>
          <w:rFonts w:ascii="Foundry Form Sans" w:hAnsi="Foundry Form Sans" w:cs="Arial"/>
        </w:rPr>
      </w:pPr>
    </w:p>
    <w:tbl>
      <w:tblPr>
        <w:tblW w:w="8856" w:type="dxa"/>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8"/>
        <w:gridCol w:w="4428"/>
      </w:tblGrid>
      <w:tr w:rsidR="00047973" w:rsidRPr="007F20B6">
        <w:trPr>
          <w:trHeight w:val="138"/>
        </w:trPr>
        <w:tc>
          <w:tcPr>
            <w:tcW w:w="4428" w:type="dxa"/>
            <w:shd w:val="clear" w:color="auto" w:fill="auto"/>
          </w:tcPr>
          <w:p w:rsidR="00047973" w:rsidRPr="00CE093E" w:rsidRDefault="00047973" w:rsidP="00446F42">
            <w:pPr>
              <w:spacing w:after="120" w:line="23" w:lineRule="atLeast"/>
              <w:ind w:left="60"/>
              <w:jc w:val="both"/>
              <w:rPr>
                <w:rFonts w:ascii="Foundry Form Sans" w:hAnsi="Foundry Form Sans" w:cs="Arial"/>
              </w:rPr>
            </w:pPr>
            <w:r w:rsidRPr="00CE093E">
              <w:rPr>
                <w:rFonts w:ascii="Foundry Form Sans" w:hAnsi="Foundry Form Sans" w:cs="Arial"/>
                <w:b/>
                <w:bCs/>
                <w:sz w:val="22"/>
                <w:szCs w:val="22"/>
              </w:rPr>
              <w:t xml:space="preserve">Stage </w:t>
            </w:r>
          </w:p>
        </w:tc>
        <w:tc>
          <w:tcPr>
            <w:tcW w:w="4428" w:type="dxa"/>
            <w:shd w:val="clear" w:color="auto" w:fill="auto"/>
          </w:tcPr>
          <w:p w:rsidR="00047973" w:rsidRPr="00CE093E" w:rsidRDefault="00047973" w:rsidP="00ED2417">
            <w:pPr>
              <w:spacing w:after="120" w:line="23" w:lineRule="atLeast"/>
              <w:ind w:left="284" w:firstLine="26"/>
              <w:jc w:val="both"/>
              <w:rPr>
                <w:rFonts w:ascii="Foundry Form Sans" w:hAnsi="Foundry Form Sans" w:cs="Arial"/>
              </w:rPr>
            </w:pPr>
            <w:r w:rsidRPr="00CE093E">
              <w:rPr>
                <w:rFonts w:ascii="Foundry Form Sans" w:hAnsi="Foundry Form Sans" w:cs="Arial"/>
                <w:b/>
                <w:bCs/>
                <w:sz w:val="22"/>
                <w:szCs w:val="22"/>
              </w:rPr>
              <w:t xml:space="preserve">Timing </w:t>
            </w:r>
          </w:p>
        </w:tc>
      </w:tr>
      <w:tr w:rsidR="009968BC" w:rsidRPr="007F20B6">
        <w:tc>
          <w:tcPr>
            <w:tcW w:w="4428" w:type="dxa"/>
            <w:shd w:val="clear" w:color="auto" w:fill="auto"/>
          </w:tcPr>
          <w:p w:rsidR="009968BC" w:rsidRPr="00CE093E" w:rsidRDefault="00221E80" w:rsidP="00446F42">
            <w:pPr>
              <w:spacing w:after="120" w:line="23" w:lineRule="atLeast"/>
              <w:ind w:left="60"/>
              <w:jc w:val="both"/>
              <w:rPr>
                <w:rFonts w:ascii="Foundry Form Sans" w:hAnsi="Foundry Form Sans" w:cs="Arial"/>
              </w:rPr>
            </w:pPr>
            <w:r>
              <w:rPr>
                <w:rFonts w:ascii="Foundry Form Sans" w:hAnsi="Foundry Form Sans" w:cs="Arial"/>
                <w:sz w:val="22"/>
                <w:szCs w:val="22"/>
              </w:rPr>
              <w:t>ITT Issued</w:t>
            </w:r>
          </w:p>
        </w:tc>
        <w:tc>
          <w:tcPr>
            <w:tcW w:w="4428" w:type="dxa"/>
            <w:shd w:val="clear" w:color="auto" w:fill="auto"/>
          </w:tcPr>
          <w:p w:rsidR="009968BC" w:rsidRPr="002A6358" w:rsidRDefault="00D40323" w:rsidP="00ED2417">
            <w:pPr>
              <w:spacing w:after="120" w:line="23" w:lineRule="atLeast"/>
              <w:ind w:left="284" w:firstLine="26"/>
              <w:jc w:val="both"/>
              <w:rPr>
                <w:rFonts w:ascii="Foundry Form Sans" w:hAnsi="Foundry Form Sans" w:cs="Arial"/>
              </w:rPr>
            </w:pPr>
            <w:r w:rsidRPr="009F133B">
              <w:rPr>
                <w:rFonts w:ascii="Foundry Form Sans" w:hAnsi="Foundry Form Sans" w:cs="Arial"/>
                <w:sz w:val="22"/>
                <w:szCs w:val="22"/>
              </w:rPr>
              <w:t>1</w:t>
            </w:r>
            <w:r w:rsidR="00281030">
              <w:rPr>
                <w:rFonts w:ascii="Foundry Form Sans" w:hAnsi="Foundry Form Sans" w:cs="Arial"/>
                <w:sz w:val="22"/>
                <w:szCs w:val="22"/>
              </w:rPr>
              <w:t>6</w:t>
            </w:r>
            <w:r w:rsidR="00281030" w:rsidRPr="00281030">
              <w:rPr>
                <w:rFonts w:ascii="Foundry Form Sans" w:hAnsi="Foundry Form Sans" w:cs="Arial"/>
                <w:sz w:val="22"/>
                <w:szCs w:val="22"/>
                <w:vertAlign w:val="superscript"/>
              </w:rPr>
              <w:t>th</w:t>
            </w:r>
            <w:r w:rsidR="00281030">
              <w:rPr>
                <w:rFonts w:ascii="Foundry Form Sans" w:hAnsi="Foundry Form Sans" w:cs="Arial"/>
                <w:sz w:val="22"/>
                <w:szCs w:val="22"/>
              </w:rPr>
              <w:t xml:space="preserve"> </w:t>
            </w:r>
            <w:r w:rsidR="0042728C">
              <w:rPr>
                <w:rFonts w:ascii="Foundry Form Sans" w:hAnsi="Foundry Form Sans" w:cs="Arial"/>
                <w:sz w:val="22"/>
                <w:szCs w:val="22"/>
              </w:rPr>
              <w:t>March</w:t>
            </w:r>
            <w:r w:rsidR="006637DC">
              <w:rPr>
                <w:rFonts w:ascii="Foundry Form Sans" w:hAnsi="Foundry Form Sans" w:cs="Arial"/>
                <w:sz w:val="22"/>
                <w:szCs w:val="22"/>
              </w:rPr>
              <w:t xml:space="preserve"> </w:t>
            </w:r>
            <w:r w:rsidR="003B3D6A">
              <w:rPr>
                <w:rFonts w:ascii="Foundry Form Sans" w:hAnsi="Foundry Form Sans" w:cs="Arial"/>
                <w:sz w:val="22"/>
                <w:szCs w:val="22"/>
              </w:rPr>
              <w:t xml:space="preserve"> </w:t>
            </w:r>
            <w:r w:rsidR="00221E80">
              <w:rPr>
                <w:rFonts w:ascii="Foundry Form Sans" w:hAnsi="Foundry Form Sans" w:cs="Arial"/>
                <w:sz w:val="22"/>
                <w:szCs w:val="22"/>
              </w:rPr>
              <w:t>201</w:t>
            </w:r>
            <w:r w:rsidR="006637DC">
              <w:rPr>
                <w:rFonts w:ascii="Foundry Form Sans" w:hAnsi="Foundry Form Sans" w:cs="Arial"/>
                <w:sz w:val="22"/>
                <w:szCs w:val="22"/>
              </w:rPr>
              <w:t>7</w:t>
            </w:r>
          </w:p>
        </w:tc>
      </w:tr>
      <w:tr w:rsidR="00221E80" w:rsidRPr="007F20B6">
        <w:tc>
          <w:tcPr>
            <w:tcW w:w="4428" w:type="dxa"/>
            <w:shd w:val="clear" w:color="auto" w:fill="auto"/>
          </w:tcPr>
          <w:p w:rsidR="00221E80" w:rsidRPr="00CE093E" w:rsidDel="00221E80" w:rsidRDefault="00221E80" w:rsidP="00446F42">
            <w:pPr>
              <w:spacing w:after="120" w:line="23" w:lineRule="atLeast"/>
              <w:ind w:left="60"/>
              <w:jc w:val="both"/>
              <w:rPr>
                <w:rFonts w:ascii="Foundry Form Sans" w:hAnsi="Foundry Form Sans" w:cs="Arial"/>
                <w:sz w:val="22"/>
                <w:szCs w:val="22"/>
              </w:rPr>
            </w:pPr>
            <w:r>
              <w:rPr>
                <w:rFonts w:ascii="Foundry Form Sans" w:hAnsi="Foundry Form Sans" w:cs="Arial"/>
              </w:rPr>
              <w:t>Acknowledgment of Receipt by email</w:t>
            </w:r>
          </w:p>
        </w:tc>
        <w:tc>
          <w:tcPr>
            <w:tcW w:w="4428" w:type="dxa"/>
            <w:shd w:val="clear" w:color="auto" w:fill="auto"/>
          </w:tcPr>
          <w:p w:rsidR="00221E80" w:rsidRPr="00221E80" w:rsidDel="00221E80" w:rsidRDefault="00281030" w:rsidP="00ED2417">
            <w:pPr>
              <w:spacing w:after="120" w:line="23" w:lineRule="atLeast"/>
              <w:ind w:left="284" w:firstLine="26"/>
              <w:jc w:val="both"/>
              <w:rPr>
                <w:rFonts w:ascii="Foundry Form Sans" w:hAnsi="Foundry Form Sans" w:cs="Arial"/>
                <w:sz w:val="22"/>
                <w:szCs w:val="22"/>
              </w:rPr>
            </w:pPr>
            <w:r>
              <w:rPr>
                <w:rFonts w:ascii="Foundry Form Sans" w:hAnsi="Foundry Form Sans" w:cs="Arial"/>
                <w:sz w:val="22"/>
                <w:szCs w:val="22"/>
              </w:rPr>
              <w:t>4pm</w:t>
            </w:r>
            <w:r w:rsidR="00221E80" w:rsidRPr="00E1371A">
              <w:rPr>
                <w:rFonts w:ascii="Foundry Form Sans" w:hAnsi="Foundry Form Sans" w:cs="Arial"/>
                <w:sz w:val="22"/>
                <w:szCs w:val="22"/>
              </w:rPr>
              <w:t xml:space="preserve"> GMT </w:t>
            </w:r>
            <w:r w:rsidR="0042728C">
              <w:rPr>
                <w:rFonts w:ascii="Foundry Form Sans" w:hAnsi="Foundry Form Sans" w:cs="Arial"/>
                <w:sz w:val="22"/>
                <w:szCs w:val="22"/>
              </w:rPr>
              <w:t>1</w:t>
            </w:r>
            <w:r w:rsidR="0077501D">
              <w:rPr>
                <w:rFonts w:ascii="Foundry Form Sans" w:hAnsi="Foundry Form Sans" w:cs="Arial"/>
                <w:sz w:val="22"/>
                <w:szCs w:val="22"/>
              </w:rPr>
              <w:t>7</w:t>
            </w:r>
            <w:r w:rsidR="0042728C" w:rsidRPr="0042728C">
              <w:rPr>
                <w:rFonts w:ascii="Foundry Form Sans" w:hAnsi="Foundry Form Sans" w:cs="Arial"/>
                <w:sz w:val="22"/>
                <w:szCs w:val="22"/>
                <w:vertAlign w:val="superscript"/>
              </w:rPr>
              <w:t>th</w:t>
            </w:r>
            <w:r w:rsidR="0042728C">
              <w:rPr>
                <w:rFonts w:ascii="Foundry Form Sans" w:hAnsi="Foundry Form Sans" w:cs="Arial"/>
                <w:sz w:val="22"/>
                <w:szCs w:val="22"/>
              </w:rPr>
              <w:t xml:space="preserve"> March</w:t>
            </w:r>
            <w:r w:rsidR="00221E80" w:rsidRPr="00E1371A">
              <w:rPr>
                <w:rFonts w:ascii="Foundry Form Sans" w:hAnsi="Foundry Form Sans" w:cs="Arial"/>
                <w:sz w:val="22"/>
                <w:szCs w:val="22"/>
              </w:rPr>
              <w:t xml:space="preserve"> 201</w:t>
            </w:r>
            <w:r w:rsidR="006637DC">
              <w:rPr>
                <w:rFonts w:ascii="Foundry Form Sans" w:hAnsi="Foundry Form Sans" w:cs="Arial"/>
                <w:sz w:val="22"/>
                <w:szCs w:val="22"/>
              </w:rPr>
              <w:t>7</w:t>
            </w:r>
          </w:p>
        </w:tc>
      </w:tr>
      <w:tr w:rsidR="00B223CF" w:rsidRPr="007F20B6">
        <w:tc>
          <w:tcPr>
            <w:tcW w:w="4428" w:type="dxa"/>
            <w:shd w:val="clear" w:color="auto" w:fill="auto"/>
          </w:tcPr>
          <w:p w:rsidR="00B223CF" w:rsidRPr="00CE093E" w:rsidDel="00221E80" w:rsidRDefault="00B223CF" w:rsidP="00446F42">
            <w:pPr>
              <w:spacing w:after="120" w:line="23" w:lineRule="atLeast"/>
              <w:ind w:left="60"/>
              <w:jc w:val="both"/>
              <w:rPr>
                <w:rFonts w:ascii="Foundry Form Sans" w:hAnsi="Foundry Form Sans" w:cs="Arial"/>
                <w:sz w:val="22"/>
                <w:szCs w:val="22"/>
              </w:rPr>
            </w:pPr>
            <w:r>
              <w:rPr>
                <w:rFonts w:ascii="Foundry Form Sans" w:hAnsi="Foundry Form Sans" w:cs="Arial"/>
                <w:sz w:val="22"/>
                <w:szCs w:val="22"/>
              </w:rPr>
              <w:t>Clarification meeting with GLA &amp; LBN</w:t>
            </w:r>
          </w:p>
        </w:tc>
        <w:tc>
          <w:tcPr>
            <w:tcW w:w="4428" w:type="dxa"/>
            <w:shd w:val="clear" w:color="auto" w:fill="auto"/>
          </w:tcPr>
          <w:p w:rsidR="00B223CF" w:rsidRPr="00B223CF" w:rsidDel="00221E80" w:rsidRDefault="00D40323" w:rsidP="00ED2417">
            <w:pPr>
              <w:spacing w:after="120" w:line="23" w:lineRule="atLeast"/>
              <w:ind w:left="284" w:firstLine="26"/>
              <w:jc w:val="both"/>
              <w:rPr>
                <w:rFonts w:ascii="Foundry Form Sans" w:hAnsi="Foundry Form Sans" w:cs="Arial"/>
                <w:sz w:val="22"/>
                <w:szCs w:val="22"/>
              </w:rPr>
            </w:pPr>
            <w:r>
              <w:rPr>
                <w:rFonts w:ascii="Foundry Form Sans" w:hAnsi="Foundry Form Sans" w:cs="Arial"/>
                <w:sz w:val="22"/>
                <w:szCs w:val="22"/>
              </w:rPr>
              <w:t>2</w:t>
            </w:r>
            <w:r w:rsidR="00F2265C">
              <w:rPr>
                <w:rFonts w:ascii="Foundry Form Sans" w:hAnsi="Foundry Form Sans" w:cs="Arial"/>
                <w:sz w:val="22"/>
                <w:szCs w:val="22"/>
              </w:rPr>
              <w:t>7</w:t>
            </w:r>
            <w:r w:rsidR="0042728C" w:rsidRPr="0042728C">
              <w:rPr>
                <w:rFonts w:ascii="Foundry Form Sans" w:hAnsi="Foundry Form Sans" w:cs="Arial"/>
                <w:sz w:val="22"/>
                <w:szCs w:val="22"/>
                <w:vertAlign w:val="superscript"/>
              </w:rPr>
              <w:t>th</w:t>
            </w:r>
            <w:r w:rsidR="0042728C">
              <w:rPr>
                <w:rFonts w:ascii="Foundry Form Sans" w:hAnsi="Foundry Form Sans" w:cs="Arial"/>
                <w:sz w:val="22"/>
                <w:szCs w:val="22"/>
              </w:rPr>
              <w:t xml:space="preserve"> April 2017</w:t>
            </w:r>
          </w:p>
        </w:tc>
      </w:tr>
      <w:tr w:rsidR="00047973" w:rsidRPr="007F20B6">
        <w:tc>
          <w:tcPr>
            <w:tcW w:w="4428" w:type="dxa"/>
            <w:shd w:val="clear" w:color="auto" w:fill="auto"/>
          </w:tcPr>
          <w:p w:rsidR="00047973" w:rsidRPr="00CE093E" w:rsidRDefault="00221E80" w:rsidP="00446F42">
            <w:pPr>
              <w:spacing w:after="120" w:line="23" w:lineRule="atLeast"/>
              <w:ind w:left="60"/>
              <w:jc w:val="both"/>
              <w:rPr>
                <w:rFonts w:ascii="Foundry Form Sans" w:hAnsi="Foundry Form Sans" w:cs="Arial"/>
              </w:rPr>
            </w:pPr>
            <w:r>
              <w:rPr>
                <w:rFonts w:ascii="Foundry Form Sans" w:hAnsi="Foundry Form Sans" w:cs="Arial"/>
                <w:sz w:val="22"/>
                <w:szCs w:val="22"/>
              </w:rPr>
              <w:t>Final date for clarifications</w:t>
            </w:r>
          </w:p>
        </w:tc>
        <w:tc>
          <w:tcPr>
            <w:tcW w:w="4428" w:type="dxa"/>
            <w:shd w:val="clear" w:color="auto" w:fill="auto"/>
          </w:tcPr>
          <w:p w:rsidR="00047973" w:rsidRPr="00E1371A" w:rsidRDefault="00D40323" w:rsidP="00ED2417">
            <w:pPr>
              <w:spacing w:after="120" w:line="23" w:lineRule="atLeast"/>
              <w:ind w:left="284" w:firstLine="26"/>
              <w:jc w:val="both"/>
              <w:rPr>
                <w:rFonts w:ascii="Foundry Form Sans" w:hAnsi="Foundry Form Sans" w:cs="Arial"/>
              </w:rPr>
            </w:pPr>
            <w:r>
              <w:rPr>
                <w:rFonts w:ascii="Foundry Form Sans" w:hAnsi="Foundry Form Sans" w:cs="Arial"/>
                <w:sz w:val="22"/>
                <w:szCs w:val="22"/>
              </w:rPr>
              <w:t>19</w:t>
            </w:r>
            <w:r w:rsidR="0042728C" w:rsidRPr="0042728C">
              <w:rPr>
                <w:rFonts w:ascii="Foundry Form Sans" w:hAnsi="Foundry Form Sans" w:cs="Arial"/>
                <w:sz w:val="22"/>
                <w:szCs w:val="22"/>
                <w:vertAlign w:val="superscript"/>
              </w:rPr>
              <w:t>th</w:t>
            </w:r>
            <w:r w:rsidR="0042728C">
              <w:rPr>
                <w:rFonts w:ascii="Foundry Form Sans" w:hAnsi="Foundry Form Sans" w:cs="Arial"/>
                <w:sz w:val="22"/>
                <w:szCs w:val="22"/>
              </w:rPr>
              <w:t xml:space="preserve"> </w:t>
            </w:r>
            <w:r w:rsidR="00D968DB">
              <w:rPr>
                <w:rFonts w:ascii="Foundry Form Sans" w:hAnsi="Foundry Form Sans" w:cs="Arial"/>
                <w:sz w:val="22"/>
                <w:szCs w:val="22"/>
              </w:rPr>
              <w:t>May</w:t>
            </w:r>
            <w:r w:rsidR="007C2AB9">
              <w:rPr>
                <w:rFonts w:ascii="Foundry Form Sans" w:hAnsi="Foundry Form Sans" w:cs="Arial"/>
                <w:sz w:val="22"/>
                <w:szCs w:val="22"/>
              </w:rPr>
              <w:t xml:space="preserve"> </w:t>
            </w:r>
            <w:r w:rsidR="00221E80">
              <w:rPr>
                <w:rFonts w:ascii="Foundry Form Sans" w:hAnsi="Foundry Form Sans" w:cs="Arial"/>
                <w:sz w:val="22"/>
                <w:szCs w:val="22"/>
              </w:rPr>
              <w:t>201</w:t>
            </w:r>
            <w:r w:rsidR="007C2AB9">
              <w:rPr>
                <w:rFonts w:ascii="Foundry Form Sans" w:hAnsi="Foundry Form Sans" w:cs="Arial"/>
                <w:sz w:val="22"/>
                <w:szCs w:val="22"/>
              </w:rPr>
              <w:t>7</w:t>
            </w:r>
          </w:p>
        </w:tc>
      </w:tr>
      <w:tr w:rsidR="00047973" w:rsidRPr="007F20B6">
        <w:tc>
          <w:tcPr>
            <w:tcW w:w="4428" w:type="dxa"/>
            <w:shd w:val="clear" w:color="auto" w:fill="auto"/>
          </w:tcPr>
          <w:p w:rsidR="00047973" w:rsidRPr="00CE093E" w:rsidRDefault="00221E80" w:rsidP="00446F42">
            <w:pPr>
              <w:spacing w:after="120" w:line="23" w:lineRule="atLeast"/>
              <w:ind w:left="60"/>
              <w:jc w:val="both"/>
              <w:rPr>
                <w:rFonts w:ascii="Foundry Form Sans" w:hAnsi="Foundry Form Sans" w:cs="Arial"/>
              </w:rPr>
            </w:pPr>
            <w:r>
              <w:rPr>
                <w:rFonts w:ascii="Foundry Form Sans" w:hAnsi="Foundry Form Sans" w:cs="Arial"/>
                <w:sz w:val="22"/>
                <w:szCs w:val="22"/>
              </w:rPr>
              <w:t>ITT submission deadline</w:t>
            </w:r>
          </w:p>
        </w:tc>
        <w:tc>
          <w:tcPr>
            <w:tcW w:w="4428" w:type="dxa"/>
            <w:shd w:val="clear" w:color="auto" w:fill="auto"/>
          </w:tcPr>
          <w:p w:rsidR="00047973" w:rsidRPr="00E1371A" w:rsidRDefault="00221E80" w:rsidP="00ED2417">
            <w:pPr>
              <w:spacing w:after="120" w:line="23" w:lineRule="atLeast"/>
              <w:ind w:left="284" w:firstLine="26"/>
              <w:jc w:val="both"/>
              <w:rPr>
                <w:rFonts w:ascii="Foundry Form Sans" w:hAnsi="Foundry Form Sans" w:cs="Arial"/>
              </w:rPr>
            </w:pPr>
            <w:r>
              <w:rPr>
                <w:rFonts w:ascii="Foundry Form Sans" w:hAnsi="Foundry Form Sans" w:cs="Arial"/>
                <w:sz w:val="22"/>
                <w:szCs w:val="22"/>
              </w:rPr>
              <w:t xml:space="preserve">midday </w:t>
            </w:r>
            <w:r w:rsidR="00D40323">
              <w:rPr>
                <w:rFonts w:ascii="Foundry Form Sans" w:hAnsi="Foundry Form Sans" w:cs="Arial"/>
                <w:sz w:val="22"/>
                <w:szCs w:val="22"/>
              </w:rPr>
              <w:t>2</w:t>
            </w:r>
            <w:r w:rsidR="00D40323">
              <w:rPr>
                <w:rFonts w:ascii="Foundry Form Sans" w:hAnsi="Foundry Form Sans" w:cs="Arial"/>
                <w:sz w:val="22"/>
                <w:szCs w:val="22"/>
                <w:vertAlign w:val="superscript"/>
              </w:rPr>
              <w:t>nd</w:t>
            </w:r>
            <w:r w:rsidR="00D40323">
              <w:rPr>
                <w:rFonts w:ascii="Foundry Form Sans" w:hAnsi="Foundry Form Sans" w:cs="Arial"/>
                <w:sz w:val="22"/>
                <w:szCs w:val="22"/>
              </w:rPr>
              <w:t xml:space="preserve"> June</w:t>
            </w:r>
            <w:r w:rsidR="007C2AB9">
              <w:rPr>
                <w:rFonts w:ascii="Foundry Form Sans" w:hAnsi="Foundry Form Sans" w:cs="Arial"/>
                <w:sz w:val="22"/>
                <w:szCs w:val="22"/>
              </w:rPr>
              <w:t xml:space="preserve"> </w:t>
            </w:r>
            <w:r>
              <w:rPr>
                <w:rFonts w:ascii="Foundry Form Sans" w:hAnsi="Foundry Form Sans" w:cs="Arial"/>
                <w:sz w:val="22"/>
                <w:szCs w:val="22"/>
              </w:rPr>
              <w:t>201</w:t>
            </w:r>
            <w:r w:rsidR="007C2AB9">
              <w:rPr>
                <w:rFonts w:ascii="Foundry Form Sans" w:hAnsi="Foundry Form Sans" w:cs="Arial"/>
                <w:sz w:val="22"/>
                <w:szCs w:val="22"/>
              </w:rPr>
              <w:t>7</w:t>
            </w:r>
          </w:p>
        </w:tc>
      </w:tr>
      <w:tr w:rsidR="00AC3D0A" w:rsidRPr="007F20B6">
        <w:tc>
          <w:tcPr>
            <w:tcW w:w="4428" w:type="dxa"/>
            <w:shd w:val="clear" w:color="auto" w:fill="auto"/>
          </w:tcPr>
          <w:p w:rsidR="00AC3D0A" w:rsidDel="00221E80" w:rsidRDefault="00AC3D0A" w:rsidP="00446F42">
            <w:pPr>
              <w:spacing w:after="120" w:line="23" w:lineRule="atLeast"/>
              <w:ind w:left="60"/>
              <w:jc w:val="both"/>
              <w:rPr>
                <w:rFonts w:ascii="Foundry Form Sans" w:hAnsi="Foundry Form Sans" w:cs="Arial"/>
                <w:sz w:val="22"/>
                <w:szCs w:val="22"/>
              </w:rPr>
            </w:pPr>
            <w:r>
              <w:rPr>
                <w:rFonts w:ascii="Foundry Form Sans" w:hAnsi="Foundry Form Sans" w:cs="Arial"/>
                <w:sz w:val="22"/>
                <w:szCs w:val="22"/>
              </w:rPr>
              <w:t>Tenderers final clarifications and presentation</w:t>
            </w:r>
          </w:p>
        </w:tc>
        <w:tc>
          <w:tcPr>
            <w:tcW w:w="4428" w:type="dxa"/>
            <w:shd w:val="clear" w:color="auto" w:fill="auto"/>
          </w:tcPr>
          <w:p w:rsidR="00AC3D0A" w:rsidRPr="00AD2522" w:rsidDel="00221E80" w:rsidRDefault="00D40323" w:rsidP="00ED2417">
            <w:pPr>
              <w:spacing w:after="120" w:line="23" w:lineRule="atLeast"/>
              <w:ind w:left="284" w:firstLine="26"/>
              <w:jc w:val="both"/>
              <w:rPr>
                <w:rFonts w:ascii="Foundry Form Sans" w:hAnsi="Foundry Form Sans" w:cs="Arial"/>
                <w:sz w:val="22"/>
                <w:szCs w:val="22"/>
              </w:rPr>
            </w:pPr>
            <w:r>
              <w:rPr>
                <w:rFonts w:ascii="Foundry Form Sans" w:hAnsi="Foundry Form Sans" w:cs="Arial"/>
                <w:sz w:val="22"/>
                <w:szCs w:val="22"/>
              </w:rPr>
              <w:t>1</w:t>
            </w:r>
            <w:r w:rsidR="00F2265C">
              <w:rPr>
                <w:rFonts w:ascii="Foundry Form Sans" w:hAnsi="Foundry Form Sans" w:cs="Arial"/>
                <w:sz w:val="22"/>
                <w:szCs w:val="22"/>
              </w:rPr>
              <w:t>5</w:t>
            </w:r>
            <w:r w:rsidR="0042728C" w:rsidRPr="0042728C">
              <w:rPr>
                <w:rFonts w:ascii="Foundry Form Sans" w:hAnsi="Foundry Form Sans" w:cs="Arial"/>
                <w:sz w:val="22"/>
                <w:szCs w:val="22"/>
                <w:vertAlign w:val="superscript"/>
              </w:rPr>
              <w:t>th</w:t>
            </w:r>
            <w:r>
              <w:rPr>
                <w:rFonts w:ascii="Foundry Form Sans" w:hAnsi="Foundry Form Sans" w:cs="Arial"/>
                <w:sz w:val="22"/>
                <w:szCs w:val="22"/>
              </w:rPr>
              <w:t xml:space="preserve"> June</w:t>
            </w:r>
            <w:r w:rsidR="007C2AB9">
              <w:rPr>
                <w:rFonts w:ascii="Foundry Form Sans" w:hAnsi="Foundry Form Sans" w:cs="Arial"/>
                <w:sz w:val="22"/>
                <w:szCs w:val="22"/>
              </w:rPr>
              <w:t xml:space="preserve"> </w:t>
            </w:r>
            <w:r w:rsidR="00AC3D0A">
              <w:rPr>
                <w:rFonts w:ascii="Foundry Form Sans" w:hAnsi="Foundry Form Sans" w:cs="Arial"/>
                <w:sz w:val="22"/>
                <w:szCs w:val="22"/>
              </w:rPr>
              <w:t>201</w:t>
            </w:r>
            <w:r w:rsidR="007C2AB9">
              <w:rPr>
                <w:rFonts w:ascii="Foundry Form Sans" w:hAnsi="Foundry Form Sans" w:cs="Arial"/>
                <w:sz w:val="22"/>
                <w:szCs w:val="22"/>
              </w:rPr>
              <w:t>7</w:t>
            </w:r>
            <w:r w:rsidR="00AC3D0A">
              <w:rPr>
                <w:rFonts w:ascii="Foundry Form Sans" w:hAnsi="Foundry Form Sans" w:cs="Arial"/>
                <w:sz w:val="22"/>
                <w:szCs w:val="22"/>
              </w:rPr>
              <w:t xml:space="preserve"> (tbc)</w:t>
            </w:r>
          </w:p>
        </w:tc>
      </w:tr>
      <w:tr w:rsidR="00047973" w:rsidRPr="007F20B6">
        <w:tc>
          <w:tcPr>
            <w:tcW w:w="4428" w:type="dxa"/>
            <w:shd w:val="clear" w:color="auto" w:fill="auto"/>
          </w:tcPr>
          <w:p w:rsidR="00047973" w:rsidRPr="00CE093E" w:rsidRDefault="00221E80" w:rsidP="00446F42">
            <w:pPr>
              <w:spacing w:after="120" w:line="23" w:lineRule="atLeast"/>
              <w:ind w:left="60"/>
              <w:jc w:val="both"/>
              <w:rPr>
                <w:rFonts w:ascii="Foundry Form Sans" w:hAnsi="Foundry Form Sans" w:cs="Arial"/>
              </w:rPr>
            </w:pPr>
            <w:r>
              <w:rPr>
                <w:rFonts w:ascii="Foundry Form Sans" w:hAnsi="Foundry Form Sans" w:cs="Arial"/>
                <w:sz w:val="22"/>
                <w:szCs w:val="22"/>
              </w:rPr>
              <w:t>Appointment of development partner</w:t>
            </w:r>
            <w:r w:rsidR="00047973" w:rsidRPr="00CE093E">
              <w:rPr>
                <w:rFonts w:ascii="Foundry Form Sans" w:hAnsi="Foundry Form Sans" w:cs="Arial"/>
                <w:sz w:val="22"/>
                <w:szCs w:val="22"/>
              </w:rPr>
              <w:t xml:space="preserve"> </w:t>
            </w:r>
          </w:p>
        </w:tc>
        <w:tc>
          <w:tcPr>
            <w:tcW w:w="4428" w:type="dxa"/>
            <w:shd w:val="clear" w:color="auto" w:fill="auto"/>
          </w:tcPr>
          <w:p w:rsidR="00047973" w:rsidRPr="00E1371A" w:rsidRDefault="00D40323" w:rsidP="00ED2417">
            <w:pPr>
              <w:spacing w:after="120" w:line="23" w:lineRule="atLeast"/>
              <w:ind w:left="284" w:firstLine="26"/>
              <w:jc w:val="both"/>
              <w:rPr>
                <w:rFonts w:ascii="Foundry Form Sans" w:hAnsi="Foundry Form Sans" w:cs="Arial"/>
              </w:rPr>
            </w:pPr>
            <w:r>
              <w:rPr>
                <w:rFonts w:ascii="Foundry Form Sans" w:hAnsi="Foundry Form Sans" w:cs="Arial"/>
                <w:sz w:val="22"/>
                <w:szCs w:val="22"/>
              </w:rPr>
              <w:t>August</w:t>
            </w:r>
            <w:r w:rsidR="007C2AB9">
              <w:rPr>
                <w:rFonts w:ascii="Foundry Form Sans" w:hAnsi="Foundry Form Sans" w:cs="Arial"/>
                <w:sz w:val="22"/>
                <w:szCs w:val="22"/>
              </w:rPr>
              <w:t xml:space="preserve"> </w:t>
            </w:r>
            <w:r w:rsidR="00221E80">
              <w:rPr>
                <w:rFonts w:ascii="Foundry Form Sans" w:hAnsi="Foundry Form Sans" w:cs="Arial"/>
                <w:sz w:val="22"/>
                <w:szCs w:val="22"/>
              </w:rPr>
              <w:t>201</w:t>
            </w:r>
            <w:r w:rsidR="007C2AB9">
              <w:rPr>
                <w:rFonts w:ascii="Foundry Form Sans" w:hAnsi="Foundry Form Sans" w:cs="Arial"/>
                <w:sz w:val="22"/>
                <w:szCs w:val="22"/>
              </w:rPr>
              <w:t>7</w:t>
            </w:r>
          </w:p>
        </w:tc>
      </w:tr>
    </w:tbl>
    <w:p w:rsidR="00403C2B" w:rsidRDefault="007B28C6" w:rsidP="009F133B">
      <w:pPr>
        <w:pStyle w:val="Heading1"/>
        <w:spacing w:line="23" w:lineRule="atLeast"/>
        <w:ind w:left="284" w:hanging="567"/>
        <w:jc w:val="both"/>
        <w:rPr>
          <w:sz w:val="22"/>
          <w:szCs w:val="22"/>
        </w:rPr>
      </w:pPr>
      <w:r>
        <w:rPr>
          <w:sz w:val="22"/>
          <w:szCs w:val="22"/>
        </w:rPr>
        <w:tab/>
      </w:r>
      <w:bookmarkStart w:id="6" w:name="_Toc441674203"/>
    </w:p>
    <w:p w:rsidR="00403C2B" w:rsidRDefault="00403C2B" w:rsidP="009F133B">
      <w:pPr>
        <w:pStyle w:val="Heading1"/>
        <w:spacing w:line="23" w:lineRule="atLeast"/>
        <w:ind w:left="284"/>
        <w:jc w:val="both"/>
        <w:rPr>
          <w:b w:val="0"/>
          <w:iCs/>
          <w:sz w:val="22"/>
          <w:szCs w:val="22"/>
        </w:rPr>
      </w:pPr>
      <w:bookmarkStart w:id="7" w:name="_Toc441674204"/>
      <w:bookmarkEnd w:id="6"/>
    </w:p>
    <w:p w:rsidR="007B28C6" w:rsidRPr="007B28C6" w:rsidRDefault="007B28C6" w:rsidP="009F133B">
      <w:pPr>
        <w:pStyle w:val="Heading1"/>
        <w:spacing w:line="23" w:lineRule="atLeast"/>
        <w:ind w:left="284"/>
        <w:jc w:val="both"/>
        <w:rPr>
          <w:b w:val="0"/>
          <w:iCs/>
          <w:sz w:val="22"/>
          <w:szCs w:val="22"/>
        </w:rPr>
      </w:pPr>
      <w:r w:rsidRPr="007B28C6">
        <w:rPr>
          <w:b w:val="0"/>
          <w:iCs/>
          <w:sz w:val="22"/>
          <w:szCs w:val="22"/>
        </w:rPr>
        <w:t>Site visits can be arrange</w:t>
      </w:r>
      <w:r w:rsidR="00A7799C">
        <w:rPr>
          <w:b w:val="0"/>
          <w:iCs/>
          <w:sz w:val="22"/>
          <w:szCs w:val="22"/>
        </w:rPr>
        <w:t xml:space="preserve">d on request.  </w:t>
      </w:r>
      <w:r w:rsidR="00343486">
        <w:rPr>
          <w:b w:val="0"/>
          <w:iCs/>
          <w:sz w:val="22"/>
          <w:szCs w:val="22"/>
        </w:rPr>
        <w:t xml:space="preserve">The contactable officer </w:t>
      </w:r>
      <w:r w:rsidR="00DF0AD1">
        <w:rPr>
          <w:b w:val="0"/>
          <w:iCs/>
          <w:sz w:val="22"/>
          <w:szCs w:val="22"/>
        </w:rPr>
        <w:t xml:space="preserve">at the GLA </w:t>
      </w:r>
      <w:r w:rsidR="00343486">
        <w:rPr>
          <w:b w:val="0"/>
          <w:iCs/>
          <w:sz w:val="22"/>
          <w:szCs w:val="22"/>
        </w:rPr>
        <w:t xml:space="preserve">for this commission is Bethan James who can be emailed at </w:t>
      </w:r>
      <w:hyperlink r:id="rId8" w:history="1">
        <w:r w:rsidR="00343486" w:rsidRPr="00343486">
          <w:rPr>
            <w:rStyle w:val="Hyperlink"/>
            <w:rFonts w:cs="Arial"/>
            <w:b w:val="0"/>
            <w:iCs/>
            <w:sz w:val="22"/>
            <w:szCs w:val="22"/>
          </w:rPr>
          <w:t>bethan.james@london.gov.uk</w:t>
        </w:r>
        <w:bookmarkEnd w:id="7"/>
      </w:hyperlink>
      <w:r w:rsidR="00343486">
        <w:rPr>
          <w:b w:val="0"/>
          <w:iCs/>
          <w:sz w:val="22"/>
          <w:szCs w:val="22"/>
        </w:rPr>
        <w:t xml:space="preserve"> </w:t>
      </w:r>
    </w:p>
    <w:p w:rsidR="00242FB4" w:rsidRPr="00B048B0" w:rsidRDefault="00623252" w:rsidP="009F133B">
      <w:pPr>
        <w:pStyle w:val="Heading1"/>
        <w:numPr>
          <w:ilvl w:val="0"/>
          <w:numId w:val="42"/>
        </w:numPr>
        <w:pBdr>
          <w:bottom w:val="single" w:sz="4" w:space="1" w:color="auto"/>
        </w:pBdr>
        <w:ind w:left="284"/>
        <w:jc w:val="both"/>
      </w:pPr>
      <w:r>
        <w:br w:type="page"/>
      </w:r>
      <w:bookmarkStart w:id="8" w:name="_Toc441674205"/>
      <w:r w:rsidR="00CD0FD9">
        <w:lastRenderedPageBreak/>
        <w:t>Development Opportunity</w:t>
      </w:r>
      <w:bookmarkEnd w:id="8"/>
    </w:p>
    <w:p w:rsidR="00816FE8" w:rsidRPr="00816FE8" w:rsidRDefault="00816FE8" w:rsidP="009F133B">
      <w:pPr>
        <w:pStyle w:val="BodyText"/>
        <w:spacing w:after="0" w:line="23" w:lineRule="atLeast"/>
        <w:ind w:left="284"/>
        <w:jc w:val="both"/>
        <w:rPr>
          <w:rFonts w:ascii="Foundry Form Sans" w:hAnsi="Foundry Form Sans" w:cs="Arial"/>
          <w:bCs/>
        </w:rPr>
      </w:pPr>
    </w:p>
    <w:p w:rsidR="0020691F" w:rsidRPr="00305CB6" w:rsidRDefault="0020691F" w:rsidP="009F133B">
      <w:pPr>
        <w:pStyle w:val="BodyText"/>
        <w:numPr>
          <w:ilvl w:val="1"/>
          <w:numId w:val="42"/>
        </w:numPr>
        <w:spacing w:after="120" w:line="23" w:lineRule="atLeast"/>
        <w:ind w:left="284"/>
        <w:jc w:val="both"/>
        <w:rPr>
          <w:rFonts w:ascii="Foundry Form Sans" w:hAnsi="Foundry Form Sans" w:cs="Arial"/>
          <w:b/>
        </w:rPr>
      </w:pPr>
      <w:r w:rsidRPr="00305CB6">
        <w:rPr>
          <w:rFonts w:ascii="Foundry Form Sans" w:hAnsi="Foundry Form Sans" w:cs="Arial"/>
          <w:b/>
        </w:rPr>
        <w:t xml:space="preserve">Background </w:t>
      </w:r>
    </w:p>
    <w:p w:rsidR="00C75302" w:rsidRPr="00D968DB" w:rsidRDefault="00F850A6"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GLA </w:t>
      </w:r>
      <w:r w:rsidR="005A40BB" w:rsidRPr="00D968DB">
        <w:rPr>
          <w:rFonts w:ascii="Foundry Form Sans" w:hAnsi="Foundry Form Sans" w:cs="Arial"/>
        </w:rPr>
        <w:t>is seeking to deliver a high-</w:t>
      </w:r>
      <w:r w:rsidR="00816FE8" w:rsidRPr="00D968DB">
        <w:rPr>
          <w:rFonts w:ascii="Foundry Form Sans" w:hAnsi="Foundry Form Sans" w:cs="Arial"/>
        </w:rPr>
        <w:t xml:space="preserve">quality residential-led development </w:t>
      </w:r>
      <w:r w:rsidR="003A1213" w:rsidRPr="00D968DB">
        <w:rPr>
          <w:rFonts w:ascii="Foundry Form Sans" w:hAnsi="Foundry Form Sans" w:cs="Arial"/>
        </w:rPr>
        <w:t xml:space="preserve">on the </w:t>
      </w:r>
      <w:r w:rsidR="00514E0E">
        <w:rPr>
          <w:rFonts w:ascii="Foundry Form Sans" w:hAnsi="Foundry Form Sans" w:cs="Arial"/>
        </w:rPr>
        <w:t xml:space="preserve"> S</w:t>
      </w:r>
      <w:r w:rsidR="003A1213" w:rsidRPr="00D968DB">
        <w:rPr>
          <w:rFonts w:ascii="Foundry Form Sans" w:hAnsi="Foundry Form Sans" w:cs="Arial"/>
        </w:rPr>
        <w:t xml:space="preserve">ite. The </w:t>
      </w:r>
      <w:r w:rsidR="00514E0E">
        <w:rPr>
          <w:rFonts w:ascii="Foundry Form Sans" w:hAnsi="Foundry Form Sans" w:cs="Arial"/>
        </w:rPr>
        <w:t>S</w:t>
      </w:r>
      <w:r w:rsidR="00514E0E" w:rsidRPr="00D968DB">
        <w:rPr>
          <w:rFonts w:ascii="Foundry Form Sans" w:hAnsi="Foundry Form Sans" w:cs="Arial"/>
        </w:rPr>
        <w:t xml:space="preserve">ite </w:t>
      </w:r>
      <w:r w:rsidR="003A1213" w:rsidRPr="00D968DB">
        <w:rPr>
          <w:rFonts w:ascii="Foundry Form Sans" w:hAnsi="Foundry Form Sans" w:cs="Arial"/>
        </w:rPr>
        <w:t xml:space="preserve">is located adjacent </w:t>
      </w:r>
      <w:r w:rsidR="00B57337" w:rsidRPr="00D968DB">
        <w:rPr>
          <w:rFonts w:ascii="Foundry Form Sans" w:hAnsi="Foundry Form Sans" w:cs="Arial"/>
        </w:rPr>
        <w:t>to the River Thames</w:t>
      </w:r>
      <w:r w:rsidR="003A1213" w:rsidRPr="00D968DB">
        <w:rPr>
          <w:rFonts w:ascii="Foundry Form Sans" w:hAnsi="Foundry Form Sans" w:cs="Arial"/>
        </w:rPr>
        <w:t xml:space="preserve"> in the Royal Albert Basin, </w:t>
      </w:r>
      <w:r w:rsidR="006308C0" w:rsidRPr="00D968DB">
        <w:rPr>
          <w:rFonts w:ascii="Foundry Form Sans" w:hAnsi="Foundry Form Sans" w:cs="Arial"/>
        </w:rPr>
        <w:t>London Borough o</w:t>
      </w:r>
      <w:r w:rsidR="00C75302" w:rsidRPr="00D968DB">
        <w:rPr>
          <w:rFonts w:ascii="Foundry Form Sans" w:hAnsi="Foundry Form Sans" w:cs="Arial"/>
        </w:rPr>
        <w:t>f Newham</w:t>
      </w:r>
      <w:r w:rsidR="003A1213" w:rsidRPr="00D968DB">
        <w:rPr>
          <w:rFonts w:ascii="Foundry Form Sans" w:hAnsi="Foundry Form Sans" w:cs="Arial"/>
        </w:rPr>
        <w:t>, and is served by Gallions Reach DLR station.</w:t>
      </w:r>
    </w:p>
    <w:p w:rsidR="00DB1F3A" w:rsidRDefault="00DB1F3A" w:rsidP="009F133B">
      <w:pPr>
        <w:pStyle w:val="BodyText"/>
        <w:numPr>
          <w:ilvl w:val="2"/>
          <w:numId w:val="42"/>
        </w:numPr>
        <w:spacing w:after="120" w:line="23" w:lineRule="atLeast"/>
        <w:ind w:left="284"/>
        <w:jc w:val="both"/>
        <w:rPr>
          <w:rFonts w:ascii="Foundry Form Sans" w:hAnsi="Foundry Form Sans" w:cs="Arial"/>
        </w:rPr>
      </w:pPr>
      <w:r w:rsidRPr="00213751">
        <w:rPr>
          <w:rFonts w:ascii="Foundry Form Sans" w:hAnsi="Foundry Form Sans" w:cs="Arial"/>
        </w:rPr>
        <w:t xml:space="preserve">The Royal Albert Basin </w:t>
      </w:r>
      <w:r w:rsidR="00227665" w:rsidRPr="00D968DB">
        <w:rPr>
          <w:rFonts w:ascii="Foundry Form Sans" w:hAnsi="Foundry Form Sans" w:cs="Arial"/>
        </w:rPr>
        <w:t>is a mixed-use business and residential area,</w:t>
      </w:r>
      <w:r w:rsidR="00227665" w:rsidRPr="00213751">
        <w:rPr>
          <w:rFonts w:ascii="Foundry Form Sans" w:hAnsi="Foundry Form Sans" w:cs="Arial"/>
        </w:rPr>
        <w:t xml:space="preserve"> </w:t>
      </w:r>
      <w:r w:rsidRPr="00213751">
        <w:rPr>
          <w:rFonts w:ascii="Foundry Form Sans" w:hAnsi="Foundry Form Sans" w:cs="Arial"/>
        </w:rPr>
        <w:t>form</w:t>
      </w:r>
      <w:r w:rsidR="00227665">
        <w:rPr>
          <w:rFonts w:ascii="Foundry Form Sans" w:hAnsi="Foundry Form Sans" w:cs="Arial"/>
        </w:rPr>
        <w:t>ing</w:t>
      </w:r>
      <w:r w:rsidRPr="00213751">
        <w:rPr>
          <w:rFonts w:ascii="Foundry Form Sans" w:hAnsi="Foundry Form Sans" w:cs="Arial"/>
        </w:rPr>
        <w:t xml:space="preserve"> the eastern end of the Royal Docks district</w:t>
      </w:r>
      <w:r w:rsidR="000F6377">
        <w:rPr>
          <w:rFonts w:ascii="Foundry Form Sans" w:hAnsi="Foundry Form Sans" w:cs="Arial"/>
        </w:rPr>
        <w:t xml:space="preserve">. </w:t>
      </w:r>
      <w:r w:rsidRPr="00213751">
        <w:rPr>
          <w:rFonts w:ascii="Foundry Form Sans" w:hAnsi="Foundry Form Sans" w:cs="Arial"/>
        </w:rPr>
        <w:t>Over the previous 30 years a number of key facilities and institutions have moved into the area including the hugely successful Excel Centre, London City Airport and University of East London</w:t>
      </w:r>
      <w:r w:rsidR="00DA1AAE">
        <w:rPr>
          <w:rFonts w:ascii="Foundry Form Sans" w:hAnsi="Foundry Form Sans" w:cs="Arial"/>
        </w:rPr>
        <w:t xml:space="preserve"> (UEL)</w:t>
      </w:r>
      <w:r w:rsidRPr="00213751">
        <w:rPr>
          <w:rFonts w:ascii="Foundry Form Sans" w:hAnsi="Foundry Form Sans" w:cs="Arial"/>
        </w:rPr>
        <w:t xml:space="preserve">. </w:t>
      </w:r>
    </w:p>
    <w:p w:rsidR="00522853" w:rsidRPr="00D968DB" w:rsidRDefault="00522853"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past 10-15 years has seen significant development along the northern side of the Albert Basin and the </w:t>
      </w:r>
      <w:r w:rsidR="00DA1AAE" w:rsidRPr="00D968DB">
        <w:rPr>
          <w:rFonts w:ascii="Foundry Form Sans" w:hAnsi="Foundry Form Sans" w:cs="Arial"/>
        </w:rPr>
        <w:t xml:space="preserve">Royal </w:t>
      </w:r>
      <w:r w:rsidRPr="00D968DB">
        <w:rPr>
          <w:rFonts w:ascii="Foundry Form Sans" w:hAnsi="Foundry Form Sans" w:cs="Arial"/>
        </w:rPr>
        <w:t>Albert Dock. Mixed-use, residential</w:t>
      </w:r>
      <w:r w:rsidR="00F4785F">
        <w:rPr>
          <w:rFonts w:ascii="Foundry Form Sans" w:hAnsi="Foundry Form Sans" w:cs="Arial"/>
        </w:rPr>
        <w:t>-</w:t>
      </w:r>
      <w:r w:rsidRPr="00D968DB">
        <w:rPr>
          <w:rFonts w:ascii="Foundry Form Sans" w:hAnsi="Foundry Form Sans" w:cs="Arial"/>
        </w:rPr>
        <w:t xml:space="preserve">led development has extended steadily east from UEL along the dockside commencing with </w:t>
      </w:r>
      <w:r w:rsidR="00DA1AAE" w:rsidRPr="00D968DB">
        <w:rPr>
          <w:rFonts w:ascii="Foundry Form Sans" w:hAnsi="Foundry Form Sans" w:cs="Arial"/>
        </w:rPr>
        <w:t xml:space="preserve">UEL’s </w:t>
      </w:r>
      <w:r w:rsidRPr="00D968DB">
        <w:rPr>
          <w:rFonts w:ascii="Foundry Form Sans" w:hAnsi="Foundry Form Sans" w:cs="Arial"/>
        </w:rPr>
        <w:t>student housing and extending to the development on the Gallions 1 site to the east of Woolwich Manor Way.</w:t>
      </w:r>
    </w:p>
    <w:p w:rsidR="00200FF8" w:rsidRPr="00D968DB" w:rsidRDefault="00522853" w:rsidP="009F133B">
      <w:pPr>
        <w:pStyle w:val="BodyText"/>
        <w:numPr>
          <w:ilvl w:val="2"/>
          <w:numId w:val="42"/>
        </w:numPr>
        <w:spacing w:after="120" w:line="23" w:lineRule="atLeast"/>
        <w:ind w:left="284"/>
        <w:jc w:val="both"/>
        <w:rPr>
          <w:rFonts w:ascii="Foundry Form Sans" w:hAnsi="Foundry Form Sans" w:cs="Arial"/>
        </w:rPr>
      </w:pPr>
      <w:r w:rsidRPr="00213751">
        <w:rPr>
          <w:rFonts w:ascii="Foundry Form Sans" w:hAnsi="Foundry Form Sans" w:cs="Arial"/>
        </w:rPr>
        <w:t>Guided by a number of strategic documents focusing on the Royal Docks, further regeneration is expected to gather pace over the coming year</w:t>
      </w:r>
      <w:r w:rsidR="00AA6358">
        <w:rPr>
          <w:rFonts w:ascii="Foundry Form Sans" w:hAnsi="Foundry Form Sans" w:cs="Arial"/>
        </w:rPr>
        <w:t>s, particularly in the Royal Albert Basin, where a number of residential</w:t>
      </w:r>
      <w:r w:rsidR="00F4785F">
        <w:rPr>
          <w:rFonts w:ascii="Foundry Form Sans" w:hAnsi="Foundry Form Sans" w:cs="Arial"/>
        </w:rPr>
        <w:t>-</w:t>
      </w:r>
      <w:r w:rsidR="00AA6358">
        <w:rPr>
          <w:rFonts w:ascii="Foundry Form Sans" w:hAnsi="Foundry Form Sans" w:cs="Arial"/>
        </w:rPr>
        <w:t>led developments are currently under construction.</w:t>
      </w:r>
    </w:p>
    <w:p w:rsidR="00200FF8" w:rsidRPr="003B4569" w:rsidRDefault="00200FF8" w:rsidP="009F133B">
      <w:pPr>
        <w:pStyle w:val="BodyText"/>
        <w:spacing w:after="120" w:line="23" w:lineRule="atLeast"/>
        <w:ind w:left="284"/>
        <w:jc w:val="both"/>
        <w:rPr>
          <w:rFonts w:ascii="Foundry Form Sans" w:hAnsi="Foundry Form Sans" w:cs="Arial"/>
          <w:bCs/>
        </w:rPr>
      </w:pPr>
    </w:p>
    <w:p w:rsidR="00146B8E" w:rsidRPr="0017652F" w:rsidRDefault="00146B8E" w:rsidP="009F133B">
      <w:pPr>
        <w:pStyle w:val="BodyText"/>
        <w:numPr>
          <w:ilvl w:val="1"/>
          <w:numId w:val="42"/>
        </w:numPr>
        <w:spacing w:after="120" w:line="23" w:lineRule="atLeast"/>
        <w:ind w:left="284"/>
        <w:jc w:val="both"/>
        <w:rPr>
          <w:rFonts w:ascii="Foundry Form Sans" w:hAnsi="Foundry Form Sans" w:cs="Arial"/>
          <w:b/>
        </w:rPr>
      </w:pPr>
      <w:r w:rsidRPr="00305CB6">
        <w:rPr>
          <w:rFonts w:ascii="Foundry Form Sans" w:hAnsi="Foundry Form Sans" w:cs="Arial"/>
          <w:b/>
        </w:rPr>
        <w:t>Site Information</w:t>
      </w:r>
    </w:p>
    <w:p w:rsidR="004E4678" w:rsidRPr="00D968DB" w:rsidRDefault="004E4678"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Royal Albert Basin area is largely defined by the extensive bodies of water surrounding it, both the curve of the Thames and the Royal Albert Dock. Historically the </w:t>
      </w:r>
      <w:r w:rsidR="00514E0E">
        <w:rPr>
          <w:rFonts w:ascii="Foundry Form Sans" w:hAnsi="Foundry Form Sans" w:cs="Arial"/>
        </w:rPr>
        <w:t>Site</w:t>
      </w:r>
      <w:r w:rsidRPr="00D968DB">
        <w:rPr>
          <w:rFonts w:ascii="Foundry Form Sans" w:hAnsi="Foundry Form Sans" w:cs="Arial"/>
        </w:rPr>
        <w:t xml:space="preserve"> has provided poor links to these major assets; however this is being addressed by current residential schemes</w:t>
      </w:r>
      <w:r w:rsidR="00E73BCA" w:rsidRPr="00D968DB">
        <w:rPr>
          <w:rFonts w:ascii="Foundry Form Sans" w:hAnsi="Foundry Form Sans" w:cs="Arial"/>
        </w:rPr>
        <w:t>, new pedestrian routes</w:t>
      </w:r>
      <w:r w:rsidRPr="00D968DB">
        <w:rPr>
          <w:rFonts w:ascii="Foundry Form Sans" w:hAnsi="Foundry Form Sans" w:cs="Arial"/>
        </w:rPr>
        <w:t xml:space="preserve"> and the potential Gallions </w:t>
      </w:r>
      <w:r w:rsidR="003820BE" w:rsidRPr="00D968DB">
        <w:rPr>
          <w:rFonts w:ascii="Foundry Form Sans" w:hAnsi="Foundry Form Sans" w:cs="Arial"/>
        </w:rPr>
        <w:t>Thames River Crossing</w:t>
      </w:r>
      <w:r w:rsidRPr="00D968DB">
        <w:rPr>
          <w:rFonts w:ascii="Foundry Form Sans" w:hAnsi="Foundry Form Sans" w:cs="Arial"/>
        </w:rPr>
        <w:t xml:space="preserve"> </w:t>
      </w:r>
      <w:r w:rsidR="00FA5877" w:rsidRPr="00D968DB">
        <w:rPr>
          <w:rFonts w:ascii="Foundry Form Sans" w:hAnsi="Foundry Form Sans" w:cs="Arial"/>
        </w:rPr>
        <w:t>to the north</w:t>
      </w:r>
      <w:r w:rsidRPr="00D968DB">
        <w:rPr>
          <w:rFonts w:ascii="Foundry Form Sans" w:hAnsi="Foundry Form Sans" w:cs="Arial"/>
        </w:rPr>
        <w:t xml:space="preserve">, for which </w:t>
      </w:r>
      <w:r w:rsidR="00FA5877" w:rsidRPr="00D968DB">
        <w:rPr>
          <w:rFonts w:ascii="Foundry Form Sans" w:hAnsi="Foundry Form Sans" w:cs="Arial"/>
        </w:rPr>
        <w:t>early consultation has been undertaken by T</w:t>
      </w:r>
      <w:r w:rsidR="00CB2E6E" w:rsidRPr="00D968DB">
        <w:rPr>
          <w:rFonts w:ascii="Foundry Form Sans" w:hAnsi="Foundry Form Sans" w:cs="Arial"/>
        </w:rPr>
        <w:t>f</w:t>
      </w:r>
      <w:r w:rsidR="00FA5877" w:rsidRPr="00D968DB">
        <w:rPr>
          <w:rFonts w:ascii="Foundry Form Sans" w:hAnsi="Foundry Form Sans" w:cs="Arial"/>
        </w:rPr>
        <w:t>L, though detailed designs have yet to emerge.</w:t>
      </w:r>
    </w:p>
    <w:p w:rsidR="00200FF8" w:rsidRPr="00D968DB" w:rsidRDefault="004E4678"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The </w:t>
      </w:r>
      <w:r w:rsidR="00514E0E">
        <w:rPr>
          <w:rFonts w:ascii="Foundry Form Sans" w:hAnsi="Foundry Form Sans" w:cs="Arial"/>
        </w:rPr>
        <w:t>S</w:t>
      </w:r>
      <w:r w:rsidRPr="00D968DB">
        <w:rPr>
          <w:rFonts w:ascii="Foundry Form Sans" w:hAnsi="Foundry Form Sans" w:cs="Arial"/>
        </w:rPr>
        <w:t xml:space="preserve">ite </w:t>
      </w:r>
      <w:r w:rsidR="003A1213" w:rsidRPr="00D968DB">
        <w:rPr>
          <w:rFonts w:ascii="Foundry Form Sans" w:hAnsi="Foundry Form Sans" w:cs="Arial"/>
        </w:rPr>
        <w:t>is</w:t>
      </w:r>
      <w:r w:rsidRPr="00D968DB">
        <w:rPr>
          <w:rFonts w:ascii="Foundry Form Sans" w:hAnsi="Foundry Form Sans" w:cs="Arial"/>
        </w:rPr>
        <w:t xml:space="preserve"> served by the </w:t>
      </w:r>
      <w:r w:rsidR="00EC1C4F" w:rsidRPr="00D968DB">
        <w:rPr>
          <w:rFonts w:ascii="Foundry Form Sans" w:hAnsi="Foundry Form Sans" w:cs="Arial"/>
        </w:rPr>
        <w:t xml:space="preserve">nearby </w:t>
      </w:r>
      <w:r w:rsidRPr="00D968DB">
        <w:rPr>
          <w:rFonts w:ascii="Foundry Form Sans" w:hAnsi="Foundry Form Sans" w:cs="Arial"/>
        </w:rPr>
        <w:t xml:space="preserve">Gallions Reach DLR station, being </w:t>
      </w:r>
      <w:r w:rsidR="00200FF8" w:rsidRPr="00D968DB">
        <w:rPr>
          <w:rFonts w:ascii="Foundry Form Sans" w:hAnsi="Foundry Form Sans" w:cs="Arial"/>
        </w:rPr>
        <w:t xml:space="preserve">well connected </w:t>
      </w:r>
      <w:r w:rsidRPr="00D968DB">
        <w:rPr>
          <w:rFonts w:ascii="Foundry Form Sans" w:hAnsi="Foundry Form Sans" w:cs="Arial"/>
        </w:rPr>
        <w:t xml:space="preserve">by the DLR </w:t>
      </w:r>
      <w:r w:rsidR="00200FF8" w:rsidRPr="00D968DB">
        <w:rPr>
          <w:rFonts w:ascii="Foundry Form Sans" w:hAnsi="Foundry Form Sans" w:cs="Arial"/>
        </w:rPr>
        <w:t>to The City and Canary Wharf, and to Stratford and Canning Town</w:t>
      </w:r>
      <w:r w:rsidRPr="00D968DB">
        <w:rPr>
          <w:rFonts w:ascii="Foundry Form Sans" w:hAnsi="Foundry Form Sans" w:cs="Arial"/>
        </w:rPr>
        <w:t xml:space="preserve"> for connecting underground services. </w:t>
      </w:r>
      <w:r w:rsidR="00200FF8" w:rsidRPr="00D968DB">
        <w:rPr>
          <w:rFonts w:ascii="Foundry Form Sans" w:hAnsi="Foundry Form Sans" w:cs="Arial"/>
        </w:rPr>
        <w:t xml:space="preserve">Additional information on transport infrastructure including the adjacent highway network is contained within the ‘Albert Basin Transport Feasibility Study’ contained within </w:t>
      </w:r>
      <w:r w:rsidR="00BD6CB7" w:rsidRPr="00D968DB">
        <w:rPr>
          <w:rFonts w:ascii="Foundry Form Sans" w:hAnsi="Foundry Form Sans" w:cs="Arial"/>
        </w:rPr>
        <w:t xml:space="preserve">Annex </w:t>
      </w:r>
      <w:r w:rsidR="00114894">
        <w:rPr>
          <w:rFonts w:ascii="Foundry Form Sans" w:hAnsi="Foundry Form Sans" w:cs="Arial"/>
        </w:rPr>
        <w:t>B</w:t>
      </w:r>
      <w:r w:rsidR="002126D9" w:rsidRPr="00D968DB">
        <w:rPr>
          <w:rFonts w:ascii="Foundry Form Sans" w:hAnsi="Foundry Form Sans" w:cs="Arial"/>
        </w:rPr>
        <w:t>4</w:t>
      </w:r>
      <w:r w:rsidRPr="00D968DB">
        <w:rPr>
          <w:rFonts w:ascii="Foundry Form Sans" w:hAnsi="Foundry Form Sans" w:cs="Arial"/>
        </w:rPr>
        <w:t>.</w:t>
      </w:r>
    </w:p>
    <w:p w:rsidR="007644C6" w:rsidRPr="00D968DB" w:rsidRDefault="007644C6"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The area has a legacy of light industrial buildings, though a number of these have been replaced by residential</w:t>
      </w:r>
      <w:r w:rsidR="003820BE">
        <w:rPr>
          <w:rFonts w:ascii="Foundry Form Sans" w:hAnsi="Foundry Form Sans" w:cs="Arial"/>
        </w:rPr>
        <w:t>-</w:t>
      </w:r>
      <w:r w:rsidRPr="00D968DB">
        <w:rPr>
          <w:rFonts w:ascii="Foundry Form Sans" w:hAnsi="Foundry Form Sans" w:cs="Arial"/>
        </w:rPr>
        <w:t>led, mixed use schemes in the last few years. Most notable is the redevelopment of the former IVAX site, which included headquarters for the IVA</w:t>
      </w:r>
      <w:r w:rsidR="008C365E" w:rsidRPr="00D968DB">
        <w:rPr>
          <w:rFonts w:ascii="Foundry Form Sans" w:hAnsi="Foundry Form Sans" w:cs="Arial"/>
        </w:rPr>
        <w:t>X</w:t>
      </w:r>
      <w:r w:rsidRPr="00D968DB">
        <w:rPr>
          <w:rFonts w:ascii="Foundry Form Sans" w:hAnsi="Foundry Form Sans" w:cs="Arial"/>
        </w:rPr>
        <w:t xml:space="preserve"> pharmaceuticals firm and associated warehouse and ancillary structures</w:t>
      </w:r>
      <w:r w:rsidR="003A1213" w:rsidRPr="00D968DB">
        <w:rPr>
          <w:rFonts w:ascii="Foundry Form Sans" w:hAnsi="Foundry Form Sans" w:cs="Arial"/>
        </w:rPr>
        <w:t xml:space="preserve">. This has been replaced </w:t>
      </w:r>
      <w:r w:rsidRPr="00D968DB">
        <w:rPr>
          <w:rFonts w:ascii="Foundry Form Sans" w:hAnsi="Foundry Form Sans" w:cs="Arial"/>
        </w:rPr>
        <w:t xml:space="preserve">with the new Great Eastern Quays development, </w:t>
      </w:r>
      <w:r w:rsidR="003A1213" w:rsidRPr="00D968DB">
        <w:rPr>
          <w:rFonts w:ascii="Foundry Form Sans" w:hAnsi="Foundry Form Sans" w:cs="Arial"/>
        </w:rPr>
        <w:t xml:space="preserve">recently re-branded as ‘Royal Albert Wharf’ and </w:t>
      </w:r>
      <w:r w:rsidRPr="00D968DB">
        <w:rPr>
          <w:rFonts w:ascii="Foundry Form Sans" w:hAnsi="Foundry Form Sans" w:cs="Arial"/>
        </w:rPr>
        <w:t>currently under construction</w:t>
      </w:r>
      <w:r w:rsidR="003A1213" w:rsidRPr="00D968DB">
        <w:rPr>
          <w:rFonts w:ascii="Foundry Form Sans" w:hAnsi="Foundry Form Sans" w:cs="Arial"/>
        </w:rPr>
        <w:t xml:space="preserve"> by Notting Hill Housing</w:t>
      </w:r>
      <w:r w:rsidRPr="00D968DB">
        <w:rPr>
          <w:rFonts w:ascii="Foundry Form Sans" w:hAnsi="Foundry Form Sans" w:cs="Arial"/>
        </w:rPr>
        <w:t xml:space="preserve">. </w:t>
      </w:r>
    </w:p>
    <w:p w:rsidR="00146B8E" w:rsidRPr="00D968DB" w:rsidRDefault="00146B8E"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A number of light industrial facilities remain in the area including the shed type ‘Buhler/Sortex’ building, a high-tech manufacturing facility which was granted planning permission in August 2005, as part of the Olympic relocation programme, and the brightly coloured BDM warehouse/‘Kesslers’ industrial shed housing a semi-automated Logistics and distribution facility.</w:t>
      </w:r>
      <w:r w:rsidR="004E4678" w:rsidRPr="00D968DB">
        <w:rPr>
          <w:rFonts w:ascii="Foundry Form Sans" w:hAnsi="Foundry Form Sans" w:cs="Arial"/>
        </w:rPr>
        <w:t xml:space="preserve"> Both the Sortex and Kesslers businesses have been designed to integrate with proposed new social infrastructure in the surrounding development sites.</w:t>
      </w:r>
      <w:r w:rsidR="00EF19AD" w:rsidRPr="009F133B">
        <w:rPr>
          <w:rFonts w:cs="Arial"/>
          <w:sz w:val="12"/>
          <w:szCs w:val="12"/>
        </w:rPr>
        <w:footnoteReference w:id="1"/>
      </w:r>
    </w:p>
    <w:p w:rsidR="00ED18DB" w:rsidRPr="009F133B" w:rsidRDefault="004E4678" w:rsidP="009F133B">
      <w:pPr>
        <w:pStyle w:val="BodyText"/>
        <w:numPr>
          <w:ilvl w:val="2"/>
          <w:numId w:val="42"/>
        </w:numPr>
        <w:spacing w:after="120" w:line="23" w:lineRule="atLeast"/>
        <w:ind w:left="284"/>
        <w:jc w:val="both"/>
        <w:rPr>
          <w:rFonts w:ascii="Foundry Form Sans" w:hAnsi="Foundry Form Sans" w:cs="Arial"/>
        </w:rPr>
      </w:pPr>
      <w:r w:rsidRPr="009F133B">
        <w:rPr>
          <w:rFonts w:ascii="Foundry Form Sans" w:hAnsi="Foundry Form Sans" w:cs="Arial"/>
        </w:rPr>
        <w:lastRenderedPageBreak/>
        <w:t>It is anticipated that these</w:t>
      </w:r>
      <w:r w:rsidR="00E503CD" w:rsidRPr="009F133B">
        <w:rPr>
          <w:rFonts w:ascii="Foundry Form Sans" w:hAnsi="Foundry Form Sans" w:cs="Arial"/>
        </w:rPr>
        <w:t xml:space="preserve"> social infrastructure facilities </w:t>
      </w:r>
      <w:r w:rsidR="006A1836" w:rsidRPr="009F133B">
        <w:rPr>
          <w:rFonts w:ascii="Foundry Form Sans" w:hAnsi="Foundry Form Sans" w:cs="Arial"/>
        </w:rPr>
        <w:t xml:space="preserve">and </w:t>
      </w:r>
      <w:r w:rsidR="00E503CD" w:rsidRPr="009F133B">
        <w:rPr>
          <w:rFonts w:ascii="Foundry Form Sans" w:hAnsi="Foundry Form Sans" w:cs="Arial"/>
        </w:rPr>
        <w:t xml:space="preserve">commercial premises </w:t>
      </w:r>
      <w:r w:rsidR="006A1836" w:rsidRPr="009F133B">
        <w:rPr>
          <w:rFonts w:ascii="Foundry Form Sans" w:hAnsi="Foundry Form Sans" w:cs="Arial"/>
        </w:rPr>
        <w:t xml:space="preserve">will increase </w:t>
      </w:r>
      <w:r w:rsidR="00E503CD" w:rsidRPr="009F133B">
        <w:rPr>
          <w:rFonts w:ascii="Foundry Form Sans" w:hAnsi="Foundry Form Sans" w:cs="Arial"/>
        </w:rPr>
        <w:t>as the large Great Eastern Quays and Gallions Quarter developments are constructed, creating a new local centre around the Gallions Reach DLR station</w:t>
      </w:r>
      <w:r w:rsidR="00FE417C" w:rsidRPr="009F133B">
        <w:rPr>
          <w:rFonts w:ascii="Foundry Form Sans" w:hAnsi="Foundry Form Sans" w:cs="Arial"/>
        </w:rPr>
        <w:t xml:space="preserve"> with a</w:t>
      </w:r>
      <w:r w:rsidR="00FE417C" w:rsidRPr="00A47240">
        <w:rPr>
          <w:rFonts w:ascii="Foundry Form Sans" w:hAnsi="Foundry Form Sans" w:cs="Arial"/>
        </w:rPr>
        <w:t xml:space="preserve"> concentration of retail and commercial use</w:t>
      </w:r>
      <w:r w:rsidR="00FE417C" w:rsidRPr="009F133B">
        <w:rPr>
          <w:rFonts w:ascii="Foundry Form Sans" w:hAnsi="Foundry Form Sans" w:cs="Arial"/>
        </w:rPr>
        <w:t>.</w:t>
      </w:r>
    </w:p>
    <w:p w:rsidR="00ED18DB" w:rsidRPr="009F133B" w:rsidRDefault="00ED18DB" w:rsidP="009F133B">
      <w:pPr>
        <w:pStyle w:val="BodyText"/>
        <w:numPr>
          <w:ilvl w:val="2"/>
          <w:numId w:val="42"/>
        </w:numPr>
        <w:spacing w:after="120" w:line="23" w:lineRule="atLeast"/>
        <w:ind w:left="284"/>
        <w:jc w:val="both"/>
        <w:rPr>
          <w:rFonts w:ascii="Foundry Form Sans" w:hAnsi="Foundry Form Sans" w:cs="Arial"/>
        </w:rPr>
      </w:pPr>
      <w:r w:rsidRPr="009F133B">
        <w:rPr>
          <w:rFonts w:ascii="Foundry Form Sans" w:hAnsi="Foundry Form Sans" w:cs="Arial"/>
        </w:rPr>
        <w:t>In addition to this, the planning application for the Gallions Quarter development includes the downgrading of Atlantis Avenue</w:t>
      </w:r>
      <w:r w:rsidR="00FE417C" w:rsidRPr="009F133B">
        <w:rPr>
          <w:rFonts w:ascii="Foundry Form Sans" w:hAnsi="Foundry Form Sans" w:cs="Arial"/>
        </w:rPr>
        <w:t xml:space="preserve"> and Gallions Road</w:t>
      </w:r>
      <w:r w:rsidRPr="009F133B">
        <w:rPr>
          <w:rFonts w:ascii="Foundry Form Sans" w:hAnsi="Foundry Form Sans" w:cs="Arial"/>
        </w:rPr>
        <w:t xml:space="preserve">, creating a safer environment for new residents and visitors to the area. See Annex </w:t>
      </w:r>
      <w:r w:rsidR="00114894">
        <w:rPr>
          <w:rFonts w:ascii="Foundry Form Sans" w:hAnsi="Foundry Form Sans" w:cs="Arial"/>
        </w:rPr>
        <w:t>B</w:t>
      </w:r>
      <w:r w:rsidR="00F73365">
        <w:rPr>
          <w:rFonts w:ascii="Foundry Form Sans" w:hAnsi="Foundry Form Sans" w:cs="Arial"/>
        </w:rPr>
        <w:t>5 &amp; B</w:t>
      </w:r>
      <w:r w:rsidR="002126D9" w:rsidRPr="009F133B">
        <w:rPr>
          <w:rFonts w:ascii="Foundry Form Sans" w:hAnsi="Foundry Form Sans" w:cs="Arial"/>
        </w:rPr>
        <w:t>6</w:t>
      </w:r>
      <w:r w:rsidRPr="009F133B">
        <w:rPr>
          <w:rFonts w:ascii="Foundry Form Sans" w:hAnsi="Foundry Form Sans" w:cs="Arial"/>
        </w:rPr>
        <w:t xml:space="preserve"> for details of the approved Gallions Quarter scheme and associated</w:t>
      </w:r>
      <w:r w:rsidR="00297CE7" w:rsidRPr="009F133B">
        <w:rPr>
          <w:rFonts w:ascii="Foundry Form Sans" w:hAnsi="Foundry Form Sans" w:cs="Arial"/>
        </w:rPr>
        <w:t xml:space="preserve"> road</w:t>
      </w:r>
      <w:r w:rsidRPr="009F133B">
        <w:rPr>
          <w:rFonts w:ascii="Foundry Form Sans" w:hAnsi="Foundry Form Sans" w:cs="Arial"/>
        </w:rPr>
        <w:t xml:space="preserve"> downgrading.</w:t>
      </w:r>
    </w:p>
    <w:p w:rsidR="004E4678" w:rsidRDefault="004E4678" w:rsidP="009F133B">
      <w:pPr>
        <w:pStyle w:val="BodyText"/>
        <w:spacing w:line="23" w:lineRule="atLeast"/>
        <w:ind w:left="284"/>
        <w:jc w:val="both"/>
        <w:rPr>
          <w:rFonts w:ascii="Foundry Form Sans" w:hAnsi="Foundry Form Sans"/>
        </w:rPr>
      </w:pPr>
    </w:p>
    <w:p w:rsidR="00146B8E" w:rsidRPr="003B4569" w:rsidRDefault="00FE417C" w:rsidP="009F133B">
      <w:pPr>
        <w:pStyle w:val="BodyText"/>
        <w:numPr>
          <w:ilvl w:val="1"/>
          <w:numId w:val="42"/>
        </w:numPr>
        <w:spacing w:after="120" w:line="23" w:lineRule="atLeast"/>
        <w:ind w:left="284"/>
        <w:jc w:val="both"/>
        <w:rPr>
          <w:rFonts w:ascii="Foundry Form Sans" w:hAnsi="Foundry Form Sans"/>
        </w:rPr>
      </w:pPr>
      <w:r w:rsidRPr="00D968DB">
        <w:rPr>
          <w:rFonts w:ascii="Foundry Form Sans" w:hAnsi="Foundry Form Sans" w:cs="Arial"/>
          <w:b/>
        </w:rPr>
        <w:t>Gallions</w:t>
      </w:r>
      <w:r w:rsidRPr="002A6358">
        <w:rPr>
          <w:rFonts w:ascii="Foundry Form Sans" w:hAnsi="Foundry Form Sans"/>
          <w:b/>
        </w:rPr>
        <w:t xml:space="preserve"> 3</w:t>
      </w:r>
      <w:r w:rsidR="00F27BF8" w:rsidRPr="002A6358">
        <w:rPr>
          <w:rFonts w:ascii="Foundry Form Sans" w:hAnsi="Foundry Form Sans"/>
          <w:b/>
        </w:rPr>
        <w:t>B</w:t>
      </w:r>
      <w:r w:rsidR="00A47240">
        <w:rPr>
          <w:rFonts w:ascii="Foundry Form Sans" w:hAnsi="Foundry Form Sans"/>
          <w:b/>
          <w:i/>
          <w:u w:val="single"/>
        </w:rPr>
        <w:t xml:space="preserve"> </w:t>
      </w:r>
      <w:r w:rsidR="00D67BE2">
        <w:rPr>
          <w:rFonts w:ascii="Foundry Form Sans" w:hAnsi="Foundry Form Sans"/>
        </w:rPr>
        <w:t>form</w:t>
      </w:r>
      <w:r w:rsidR="00042EDB">
        <w:rPr>
          <w:rFonts w:ascii="Foundry Form Sans" w:hAnsi="Foundry Form Sans"/>
        </w:rPr>
        <w:t>s</w:t>
      </w:r>
      <w:r w:rsidR="00D67BE2">
        <w:rPr>
          <w:rFonts w:ascii="Foundry Form Sans" w:hAnsi="Foundry Form Sans"/>
        </w:rPr>
        <w:t xml:space="preserve"> the basis of this procurement</w:t>
      </w:r>
      <w:r>
        <w:rPr>
          <w:rFonts w:ascii="Foundry Form Sans" w:hAnsi="Foundry Form Sans"/>
        </w:rPr>
        <w:t>:</w:t>
      </w:r>
      <w:r w:rsidR="00146B8E" w:rsidRPr="003B4569">
        <w:rPr>
          <w:rFonts w:ascii="Foundry Form Sans" w:hAnsi="Foundry Form Sans"/>
        </w:rPr>
        <w:t xml:space="preserve"> </w:t>
      </w:r>
    </w:p>
    <w:p w:rsidR="00FE417C" w:rsidRPr="00D968DB" w:rsidRDefault="00514E0E"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The Site</w:t>
      </w:r>
      <w:r w:rsidR="00310B07" w:rsidRPr="00D968DB">
        <w:rPr>
          <w:rFonts w:ascii="Foundry Form Sans" w:hAnsi="Foundry Form Sans" w:cs="Arial"/>
        </w:rPr>
        <w:t xml:space="preserve"> (</w:t>
      </w:r>
      <w:r w:rsidR="00FD4FC0" w:rsidRPr="00D968DB">
        <w:rPr>
          <w:rFonts w:ascii="Foundry Form Sans" w:hAnsi="Foundry Form Sans" w:cs="Arial"/>
        </w:rPr>
        <w:t>which includes the neighbouring land known as Armada Green</w:t>
      </w:r>
      <w:r w:rsidR="000610BF" w:rsidRPr="00D968DB">
        <w:rPr>
          <w:rFonts w:ascii="Foundry Form Sans" w:hAnsi="Foundry Form Sans" w:cs="Arial"/>
        </w:rPr>
        <w:t>, some of which is safeguarded by TfL for the Gallions Thames River Crossing</w:t>
      </w:r>
      <w:r w:rsidR="00310B07" w:rsidRPr="00D968DB">
        <w:rPr>
          <w:rFonts w:ascii="Foundry Form Sans" w:hAnsi="Foundry Form Sans" w:cs="Arial"/>
        </w:rPr>
        <w:t>)</w:t>
      </w:r>
      <w:r w:rsidR="00146B8E" w:rsidRPr="00D968DB">
        <w:rPr>
          <w:rFonts w:ascii="Foundry Form Sans" w:hAnsi="Foundry Form Sans" w:cs="Arial"/>
        </w:rPr>
        <w:t xml:space="preserve"> is a remediated site of approximately 1</w:t>
      </w:r>
      <w:r w:rsidR="00522853" w:rsidRPr="00D968DB">
        <w:rPr>
          <w:rFonts w:ascii="Foundry Form Sans" w:hAnsi="Foundry Form Sans" w:cs="Arial"/>
        </w:rPr>
        <w:t>H</w:t>
      </w:r>
      <w:r w:rsidR="00146B8E" w:rsidRPr="00D968DB">
        <w:rPr>
          <w:rFonts w:ascii="Foundry Form Sans" w:hAnsi="Foundry Form Sans" w:cs="Arial"/>
        </w:rPr>
        <w:t>a which</w:t>
      </w:r>
      <w:r w:rsidR="00146B8E" w:rsidRPr="003B4569">
        <w:rPr>
          <w:rFonts w:ascii="Foundry Form Sans" w:hAnsi="Foundry Form Sans" w:cs="Arial"/>
        </w:rPr>
        <w:t xml:space="preserve"> benefits from river frontage.  </w:t>
      </w:r>
      <w:r w:rsidR="00146B8E" w:rsidRPr="00146B8E">
        <w:rPr>
          <w:rFonts w:ascii="Foundry Form Sans" w:hAnsi="Foundry Form Sans" w:cs="Arial"/>
        </w:rPr>
        <w:t xml:space="preserve">The land is adjacent to the </w:t>
      </w:r>
      <w:r w:rsidR="00FD4FC0">
        <w:rPr>
          <w:rFonts w:ascii="Foundry Form Sans" w:hAnsi="Foundry Form Sans" w:cs="Arial"/>
        </w:rPr>
        <w:t>R</w:t>
      </w:r>
      <w:r w:rsidR="00146B8E" w:rsidRPr="00146B8E">
        <w:rPr>
          <w:rFonts w:ascii="Foundry Form Sans" w:hAnsi="Foundry Form Sans" w:cs="Arial"/>
        </w:rPr>
        <w:t xml:space="preserve">iver Thames and has a pedestrian footpath running between the river and the </w:t>
      </w:r>
      <w:r>
        <w:rPr>
          <w:rFonts w:ascii="Foundry Form Sans" w:hAnsi="Foundry Form Sans" w:cs="Arial"/>
        </w:rPr>
        <w:t>Site</w:t>
      </w:r>
      <w:r w:rsidR="00146B8E" w:rsidRPr="00146B8E">
        <w:rPr>
          <w:rFonts w:ascii="Foundry Form Sans" w:hAnsi="Foundry Form Sans" w:cs="Arial"/>
        </w:rPr>
        <w:t xml:space="preserve">. Access to the </w:t>
      </w:r>
      <w:r>
        <w:rPr>
          <w:rFonts w:ascii="Foundry Form Sans" w:hAnsi="Foundry Form Sans" w:cs="Arial"/>
        </w:rPr>
        <w:t>Site</w:t>
      </w:r>
      <w:r w:rsidR="00146B8E" w:rsidRPr="00146B8E">
        <w:rPr>
          <w:rFonts w:ascii="Foundry Form Sans" w:hAnsi="Foundry Form Sans" w:cs="Arial"/>
        </w:rPr>
        <w:t xml:space="preserve"> is via Atlantis Avenue, formerly </w:t>
      </w:r>
      <w:r w:rsidR="00146B8E" w:rsidRPr="00027DF3">
        <w:rPr>
          <w:rFonts w:ascii="Foundry Form Sans" w:hAnsi="Foundry Form Sans" w:cs="Arial"/>
        </w:rPr>
        <w:t>Gallions Way</w:t>
      </w:r>
      <w:r w:rsidR="00146B8E" w:rsidRPr="00146B8E">
        <w:rPr>
          <w:rFonts w:ascii="Foundry Form Sans" w:hAnsi="Foundry Form Sans" w:cs="Arial"/>
        </w:rPr>
        <w:t>, which was re</w:t>
      </w:r>
      <w:r w:rsidR="00227665">
        <w:rPr>
          <w:rFonts w:ascii="Foundry Form Sans" w:hAnsi="Foundry Form Sans" w:cs="Arial"/>
        </w:rPr>
        <w:t>-</w:t>
      </w:r>
      <w:r w:rsidR="00146B8E" w:rsidRPr="00146B8E">
        <w:rPr>
          <w:rFonts w:ascii="Foundry Form Sans" w:hAnsi="Foundry Form Sans" w:cs="Arial"/>
        </w:rPr>
        <w:t>landscaped with LDA funding in</w:t>
      </w:r>
      <w:r w:rsidR="00146B8E">
        <w:rPr>
          <w:rFonts w:ascii="Foundry Form Sans" w:hAnsi="Foundry Form Sans" w:cs="Arial"/>
        </w:rPr>
        <w:t xml:space="preserve"> </w:t>
      </w:r>
      <w:r w:rsidR="00146B8E" w:rsidRPr="00027DF3">
        <w:rPr>
          <w:rFonts w:ascii="Foundry Form Sans" w:hAnsi="Foundry Form Sans" w:cs="Arial"/>
        </w:rPr>
        <w:t>2012.</w:t>
      </w:r>
      <w:r w:rsidR="00146B8E" w:rsidRPr="003B4569">
        <w:rPr>
          <w:rFonts w:ascii="Foundry Form Sans" w:hAnsi="Foundry Form Sans" w:cs="Arial"/>
        </w:rPr>
        <w:t xml:space="preserve">  </w:t>
      </w:r>
    </w:p>
    <w:p w:rsidR="00146B8E" w:rsidRPr="00D968DB" w:rsidRDefault="00EC1C4F"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A</w:t>
      </w:r>
      <w:r w:rsidRPr="003B4569">
        <w:rPr>
          <w:rFonts w:ascii="Foundry Form Sans" w:hAnsi="Foundry Form Sans" w:cs="Arial"/>
        </w:rPr>
        <w:t xml:space="preserve"> </w:t>
      </w:r>
      <w:r w:rsidR="00146B8E" w:rsidRPr="003B4569">
        <w:rPr>
          <w:rFonts w:ascii="Foundry Form Sans" w:hAnsi="Foundry Form Sans" w:cs="Arial"/>
        </w:rPr>
        <w:t xml:space="preserve">capacity study by Maccreanor Lavington suggests that this </w:t>
      </w:r>
      <w:r w:rsidR="00514E0E">
        <w:rPr>
          <w:rFonts w:ascii="Foundry Form Sans" w:hAnsi="Foundry Form Sans" w:cs="Arial"/>
        </w:rPr>
        <w:t>Site</w:t>
      </w:r>
      <w:r w:rsidR="00146B8E" w:rsidRPr="003B4569">
        <w:rPr>
          <w:rFonts w:ascii="Foundry Form Sans" w:hAnsi="Foundry Form Sans" w:cs="Arial"/>
        </w:rPr>
        <w:t xml:space="preserve"> would be suitable for a residential use to link the waterfront with the adjacent Great Eastern Quays development. Estimates indicate that the </w:t>
      </w:r>
      <w:r w:rsidR="00514E0E">
        <w:rPr>
          <w:rFonts w:ascii="Foundry Form Sans" w:hAnsi="Foundry Form Sans" w:cs="Arial"/>
        </w:rPr>
        <w:t>Site</w:t>
      </w:r>
      <w:r w:rsidR="00146B8E" w:rsidRPr="003B4569">
        <w:rPr>
          <w:rFonts w:ascii="Foundry Form Sans" w:hAnsi="Foundry Form Sans" w:cs="Arial"/>
        </w:rPr>
        <w:t xml:space="preserve"> </w:t>
      </w:r>
      <w:r w:rsidR="00146B8E" w:rsidRPr="003820BE">
        <w:rPr>
          <w:rFonts w:ascii="Foundry Form Sans" w:hAnsi="Foundry Form Sans" w:cs="Arial"/>
        </w:rPr>
        <w:t xml:space="preserve">could accommodate </w:t>
      </w:r>
      <w:r w:rsidR="00297CE7" w:rsidRPr="003820BE">
        <w:rPr>
          <w:rFonts w:ascii="Foundry Form Sans" w:hAnsi="Foundry Form Sans" w:cs="Arial"/>
        </w:rPr>
        <w:t>upwards of</w:t>
      </w:r>
      <w:r w:rsidR="00146B8E" w:rsidRPr="003820BE">
        <w:rPr>
          <w:rFonts w:ascii="Foundry Form Sans" w:hAnsi="Foundry Form Sans" w:cs="Arial"/>
        </w:rPr>
        <w:t>. 100 units based</w:t>
      </w:r>
      <w:r w:rsidR="00146B8E" w:rsidRPr="003B4569">
        <w:rPr>
          <w:rFonts w:ascii="Foundry Form Sans" w:hAnsi="Foundry Form Sans" w:cs="Arial"/>
        </w:rPr>
        <w:t xml:space="preserve"> </w:t>
      </w:r>
      <w:r w:rsidR="00146B8E" w:rsidRPr="00EF19AD">
        <w:rPr>
          <w:rFonts w:ascii="Foundry Form Sans" w:hAnsi="Foundry Form Sans" w:cs="Arial"/>
        </w:rPr>
        <w:t xml:space="preserve">on </w:t>
      </w:r>
      <w:r w:rsidR="00FD4FC0" w:rsidRPr="00D968DB">
        <w:rPr>
          <w:rFonts w:ascii="Foundry Form Sans" w:hAnsi="Foundry Form Sans" w:cs="Arial"/>
        </w:rPr>
        <w:t>Public Transport Accessibility Level (</w:t>
      </w:r>
      <w:r w:rsidR="00146B8E" w:rsidRPr="003B4569">
        <w:rPr>
          <w:rFonts w:ascii="Foundry Form Sans" w:hAnsi="Foundry Form Sans" w:cs="Arial"/>
        </w:rPr>
        <w:t>PTAL</w:t>
      </w:r>
      <w:r w:rsidR="00FD4FC0">
        <w:rPr>
          <w:rFonts w:ascii="Foundry Form Sans" w:hAnsi="Foundry Form Sans" w:cs="Arial"/>
        </w:rPr>
        <w:t>)</w:t>
      </w:r>
      <w:r w:rsidR="00146B8E" w:rsidRPr="003B4569">
        <w:rPr>
          <w:rFonts w:ascii="Foundry Form Sans" w:hAnsi="Foundry Form Sans" w:cs="Arial"/>
        </w:rPr>
        <w:t xml:space="preserve"> and previous site proposals, and incorporating some appropriate non-residential ground floor uses</w:t>
      </w:r>
      <w:r w:rsidR="007B1992">
        <w:rPr>
          <w:rFonts w:ascii="Foundry Form Sans" w:hAnsi="Foundry Form Sans" w:cs="Arial"/>
        </w:rPr>
        <w:t>,</w:t>
      </w:r>
      <w:r w:rsidR="000F6377">
        <w:rPr>
          <w:rFonts w:ascii="Foundry Form Sans" w:hAnsi="Foundry Form Sans" w:cs="Arial"/>
        </w:rPr>
        <w:t xml:space="preserve"> with due regard to planning policy</w:t>
      </w:r>
      <w:r w:rsidR="007B1992">
        <w:rPr>
          <w:rFonts w:ascii="Foundry Form Sans" w:hAnsi="Foundry Form Sans" w:cs="Arial"/>
        </w:rPr>
        <w:t>.</w:t>
      </w:r>
    </w:p>
    <w:p w:rsidR="00042EDB" w:rsidRPr="00D968DB" w:rsidRDefault="00042EDB" w:rsidP="009F133B">
      <w:pPr>
        <w:pStyle w:val="BodyText"/>
        <w:numPr>
          <w:ilvl w:val="2"/>
          <w:numId w:val="42"/>
        </w:numPr>
        <w:spacing w:after="120" w:line="23" w:lineRule="atLeast"/>
        <w:ind w:left="284"/>
        <w:jc w:val="both"/>
        <w:rPr>
          <w:rFonts w:ascii="Foundry Form Sans" w:hAnsi="Foundry Form Sans" w:cs="Arial"/>
        </w:rPr>
      </w:pPr>
      <w:r w:rsidRPr="00D968DB">
        <w:rPr>
          <w:rFonts w:ascii="Foundry Form Sans" w:hAnsi="Foundry Form Sans" w:cs="Arial"/>
        </w:rPr>
        <w:t xml:space="preserve">This </w:t>
      </w:r>
      <w:r w:rsidR="00514E0E">
        <w:rPr>
          <w:rFonts w:ascii="Foundry Form Sans" w:hAnsi="Foundry Form Sans" w:cs="Arial"/>
        </w:rPr>
        <w:t>Site</w:t>
      </w:r>
      <w:r w:rsidR="000D5262" w:rsidRPr="00D968DB">
        <w:rPr>
          <w:rFonts w:ascii="Foundry Form Sans" w:hAnsi="Foundry Form Sans" w:cs="Arial"/>
        </w:rPr>
        <w:t xml:space="preserve"> provide</w:t>
      </w:r>
      <w:r w:rsidRPr="00D968DB">
        <w:rPr>
          <w:rFonts w:ascii="Foundry Form Sans" w:hAnsi="Foundry Form Sans" w:cs="Arial"/>
        </w:rPr>
        <w:t xml:space="preserve">s a </w:t>
      </w:r>
      <w:r w:rsidR="000D5262" w:rsidRPr="00D968DB">
        <w:rPr>
          <w:rFonts w:ascii="Foundry Form Sans" w:hAnsi="Foundry Form Sans" w:cs="Arial"/>
        </w:rPr>
        <w:t>key opportun</w:t>
      </w:r>
      <w:r w:rsidRPr="00D968DB">
        <w:rPr>
          <w:rFonts w:ascii="Foundry Form Sans" w:hAnsi="Foundry Form Sans" w:cs="Arial"/>
        </w:rPr>
        <w:t>ity</w:t>
      </w:r>
      <w:r w:rsidR="000D5262" w:rsidRPr="00D968DB">
        <w:rPr>
          <w:rFonts w:ascii="Foundry Form Sans" w:hAnsi="Foundry Form Sans" w:cs="Arial"/>
        </w:rPr>
        <w:t xml:space="preserve"> to define the final pieces of an emerging neighbourhood and maximise the potential of </w:t>
      </w:r>
      <w:r w:rsidRPr="00D968DB">
        <w:rPr>
          <w:rFonts w:ascii="Foundry Form Sans" w:hAnsi="Foundry Form Sans" w:cs="Arial"/>
        </w:rPr>
        <w:t xml:space="preserve">its </w:t>
      </w:r>
      <w:r w:rsidR="000D5262" w:rsidRPr="00D968DB">
        <w:rPr>
          <w:rFonts w:ascii="Foundry Form Sans" w:hAnsi="Foundry Form Sans" w:cs="Arial"/>
        </w:rPr>
        <w:t>connection to the adjacent Gallions Reach station, dock side and Thames Riverside.</w:t>
      </w:r>
      <w:r w:rsidR="00B97C75" w:rsidRPr="00D968DB">
        <w:rPr>
          <w:rFonts w:ascii="Foundry Form Sans" w:hAnsi="Foundry Form Sans" w:cs="Arial"/>
        </w:rPr>
        <w:t xml:space="preserve"> Further information on </w:t>
      </w:r>
      <w:r w:rsidR="00AA1151" w:rsidRPr="00D968DB">
        <w:rPr>
          <w:rFonts w:ascii="Foundry Form Sans" w:hAnsi="Foundry Form Sans" w:cs="Arial"/>
        </w:rPr>
        <w:t xml:space="preserve">the opportunities and constraints of </w:t>
      </w:r>
      <w:r w:rsidRPr="00D968DB">
        <w:rPr>
          <w:rFonts w:ascii="Foundry Form Sans" w:hAnsi="Foundry Form Sans" w:cs="Arial"/>
        </w:rPr>
        <w:t xml:space="preserve">the </w:t>
      </w:r>
      <w:r w:rsidR="00514E0E">
        <w:rPr>
          <w:rFonts w:ascii="Foundry Form Sans" w:hAnsi="Foundry Form Sans" w:cs="Arial"/>
        </w:rPr>
        <w:t>Site</w:t>
      </w:r>
      <w:r w:rsidR="00B97C75" w:rsidRPr="00D968DB">
        <w:rPr>
          <w:rFonts w:ascii="Foundry Form Sans" w:hAnsi="Foundry Form Sans" w:cs="Arial"/>
        </w:rPr>
        <w:t xml:space="preserve"> can be found in the Maccreanor Lavington Capacity Study (A</w:t>
      </w:r>
      <w:r w:rsidR="008347ED" w:rsidRPr="00D968DB">
        <w:rPr>
          <w:rFonts w:ascii="Foundry Form Sans" w:hAnsi="Foundry Form Sans" w:cs="Arial"/>
        </w:rPr>
        <w:t xml:space="preserve">nnex </w:t>
      </w:r>
      <w:r w:rsidR="00114894">
        <w:rPr>
          <w:rFonts w:ascii="Foundry Form Sans" w:hAnsi="Foundry Form Sans" w:cs="Arial"/>
        </w:rPr>
        <w:t>B</w:t>
      </w:r>
      <w:r w:rsidR="002126D9" w:rsidRPr="00D968DB">
        <w:rPr>
          <w:rFonts w:ascii="Foundry Form Sans" w:hAnsi="Foundry Form Sans" w:cs="Arial"/>
        </w:rPr>
        <w:t>3</w:t>
      </w:r>
      <w:r w:rsidR="00B97C75" w:rsidRPr="00D968DB">
        <w:rPr>
          <w:rFonts w:ascii="Foundry Form Sans" w:hAnsi="Foundry Form Sans" w:cs="Arial"/>
        </w:rPr>
        <w:t>).</w:t>
      </w:r>
      <w:r w:rsidR="0022275B" w:rsidRPr="00D968DB">
        <w:rPr>
          <w:rFonts w:ascii="Foundry Form Sans" w:hAnsi="Foundry Form Sans" w:cs="Arial"/>
        </w:rPr>
        <w:t xml:space="preserve"> To note, Annex </w:t>
      </w:r>
      <w:r w:rsidR="00114894">
        <w:rPr>
          <w:rFonts w:ascii="Foundry Form Sans" w:hAnsi="Foundry Form Sans" w:cs="Arial"/>
        </w:rPr>
        <w:t>B</w:t>
      </w:r>
      <w:r w:rsidR="002126D9" w:rsidRPr="00D968DB">
        <w:rPr>
          <w:rFonts w:ascii="Foundry Form Sans" w:hAnsi="Foundry Form Sans" w:cs="Arial"/>
        </w:rPr>
        <w:t>3</w:t>
      </w:r>
      <w:r w:rsidR="0022275B" w:rsidRPr="00D968DB">
        <w:rPr>
          <w:rFonts w:ascii="Foundry Form Sans" w:hAnsi="Foundry Form Sans" w:cs="Arial"/>
        </w:rPr>
        <w:t xml:space="preserve"> includes information on </w:t>
      </w:r>
      <w:r w:rsidRPr="00D968DB">
        <w:rPr>
          <w:rFonts w:ascii="Foundry Form Sans" w:hAnsi="Foundry Form Sans" w:cs="Arial"/>
        </w:rPr>
        <w:t xml:space="preserve">three sites, including Armada 2 and </w:t>
      </w:r>
      <w:r w:rsidR="0022275B" w:rsidRPr="00D968DB">
        <w:rPr>
          <w:rFonts w:ascii="Foundry Form Sans" w:hAnsi="Foundry Form Sans" w:cs="Arial"/>
        </w:rPr>
        <w:t>Gallions 4</w:t>
      </w:r>
      <w:r w:rsidR="00CB2E6E" w:rsidRPr="00D968DB">
        <w:rPr>
          <w:rFonts w:ascii="Foundry Form Sans" w:hAnsi="Foundry Form Sans" w:cs="Arial"/>
        </w:rPr>
        <w:t xml:space="preserve"> – these </w:t>
      </w:r>
      <w:r w:rsidR="004068C8" w:rsidRPr="00D968DB">
        <w:rPr>
          <w:rFonts w:ascii="Foundry Form Sans" w:hAnsi="Foundry Form Sans" w:cs="Arial"/>
        </w:rPr>
        <w:t xml:space="preserve">other two </w:t>
      </w:r>
      <w:r w:rsidR="00CB2E6E" w:rsidRPr="00D968DB">
        <w:rPr>
          <w:rFonts w:ascii="Foundry Form Sans" w:hAnsi="Foundry Form Sans" w:cs="Arial"/>
        </w:rPr>
        <w:t>sites are not included in this procurement</w:t>
      </w:r>
      <w:r w:rsidR="00FD4FC0" w:rsidRPr="00D968DB">
        <w:rPr>
          <w:rFonts w:ascii="Foundry Form Sans" w:hAnsi="Foundry Form Sans" w:cs="Arial"/>
        </w:rPr>
        <w:t>.</w:t>
      </w:r>
      <w:r w:rsidR="0026027A" w:rsidRPr="00D968DB">
        <w:rPr>
          <w:rFonts w:ascii="Foundry Form Sans" w:hAnsi="Foundry Form Sans" w:cs="Arial"/>
        </w:rPr>
        <w:t xml:space="preserve"> </w:t>
      </w:r>
    </w:p>
    <w:p w:rsidR="00B97C75" w:rsidRDefault="00B97C75" w:rsidP="00446F42">
      <w:pPr>
        <w:tabs>
          <w:tab w:val="left" w:pos="540"/>
        </w:tabs>
        <w:spacing w:after="120" w:line="23" w:lineRule="atLeast"/>
        <w:ind w:left="284"/>
        <w:jc w:val="both"/>
        <w:rPr>
          <w:rFonts w:ascii="Foundry Form Sans" w:hAnsi="Foundry Form Sans" w:cs="Arial"/>
          <w:sz w:val="22"/>
          <w:szCs w:val="22"/>
        </w:rPr>
      </w:pPr>
    </w:p>
    <w:p w:rsidR="00242FB4" w:rsidRPr="00305CB6" w:rsidRDefault="0020691F" w:rsidP="009F133B">
      <w:pPr>
        <w:pStyle w:val="BodyText"/>
        <w:numPr>
          <w:ilvl w:val="1"/>
          <w:numId w:val="42"/>
        </w:numPr>
        <w:spacing w:after="120" w:line="23" w:lineRule="atLeast"/>
        <w:ind w:left="284"/>
        <w:jc w:val="both"/>
        <w:rPr>
          <w:rFonts w:ascii="Foundry Form Sans" w:hAnsi="Foundry Form Sans" w:cs="Arial"/>
          <w:b/>
        </w:rPr>
      </w:pPr>
      <w:r w:rsidRPr="00305CB6">
        <w:rPr>
          <w:rFonts w:ascii="Foundry Form Sans" w:hAnsi="Foundry Form Sans" w:cs="Arial"/>
          <w:b/>
        </w:rPr>
        <w:t xml:space="preserve">Project Aims and Objectives </w:t>
      </w:r>
    </w:p>
    <w:p w:rsidR="00875EA0" w:rsidRDefault="00242FB4" w:rsidP="009F133B">
      <w:pPr>
        <w:pStyle w:val="BodyText"/>
        <w:numPr>
          <w:ilvl w:val="2"/>
          <w:numId w:val="42"/>
        </w:numPr>
        <w:spacing w:after="120" w:line="23" w:lineRule="atLeast"/>
        <w:ind w:left="284"/>
        <w:jc w:val="both"/>
        <w:rPr>
          <w:rFonts w:ascii="Foundry Form Sans" w:hAnsi="Foundry Form Sans"/>
        </w:rPr>
      </w:pPr>
      <w:r w:rsidRPr="00D968DB">
        <w:rPr>
          <w:rFonts w:ascii="Foundry Form Sans" w:hAnsi="Foundry Form Sans" w:cs="Arial"/>
        </w:rPr>
        <w:t xml:space="preserve">The Mayor of London wishes to create a unique high quality </w:t>
      </w:r>
      <w:r w:rsidR="00B129D0" w:rsidRPr="00D968DB">
        <w:rPr>
          <w:rFonts w:ascii="Foundry Form Sans" w:hAnsi="Foundry Form Sans" w:cs="Arial"/>
        </w:rPr>
        <w:t>residential-led development</w:t>
      </w:r>
      <w:r w:rsidRPr="00D968DB">
        <w:rPr>
          <w:rFonts w:ascii="Foundry Form Sans" w:hAnsi="Foundry Form Sans" w:cs="Arial"/>
        </w:rPr>
        <w:t>, which achieves the fo</w:t>
      </w:r>
      <w:r w:rsidR="00804C43" w:rsidRPr="00D968DB">
        <w:rPr>
          <w:rFonts w:ascii="Foundry Form Sans" w:hAnsi="Foundry Form Sans" w:cs="Arial"/>
        </w:rPr>
        <w:t>llowing key aims and objectives</w:t>
      </w:r>
      <w:r w:rsidR="00804C43" w:rsidRPr="00305CB6">
        <w:rPr>
          <w:rFonts w:ascii="Foundry Form Sans" w:hAnsi="Foundry Form Sans"/>
        </w:rPr>
        <w:t>:</w:t>
      </w:r>
    </w:p>
    <w:p w:rsidR="00C75302" w:rsidRDefault="00C75302" w:rsidP="009F133B">
      <w:pPr>
        <w:spacing w:line="23" w:lineRule="atLeast"/>
        <w:ind w:left="284"/>
        <w:jc w:val="both"/>
        <w:rPr>
          <w:rFonts w:ascii="Foundry Form Sans" w:hAnsi="Foundry Form Sans"/>
          <w:sz w:val="22"/>
          <w:szCs w:val="22"/>
        </w:rPr>
      </w:pPr>
    </w:p>
    <w:p w:rsidR="0020691F" w:rsidRPr="003D4D86" w:rsidRDefault="00D94F7B"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 xml:space="preserve">Delivery of New </w:t>
      </w:r>
      <w:r w:rsidR="00322C96" w:rsidRPr="003D4D86">
        <w:rPr>
          <w:rFonts w:ascii="Foundry Form Sans" w:hAnsi="Foundry Form Sans" w:cs="Arial"/>
          <w:b/>
          <w:lang w:eastAsia="en-GB"/>
        </w:rPr>
        <w:t xml:space="preserve">and Affordable </w:t>
      </w:r>
      <w:r w:rsidRPr="003D4D86">
        <w:rPr>
          <w:rFonts w:ascii="Foundry Form Sans" w:hAnsi="Foundry Form Sans" w:cs="Arial"/>
          <w:b/>
          <w:lang w:eastAsia="en-GB"/>
        </w:rPr>
        <w:t>Housing</w:t>
      </w:r>
      <w:r w:rsidR="00AD4295" w:rsidRPr="003D4D86">
        <w:rPr>
          <w:rFonts w:ascii="Foundry Form Sans" w:hAnsi="Foundry Form Sans" w:cs="Arial"/>
          <w:b/>
          <w:lang w:eastAsia="en-GB"/>
        </w:rPr>
        <w:t>:</w:t>
      </w:r>
      <w:r w:rsidR="00AD4295" w:rsidRPr="003D4D86">
        <w:rPr>
          <w:rFonts w:ascii="Foundry Form Sans" w:hAnsi="Foundry Form Sans" w:cs="Arial"/>
          <w:b/>
          <w:bCs/>
          <w:lang w:eastAsia="en-GB"/>
        </w:rPr>
        <w:t xml:space="preserve"> Genuinely Affordable Homes </w:t>
      </w:r>
      <w:r w:rsidR="000F6377" w:rsidRPr="003D4D86">
        <w:rPr>
          <w:rFonts w:ascii="Foundry Form Sans" w:hAnsi="Foundry Form Sans" w:cs="Arial"/>
          <w:b/>
          <w:bCs/>
          <w:lang w:eastAsia="en-GB"/>
        </w:rPr>
        <w:t>f</w:t>
      </w:r>
      <w:r w:rsidR="00AD4295" w:rsidRPr="003D4D86">
        <w:rPr>
          <w:rFonts w:ascii="Foundry Form Sans" w:hAnsi="Foundry Form Sans" w:cs="Arial"/>
          <w:b/>
          <w:bCs/>
          <w:lang w:eastAsia="en-GB"/>
        </w:rPr>
        <w:t>or Londoners</w:t>
      </w:r>
    </w:p>
    <w:p w:rsidR="00804C43" w:rsidRPr="00D968DB" w:rsidRDefault="00D94F7B"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In accordance with London Plan Policy 3.3 – Increasing Housing Supply; the key objective of this project is to deliver much needed private for sale and affordable homes that meet</w:t>
      </w:r>
      <w:r w:rsidR="00804C43" w:rsidRPr="00D968DB">
        <w:rPr>
          <w:rFonts w:ascii="Foundry Form Sans" w:hAnsi="Foundry Form Sans" w:cs="Arial"/>
          <w:lang w:eastAsia="en-GB"/>
        </w:rPr>
        <w:t xml:space="preserve"> the requirements of Londoners.</w:t>
      </w:r>
    </w:p>
    <w:p w:rsidR="00322C96" w:rsidRPr="00D968DB" w:rsidRDefault="00322C96"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The GLA </w:t>
      </w:r>
      <w:r w:rsidR="003820BE">
        <w:rPr>
          <w:rFonts w:ascii="Foundry Form Sans" w:hAnsi="Foundry Form Sans" w:cs="Arial"/>
          <w:lang w:eastAsia="en-GB"/>
        </w:rPr>
        <w:t>requires</w:t>
      </w:r>
      <w:r w:rsidRPr="00D968DB">
        <w:rPr>
          <w:rFonts w:ascii="Foundry Form Sans" w:hAnsi="Foundry Form Sans" w:cs="Arial"/>
          <w:lang w:eastAsia="en-GB"/>
        </w:rPr>
        <w:t xml:space="preserve"> minimum of </w:t>
      </w:r>
      <w:r w:rsidR="00DF0AD1" w:rsidRPr="00D968DB">
        <w:rPr>
          <w:rFonts w:ascii="Foundry Form Sans" w:hAnsi="Foundry Form Sans" w:cs="Arial"/>
          <w:lang w:eastAsia="en-GB"/>
        </w:rPr>
        <w:t>50</w:t>
      </w:r>
      <w:r w:rsidRPr="00D968DB">
        <w:rPr>
          <w:rFonts w:ascii="Foundry Form Sans" w:hAnsi="Foundry Form Sans" w:cs="Arial"/>
          <w:lang w:eastAsia="en-GB"/>
        </w:rPr>
        <w:t>% affordable housing allocation</w:t>
      </w:r>
      <w:r w:rsidR="000F6377">
        <w:rPr>
          <w:rFonts w:ascii="Foundry Form Sans" w:hAnsi="Foundry Form Sans" w:cs="Arial"/>
          <w:lang w:eastAsia="en-GB"/>
        </w:rPr>
        <w:t xml:space="preserve"> (on a habitable room basis)</w:t>
      </w:r>
      <w:r w:rsidRPr="00D968DB">
        <w:rPr>
          <w:rFonts w:ascii="Foundry Form Sans" w:hAnsi="Foundry Form Sans" w:cs="Arial"/>
          <w:lang w:eastAsia="en-GB"/>
        </w:rPr>
        <w:t xml:space="preserve"> for all development on the </w:t>
      </w:r>
      <w:r w:rsidR="00514E0E">
        <w:rPr>
          <w:rFonts w:ascii="Foundry Form Sans" w:hAnsi="Foundry Form Sans" w:cs="Arial"/>
          <w:lang w:eastAsia="en-GB"/>
        </w:rPr>
        <w:t>Site</w:t>
      </w:r>
      <w:r w:rsidR="000F6377">
        <w:rPr>
          <w:rFonts w:ascii="Foundry Form Sans" w:hAnsi="Foundry Form Sans" w:cs="Arial"/>
          <w:lang w:eastAsia="en-GB"/>
        </w:rPr>
        <w:t>,</w:t>
      </w:r>
      <w:r w:rsidRPr="00D968DB">
        <w:rPr>
          <w:rFonts w:ascii="Foundry Form Sans" w:hAnsi="Foundry Form Sans" w:cs="Arial"/>
          <w:lang w:eastAsia="en-GB"/>
        </w:rPr>
        <w:t xml:space="preserve"> in line with current</w:t>
      </w:r>
      <w:r w:rsidR="000610BF" w:rsidRPr="00D968DB">
        <w:rPr>
          <w:rFonts w:ascii="Foundry Form Sans" w:hAnsi="Foundry Form Sans" w:cs="Arial"/>
          <w:lang w:eastAsia="en-GB"/>
        </w:rPr>
        <w:t xml:space="preserve"> emerging </w:t>
      </w:r>
      <w:r w:rsidRPr="00D968DB">
        <w:rPr>
          <w:rFonts w:ascii="Foundry Form Sans" w:hAnsi="Foundry Form Sans" w:cs="Arial"/>
          <w:lang w:eastAsia="en-GB"/>
        </w:rPr>
        <w:t xml:space="preserve">policy. </w:t>
      </w:r>
    </w:p>
    <w:p w:rsidR="00F22382" w:rsidRPr="00D968DB" w:rsidRDefault="00F22382"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Although not formally adopted, bidders should be aware of the consultation draft Affordable Housing and Viability Supplementary Planning Guidance (SPG), which includes information on the emerging affordable housing products. The draft SPG can be found at the following website:</w:t>
      </w:r>
    </w:p>
    <w:p w:rsidR="00F22382" w:rsidRPr="00D968DB" w:rsidRDefault="009C6609" w:rsidP="009F133B">
      <w:pPr>
        <w:pStyle w:val="BodyText"/>
        <w:numPr>
          <w:ilvl w:val="2"/>
          <w:numId w:val="42"/>
        </w:numPr>
        <w:spacing w:after="120" w:line="23" w:lineRule="atLeast"/>
        <w:ind w:left="284"/>
        <w:jc w:val="both"/>
        <w:rPr>
          <w:rFonts w:ascii="Foundry Form Sans" w:hAnsi="Foundry Form Sans" w:cs="Arial"/>
          <w:lang w:eastAsia="en-GB"/>
        </w:rPr>
      </w:pPr>
      <w:hyperlink r:id="rId9" w:history="1">
        <w:r w:rsidR="00197794" w:rsidRPr="003379C9">
          <w:rPr>
            <w:rStyle w:val="Hyperlink"/>
            <w:rFonts w:ascii="Foundry Form Sans" w:hAnsi="Foundry Form Sans" w:cs="Arial"/>
            <w:lang w:eastAsia="en-GB"/>
          </w:rPr>
          <w:t>https://www.london.gov.uk/sites/default/files/draft_affordable_housing_and_viability_spg_2016.pdf</w:t>
        </w:r>
      </w:hyperlink>
      <w:r w:rsidR="00197794">
        <w:rPr>
          <w:rFonts w:ascii="Foundry Form Sans" w:hAnsi="Foundry Form Sans" w:cs="Arial"/>
          <w:lang w:eastAsia="en-GB"/>
        </w:rPr>
        <w:t xml:space="preserve"> </w:t>
      </w:r>
    </w:p>
    <w:p w:rsidR="00F22382" w:rsidRPr="00D968DB" w:rsidRDefault="00F22382"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The main aims of the SPG are to:</w:t>
      </w:r>
    </w:p>
    <w:p w:rsidR="00F22382" w:rsidRPr="00D968DB" w:rsidRDefault="00F22382" w:rsidP="009F133B">
      <w:pPr>
        <w:pStyle w:val="BodyText"/>
        <w:numPr>
          <w:ilvl w:val="2"/>
          <w:numId w:val="73"/>
        </w:numPr>
        <w:spacing w:after="120" w:line="23" w:lineRule="atLeast"/>
        <w:jc w:val="both"/>
        <w:rPr>
          <w:rFonts w:ascii="Foundry Form Sans" w:hAnsi="Foundry Form Sans" w:cs="Arial"/>
          <w:lang w:eastAsia="en-GB"/>
        </w:rPr>
      </w:pPr>
      <w:r w:rsidRPr="00D968DB">
        <w:rPr>
          <w:rFonts w:ascii="Foundry Form Sans" w:hAnsi="Foundry Form Sans" w:cs="Arial"/>
          <w:lang w:eastAsia="en-GB"/>
        </w:rPr>
        <w:t>increase the amount of affordable housing delivered through the planning system</w:t>
      </w:r>
    </w:p>
    <w:p w:rsidR="00F22382" w:rsidRPr="00D968DB" w:rsidRDefault="00F22382" w:rsidP="009F133B">
      <w:pPr>
        <w:pStyle w:val="BodyText"/>
        <w:numPr>
          <w:ilvl w:val="2"/>
          <w:numId w:val="73"/>
        </w:numPr>
        <w:spacing w:after="120" w:line="23" w:lineRule="atLeast"/>
        <w:jc w:val="both"/>
        <w:rPr>
          <w:rFonts w:ascii="Foundry Form Sans" w:hAnsi="Foundry Form Sans" w:cs="Arial"/>
          <w:lang w:eastAsia="en-GB"/>
        </w:rPr>
      </w:pPr>
      <w:r w:rsidRPr="00D968DB">
        <w:rPr>
          <w:rFonts w:ascii="Foundry Form Sans" w:hAnsi="Foundry Form Sans" w:cs="Arial"/>
          <w:lang w:eastAsia="en-GB"/>
        </w:rPr>
        <w:t>embed the requirement for affordable housing into land values</w:t>
      </w:r>
    </w:p>
    <w:p w:rsidR="00F22382" w:rsidRPr="00D968DB" w:rsidRDefault="00F22382" w:rsidP="009F133B">
      <w:pPr>
        <w:pStyle w:val="BodyText"/>
        <w:numPr>
          <w:ilvl w:val="2"/>
          <w:numId w:val="73"/>
        </w:numPr>
        <w:spacing w:after="120" w:line="23" w:lineRule="atLeast"/>
        <w:jc w:val="both"/>
        <w:rPr>
          <w:rFonts w:ascii="Foundry Form Sans" w:hAnsi="Foundry Form Sans" w:cs="Arial"/>
          <w:lang w:eastAsia="en-GB"/>
        </w:rPr>
      </w:pPr>
      <w:r w:rsidRPr="00D968DB">
        <w:rPr>
          <w:rFonts w:ascii="Foundry Form Sans" w:hAnsi="Foundry Form Sans" w:cs="Arial"/>
          <w:lang w:eastAsia="en-GB"/>
        </w:rPr>
        <w:t>make the viability process more consistent and transparent</w:t>
      </w:r>
    </w:p>
    <w:p w:rsidR="00583B69" w:rsidRPr="00D968DB" w:rsidRDefault="00583B69" w:rsidP="009F133B">
      <w:pPr>
        <w:pStyle w:val="BodyText"/>
        <w:spacing w:after="120" w:line="23" w:lineRule="atLeast"/>
        <w:ind w:left="284"/>
        <w:jc w:val="both"/>
        <w:rPr>
          <w:rFonts w:ascii="Foundry Form Sans" w:hAnsi="Foundry Form Sans" w:cs="Arial"/>
          <w:u w:val="single"/>
          <w:lang w:eastAsia="en-GB"/>
        </w:rPr>
      </w:pPr>
    </w:p>
    <w:p w:rsidR="00804C43" w:rsidRPr="003D4D86" w:rsidRDefault="001B4B7E"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Providing an Appropriate Tenure</w:t>
      </w:r>
      <w:r w:rsidR="00D94F7B" w:rsidRPr="003D4D86">
        <w:rPr>
          <w:rFonts w:ascii="Foundry Form Sans" w:hAnsi="Foundry Form Sans" w:cs="Arial"/>
          <w:b/>
          <w:lang w:eastAsia="en-GB"/>
        </w:rPr>
        <w:t xml:space="preserve"> </w:t>
      </w:r>
      <w:r w:rsidRPr="003D4D86">
        <w:rPr>
          <w:rFonts w:ascii="Foundry Form Sans" w:hAnsi="Foundry Form Sans" w:cs="Arial"/>
          <w:b/>
          <w:lang w:eastAsia="en-GB"/>
        </w:rPr>
        <w:t>Mix</w:t>
      </w:r>
    </w:p>
    <w:p w:rsidR="00583B69" w:rsidRPr="00D968DB" w:rsidRDefault="00DF0AD1"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Within the minimum 50% affordable housing requirement there is a requirement for 1/3rd  of the affordable housing to be provided at </w:t>
      </w:r>
      <w:r w:rsidR="002E58C3" w:rsidRPr="00D968DB">
        <w:rPr>
          <w:rFonts w:ascii="Foundry Form Sans" w:hAnsi="Foundry Form Sans" w:cs="Arial"/>
          <w:lang w:eastAsia="en-GB"/>
        </w:rPr>
        <w:t>London Affordable R</w:t>
      </w:r>
      <w:r w:rsidRPr="00D968DB">
        <w:rPr>
          <w:rFonts w:ascii="Foundry Form Sans" w:hAnsi="Foundry Form Sans" w:cs="Arial"/>
          <w:lang w:eastAsia="en-GB"/>
        </w:rPr>
        <w:t>ent</w:t>
      </w:r>
      <w:r w:rsidR="00FE52A4" w:rsidRPr="00D968DB">
        <w:rPr>
          <w:rFonts w:ascii="Foundry Form Sans" w:hAnsi="Foundry Form Sans" w:cs="Arial"/>
          <w:lang w:eastAsia="en-GB"/>
        </w:rPr>
        <w:t xml:space="preserve">, 1/3rd London Living Rent, </w:t>
      </w:r>
      <w:r w:rsidRPr="00D968DB">
        <w:rPr>
          <w:rFonts w:ascii="Foundry Form Sans" w:hAnsi="Foundry Form Sans" w:cs="Arial"/>
          <w:lang w:eastAsia="en-GB"/>
        </w:rPr>
        <w:t xml:space="preserve">and 1/3rd </w:t>
      </w:r>
      <w:r w:rsidR="002E58C3" w:rsidRPr="00D968DB">
        <w:rPr>
          <w:rFonts w:ascii="Foundry Form Sans" w:hAnsi="Foundry Form Sans" w:cs="Arial"/>
          <w:lang w:eastAsia="en-GB"/>
        </w:rPr>
        <w:t xml:space="preserve">London </w:t>
      </w:r>
      <w:r w:rsidRPr="00D968DB">
        <w:rPr>
          <w:rFonts w:ascii="Foundry Form Sans" w:hAnsi="Foundry Form Sans" w:cs="Arial"/>
          <w:lang w:eastAsia="en-GB"/>
        </w:rPr>
        <w:t xml:space="preserve">Shared Ownership. </w:t>
      </w:r>
    </w:p>
    <w:p w:rsidR="00F22382" w:rsidRPr="00D968DB" w:rsidRDefault="00F22382"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Guidance on the above new products can be found </w:t>
      </w:r>
      <w:r w:rsidR="001B4B7E">
        <w:rPr>
          <w:rFonts w:ascii="Foundry Form Sans" w:hAnsi="Foundry Form Sans" w:cs="Arial"/>
          <w:lang w:eastAsia="en-GB"/>
        </w:rPr>
        <w:t xml:space="preserve">below and </w:t>
      </w:r>
      <w:r w:rsidRPr="00D968DB">
        <w:rPr>
          <w:rFonts w:ascii="Foundry Form Sans" w:hAnsi="Foundry Form Sans" w:cs="Arial"/>
          <w:lang w:eastAsia="en-GB"/>
        </w:rPr>
        <w:t>at:</w:t>
      </w:r>
    </w:p>
    <w:p w:rsidR="00F22382" w:rsidRPr="009F133B" w:rsidRDefault="009C6609" w:rsidP="009F133B">
      <w:pPr>
        <w:pStyle w:val="BodyText"/>
        <w:spacing w:after="120" w:line="23" w:lineRule="atLeast"/>
        <w:ind w:left="284"/>
        <w:jc w:val="both"/>
        <w:rPr>
          <w:rFonts w:ascii="Foundry Form Sans" w:hAnsi="Foundry Form Sans" w:cs="Arial"/>
          <w:lang w:eastAsia="en-GB"/>
        </w:rPr>
      </w:pPr>
      <w:hyperlink r:id="rId10" w:history="1">
        <w:r w:rsidR="00F22382" w:rsidRPr="009F133B">
          <w:rPr>
            <w:rFonts w:ascii="Foundry Form Sans" w:hAnsi="Foundry Form Sans" w:cs="Arial"/>
            <w:lang w:eastAsia="en-GB"/>
          </w:rPr>
          <w:t>https://www.london.gov.uk/sites/default/files/homesforlondoners-affordablehomesprogrammefundingguidance.pdf</w:t>
        </w:r>
      </w:hyperlink>
    </w:p>
    <w:p w:rsidR="001B4B7E" w:rsidRDefault="001B4B7E" w:rsidP="009F133B">
      <w:pPr>
        <w:pStyle w:val="BodyText"/>
        <w:spacing w:after="120" w:line="23" w:lineRule="atLeast"/>
        <w:ind w:left="284"/>
        <w:jc w:val="both"/>
        <w:rPr>
          <w:rFonts w:ascii="Foundry Form Sans" w:hAnsi="Foundry Form Sans" w:cs="Arial"/>
          <w:u w:val="single"/>
          <w:lang w:eastAsia="en-GB"/>
        </w:rPr>
      </w:pPr>
    </w:p>
    <w:p w:rsidR="00F22382" w:rsidRPr="001B4B7E" w:rsidRDefault="00F22382" w:rsidP="009F133B">
      <w:pPr>
        <w:pStyle w:val="BodyText"/>
        <w:numPr>
          <w:ilvl w:val="2"/>
          <w:numId w:val="42"/>
        </w:numPr>
        <w:spacing w:after="120" w:line="23" w:lineRule="atLeast"/>
        <w:ind w:left="284"/>
        <w:jc w:val="both"/>
        <w:rPr>
          <w:rFonts w:ascii="Foundry Form Sans" w:hAnsi="Foundry Form Sans" w:cs="Arial"/>
          <w:lang w:eastAsia="en-GB"/>
        </w:rPr>
      </w:pPr>
      <w:r w:rsidRPr="00E91D2E">
        <w:rPr>
          <w:rFonts w:ascii="Foundry Form Sans" w:hAnsi="Foundry Form Sans" w:cs="Arial"/>
          <w:u w:val="single"/>
          <w:lang w:eastAsia="en-GB"/>
        </w:rPr>
        <w:t>London Affordable Rent</w:t>
      </w:r>
      <w:r w:rsidR="00197794">
        <w:rPr>
          <w:rFonts w:ascii="Foundry Form Sans" w:hAnsi="Foundry Form Sans" w:cs="Arial"/>
          <w:lang w:eastAsia="en-GB"/>
        </w:rPr>
        <w:t xml:space="preserve"> -</w:t>
      </w:r>
      <w:r w:rsidR="00E664B7" w:rsidRPr="00E91D2E">
        <w:rPr>
          <w:rFonts w:ascii="Foundry Form Sans" w:hAnsi="Foundry Form Sans" w:cs="Arial"/>
          <w:lang w:eastAsia="en-GB"/>
        </w:rPr>
        <w:t>London Affordable Rent homes will be subject to rent-setting guidance</w:t>
      </w:r>
      <w:r w:rsidRPr="00E91D2E">
        <w:rPr>
          <w:rFonts w:ascii="Foundry Form Sans" w:hAnsi="Foundry Form Sans" w:cs="Arial"/>
          <w:lang w:eastAsia="en-GB"/>
        </w:rPr>
        <w:t xml:space="preserve"> </w:t>
      </w:r>
      <w:r w:rsidR="00E664B7" w:rsidRPr="001B4B7E">
        <w:rPr>
          <w:rFonts w:ascii="Foundry Form Sans" w:hAnsi="Foundry Form Sans" w:cs="Arial"/>
          <w:lang w:eastAsia="en-GB"/>
        </w:rPr>
        <w:t>issued by the Social Housing Regulator and will be subject to the annual one per cent</w:t>
      </w:r>
      <w:r w:rsidRPr="001B4B7E">
        <w:rPr>
          <w:rFonts w:ascii="Foundry Form Sans" w:hAnsi="Foundry Form Sans" w:cs="Arial"/>
          <w:lang w:eastAsia="en-GB"/>
        </w:rPr>
        <w:t xml:space="preserve"> </w:t>
      </w:r>
      <w:r w:rsidR="00D968DB" w:rsidRPr="001B4B7E">
        <w:rPr>
          <w:rFonts w:ascii="Foundry Form Sans" w:hAnsi="Foundry Form Sans" w:cs="Arial"/>
          <w:lang w:eastAsia="en-GB"/>
        </w:rPr>
        <w:t>rent reductions up to 2020.</w:t>
      </w:r>
    </w:p>
    <w:p w:rsidR="00D968DB" w:rsidRPr="00D968DB" w:rsidRDefault="00E664B7"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For legal and regulatory purposes, the GLA views London Affordable Rent as</w:t>
      </w:r>
      <w:r w:rsidR="00F22382" w:rsidRPr="00D968DB">
        <w:rPr>
          <w:rFonts w:ascii="Foundry Form Sans" w:hAnsi="Foundry Form Sans" w:cs="Arial"/>
          <w:lang w:eastAsia="en-GB"/>
        </w:rPr>
        <w:t xml:space="preserve"> </w:t>
      </w:r>
      <w:r w:rsidRPr="00D968DB">
        <w:rPr>
          <w:rFonts w:ascii="Foundry Form Sans" w:hAnsi="Foundry Form Sans" w:cs="Arial"/>
          <w:lang w:eastAsia="en-GB"/>
        </w:rPr>
        <w:t>Affordable Rent. Rents will have to be set in accordance with the Social Housing</w:t>
      </w:r>
      <w:r w:rsidR="00F22382" w:rsidRPr="00D968DB">
        <w:rPr>
          <w:rFonts w:ascii="Foundry Form Sans" w:hAnsi="Foundry Form Sans" w:cs="Arial"/>
          <w:lang w:eastAsia="en-GB"/>
        </w:rPr>
        <w:t xml:space="preserve"> </w:t>
      </w:r>
      <w:r w:rsidRPr="00D968DB">
        <w:rPr>
          <w:rFonts w:ascii="Foundry Form Sans" w:hAnsi="Foundry Form Sans" w:cs="Arial"/>
          <w:lang w:eastAsia="en-GB"/>
        </w:rPr>
        <w:t>Regulator’s Affordable Rent guidance. The landlord of these homes must be</w:t>
      </w:r>
      <w:r w:rsidR="00F22382" w:rsidRPr="00D968DB">
        <w:rPr>
          <w:rFonts w:ascii="Foundry Form Sans" w:hAnsi="Foundry Form Sans" w:cs="Arial"/>
          <w:lang w:eastAsia="en-GB"/>
        </w:rPr>
        <w:t xml:space="preserve"> </w:t>
      </w:r>
      <w:r w:rsidRPr="00D968DB">
        <w:rPr>
          <w:rFonts w:ascii="Foundry Form Sans" w:hAnsi="Foundry Form Sans" w:cs="Arial"/>
          <w:lang w:eastAsia="en-GB"/>
        </w:rPr>
        <w:t>registered with the Social Housing Regulator.</w:t>
      </w:r>
    </w:p>
    <w:p w:rsidR="00FE52A4" w:rsidRPr="001B4B7E" w:rsidRDefault="00DF0AD1" w:rsidP="009F133B">
      <w:pPr>
        <w:pStyle w:val="BodyText"/>
        <w:numPr>
          <w:ilvl w:val="2"/>
          <w:numId w:val="42"/>
        </w:numPr>
        <w:spacing w:after="120" w:line="23" w:lineRule="atLeast"/>
        <w:ind w:left="284"/>
        <w:jc w:val="both"/>
        <w:rPr>
          <w:rFonts w:ascii="Foundry Form Sans" w:hAnsi="Foundry Form Sans" w:cs="Arial"/>
          <w:lang w:eastAsia="en-GB"/>
        </w:rPr>
      </w:pPr>
      <w:r w:rsidRPr="00E91D2E">
        <w:rPr>
          <w:rFonts w:ascii="Foundry Form Sans" w:hAnsi="Foundry Form Sans" w:cs="Arial"/>
          <w:u w:val="single"/>
          <w:lang w:eastAsia="en-GB"/>
        </w:rPr>
        <w:t>London Living Rent</w:t>
      </w:r>
      <w:r w:rsidRPr="003D4D86">
        <w:rPr>
          <w:rFonts w:ascii="Foundry Form Sans" w:hAnsi="Foundry Form Sans" w:cs="Arial"/>
          <w:i/>
          <w:lang w:eastAsia="en-GB"/>
        </w:rPr>
        <w:t xml:space="preserve"> </w:t>
      </w:r>
      <w:r w:rsidR="001B4B7E" w:rsidRPr="00E91D2E">
        <w:rPr>
          <w:rFonts w:ascii="Foundry Form Sans" w:hAnsi="Foundry Form Sans" w:cs="Arial"/>
          <w:i/>
          <w:lang w:eastAsia="en-GB"/>
        </w:rPr>
        <w:t xml:space="preserve">- </w:t>
      </w:r>
      <w:r w:rsidR="00703545" w:rsidRPr="00E91D2E">
        <w:rPr>
          <w:rFonts w:ascii="Foundry Form Sans" w:hAnsi="Foundry Form Sans" w:cs="Arial"/>
          <w:lang w:eastAsia="en-GB"/>
        </w:rPr>
        <w:t>Although anomalous in the Beckon ward</w:t>
      </w:r>
      <w:r w:rsidR="00197794">
        <w:rPr>
          <w:rFonts w:ascii="Foundry Form Sans" w:hAnsi="Foundry Form Sans" w:cs="Arial"/>
          <w:lang w:eastAsia="en-GB"/>
        </w:rPr>
        <w:t xml:space="preserve"> due to the rent levels</w:t>
      </w:r>
      <w:r w:rsidR="00703545" w:rsidRPr="00E91D2E">
        <w:rPr>
          <w:rFonts w:ascii="Foundry Form Sans" w:hAnsi="Foundry Form Sans" w:cs="Arial"/>
          <w:lang w:eastAsia="en-GB"/>
        </w:rPr>
        <w:t xml:space="preserve"> </w:t>
      </w:r>
      <w:r w:rsidR="00240C60" w:rsidRPr="00E91D2E">
        <w:rPr>
          <w:rFonts w:ascii="Foundry Form Sans" w:hAnsi="Foundry Form Sans" w:cs="Arial"/>
          <w:lang w:eastAsia="en-GB"/>
        </w:rPr>
        <w:t>London Living Rent</w:t>
      </w:r>
      <w:r w:rsidR="00E37CEE" w:rsidRPr="001B4B7E">
        <w:rPr>
          <w:rFonts w:ascii="Foundry Form Sans" w:hAnsi="Foundry Form Sans" w:cs="Arial"/>
          <w:lang w:eastAsia="en-GB"/>
        </w:rPr>
        <w:t xml:space="preserve"> (LLR) </w:t>
      </w:r>
      <w:r w:rsidRPr="001B4B7E">
        <w:rPr>
          <w:rFonts w:ascii="Foundry Form Sans" w:hAnsi="Foundry Form Sans" w:cs="Arial"/>
          <w:lang w:eastAsia="en-GB"/>
        </w:rPr>
        <w:t xml:space="preserve">is a new intermediate affordable housing product, with rents based on one third of average local household incomes. </w:t>
      </w:r>
      <w:r w:rsidR="00FE52A4" w:rsidRPr="001B4B7E">
        <w:rPr>
          <w:rFonts w:ascii="Foundry Form Sans" w:hAnsi="Foundry Form Sans" w:cs="Arial"/>
          <w:lang w:eastAsia="en-GB"/>
        </w:rPr>
        <w:t xml:space="preserve">It is primarily targeted at middle-income households in London’s private rented sector who are looking for a stable home at a rent that will enable them to build up savings for future shared ownership or outright purchase of a home. Further general information on LLR can be found on the GLA website: </w:t>
      </w:r>
    </w:p>
    <w:p w:rsidR="00FE52A4" w:rsidRPr="00D968DB" w:rsidRDefault="009C6609" w:rsidP="009F133B">
      <w:pPr>
        <w:pStyle w:val="BodyText"/>
        <w:spacing w:after="120" w:line="23" w:lineRule="atLeast"/>
        <w:ind w:left="284"/>
        <w:jc w:val="both"/>
        <w:rPr>
          <w:rFonts w:ascii="Foundry Form Sans" w:hAnsi="Foundry Form Sans" w:cs="Arial"/>
          <w:lang w:eastAsia="en-GB"/>
        </w:rPr>
      </w:pPr>
      <w:hyperlink r:id="rId11" w:history="1">
        <w:r w:rsidR="00FE52A4" w:rsidRPr="00D968DB">
          <w:rPr>
            <w:rFonts w:ascii="Foundry Form Sans" w:hAnsi="Foundry Form Sans" w:cs="Arial"/>
            <w:lang w:eastAsia="en-GB"/>
          </w:rPr>
          <w:t>https://www.london.gov.uk/what-we-do/housing-and-land/renting/london-living-rent</w:t>
        </w:r>
      </w:hyperlink>
    </w:p>
    <w:p w:rsidR="001B4B7E" w:rsidRPr="00D968DB" w:rsidRDefault="006B1C32" w:rsidP="009F133B">
      <w:pPr>
        <w:pStyle w:val="BodyText"/>
        <w:numPr>
          <w:ilvl w:val="2"/>
          <w:numId w:val="42"/>
        </w:numPr>
        <w:spacing w:after="120" w:line="23" w:lineRule="atLeast"/>
        <w:ind w:left="284"/>
        <w:jc w:val="both"/>
        <w:rPr>
          <w:rFonts w:ascii="Foundry Form Sans" w:hAnsi="Foundry Form Sans" w:cs="Arial"/>
          <w:lang w:eastAsia="en-GB"/>
        </w:rPr>
      </w:pPr>
      <w:r w:rsidRPr="00E91D2E">
        <w:rPr>
          <w:rFonts w:ascii="Foundry Form Sans" w:hAnsi="Foundry Form Sans" w:cs="Arial"/>
          <w:lang w:eastAsia="en-GB"/>
        </w:rPr>
        <w:t>The GLA has published ward-level rents on the above GLA website.</w:t>
      </w:r>
      <w:r w:rsidR="002E58C3" w:rsidRPr="00E91D2E">
        <w:rPr>
          <w:rFonts w:ascii="Foundry Form Sans" w:hAnsi="Foundry Form Sans" w:cs="Arial"/>
          <w:lang w:eastAsia="en-GB"/>
        </w:rPr>
        <w:t xml:space="preserve"> The GLA will publish u</w:t>
      </w:r>
      <w:r w:rsidR="002E58C3" w:rsidRPr="001B4B7E">
        <w:rPr>
          <w:rFonts w:ascii="Foundry Form Sans" w:hAnsi="Foundry Form Sans" w:cs="Arial"/>
          <w:lang w:eastAsia="en-GB"/>
        </w:rPr>
        <w:t xml:space="preserve">pdated figures, at ward level, on an annual basis. </w:t>
      </w:r>
      <w:r w:rsidR="00FE52A4" w:rsidRPr="001B4B7E">
        <w:rPr>
          <w:rFonts w:ascii="Foundry Form Sans" w:hAnsi="Foundry Form Sans" w:cs="Arial"/>
          <w:lang w:eastAsia="en-GB"/>
        </w:rPr>
        <w:t>The following assumptions should be used in viability appraisals:</w:t>
      </w:r>
      <w:r w:rsidR="001B4B7E" w:rsidRPr="001B4B7E">
        <w:rPr>
          <w:rFonts w:ascii="Foundry Form Sans" w:hAnsi="Foundry Form Sans" w:cs="Arial"/>
          <w:lang w:eastAsia="en-GB"/>
        </w:rPr>
        <w:t xml:space="preserve"> </w:t>
      </w:r>
    </w:p>
    <w:p w:rsidR="00AD4295" w:rsidRPr="00E91D2E" w:rsidRDefault="001B4B7E" w:rsidP="009F133B">
      <w:pPr>
        <w:pStyle w:val="BodyText"/>
        <w:numPr>
          <w:ilvl w:val="2"/>
          <w:numId w:val="42"/>
        </w:numPr>
        <w:spacing w:after="120" w:line="23" w:lineRule="atLeast"/>
        <w:ind w:left="284"/>
        <w:jc w:val="both"/>
        <w:rPr>
          <w:rFonts w:ascii="Foundry Form Sans" w:hAnsi="Foundry Form Sans" w:cs="Arial"/>
          <w:lang w:eastAsia="en-GB"/>
        </w:rPr>
      </w:pPr>
      <w:r w:rsidRPr="00E91D2E">
        <w:rPr>
          <w:rFonts w:ascii="Foundry Form Sans" w:hAnsi="Foundry Form Sans" w:cs="Arial"/>
          <w:lang w:eastAsia="en-GB"/>
        </w:rPr>
        <w:t>Base</w:t>
      </w:r>
      <w:r>
        <w:rPr>
          <w:rFonts w:ascii="Foundry Form Sans" w:hAnsi="Foundry Form Sans" w:cs="Arial"/>
          <w:lang w:eastAsia="en-GB"/>
        </w:rPr>
        <w:t>d</w:t>
      </w:r>
      <w:r w:rsidRPr="00E91D2E">
        <w:rPr>
          <w:rFonts w:ascii="Foundry Form Sans" w:hAnsi="Foundry Form Sans" w:cs="Arial"/>
          <w:lang w:eastAsia="en-GB"/>
        </w:rPr>
        <w:t xml:space="preserve"> on</w:t>
      </w:r>
      <w:r w:rsidRPr="001B4B7E">
        <w:rPr>
          <w:rFonts w:ascii="Foundry Form Sans" w:hAnsi="Foundry Form Sans" w:cs="Arial"/>
          <w:lang w:eastAsia="en-GB"/>
        </w:rPr>
        <w:t xml:space="preserve"> the a</w:t>
      </w:r>
      <w:r w:rsidR="00FE52A4" w:rsidRPr="001B4B7E">
        <w:rPr>
          <w:rFonts w:ascii="Foundry Form Sans" w:hAnsi="Foundry Form Sans" w:cs="Arial"/>
          <w:lang w:eastAsia="en-GB"/>
        </w:rPr>
        <w:t>verage household income</w:t>
      </w:r>
      <w:r w:rsidRPr="001B4B7E">
        <w:rPr>
          <w:rFonts w:ascii="Foundry Form Sans" w:hAnsi="Foundry Form Sans" w:cs="Arial"/>
          <w:lang w:eastAsia="en-GB"/>
        </w:rPr>
        <w:t xml:space="preserve">s, the London Living Rent </w:t>
      </w:r>
      <w:r w:rsidR="00FE52A4" w:rsidRPr="001B4B7E">
        <w:rPr>
          <w:rFonts w:ascii="Foundry Form Sans" w:hAnsi="Foundry Form Sans" w:cs="Arial"/>
          <w:lang w:eastAsia="en-GB"/>
        </w:rPr>
        <w:t xml:space="preserve">for </w:t>
      </w:r>
      <w:r w:rsidR="006B1C32" w:rsidRPr="001B4B7E">
        <w:rPr>
          <w:rFonts w:ascii="Foundry Form Sans" w:hAnsi="Foundry Form Sans" w:cs="Arial"/>
          <w:lang w:eastAsia="en-GB"/>
        </w:rPr>
        <w:t>Beckton Ward</w:t>
      </w:r>
      <w:r w:rsidRPr="001B4B7E">
        <w:rPr>
          <w:rFonts w:ascii="Foundry Form Sans" w:hAnsi="Foundry Form Sans" w:cs="Arial"/>
          <w:lang w:eastAsia="en-GB"/>
        </w:rPr>
        <w:t xml:space="preserve"> is </w:t>
      </w:r>
      <w:r w:rsidR="006B1C32" w:rsidRPr="001B4B7E">
        <w:rPr>
          <w:rFonts w:ascii="Foundry Form Sans" w:hAnsi="Foundry Form Sans" w:cs="Arial"/>
          <w:lang w:eastAsia="en-GB"/>
        </w:rPr>
        <w:t>£671 per month for a 2 bed</w:t>
      </w:r>
      <w:r w:rsidR="00166E04">
        <w:rPr>
          <w:rFonts w:ascii="Foundry Form Sans" w:hAnsi="Foundry Form Sans" w:cs="Arial"/>
          <w:lang w:eastAsia="en-GB"/>
        </w:rPr>
        <w:t xml:space="preserve"> dwelling</w:t>
      </w:r>
      <w:r w:rsidR="00C17FF4">
        <w:rPr>
          <w:rFonts w:ascii="Foundry Form Sans" w:hAnsi="Foundry Form Sans" w:cs="Arial"/>
          <w:lang w:eastAsia="en-GB"/>
        </w:rPr>
        <w:t>, further detail for 1 and 3 beds can be found on the web site set out at 2.4.8.</w:t>
      </w:r>
      <w:r w:rsidRPr="001B4B7E">
        <w:rPr>
          <w:rFonts w:ascii="Foundry Form Sans" w:hAnsi="Foundry Form Sans" w:cs="Arial"/>
          <w:lang w:eastAsia="en-GB"/>
        </w:rPr>
        <w:t xml:space="preserve"> </w:t>
      </w:r>
    </w:p>
    <w:p w:rsidR="00AD4295" w:rsidRPr="001B4B7E" w:rsidRDefault="002E58C3" w:rsidP="009F133B">
      <w:pPr>
        <w:pStyle w:val="BodyText"/>
        <w:numPr>
          <w:ilvl w:val="2"/>
          <w:numId w:val="42"/>
        </w:numPr>
        <w:spacing w:after="120" w:line="23" w:lineRule="atLeast"/>
        <w:ind w:left="284"/>
        <w:jc w:val="both"/>
        <w:rPr>
          <w:rFonts w:ascii="Foundry Form Sans" w:hAnsi="Foundry Form Sans" w:cs="Arial"/>
          <w:lang w:eastAsia="en-GB"/>
        </w:rPr>
      </w:pPr>
      <w:r w:rsidRPr="00E91D2E">
        <w:rPr>
          <w:rFonts w:ascii="Foundry Form Sans" w:hAnsi="Foundry Form Sans" w:cs="Arial"/>
          <w:u w:val="single"/>
          <w:lang w:eastAsia="en-GB"/>
        </w:rPr>
        <w:t>London Shared Ownership</w:t>
      </w:r>
      <w:r w:rsidRPr="003D4D86">
        <w:rPr>
          <w:rFonts w:ascii="Foundry Form Sans" w:hAnsi="Foundry Form Sans" w:cs="Arial"/>
          <w:lang w:eastAsia="en-GB"/>
        </w:rPr>
        <w:t xml:space="preserve"> </w:t>
      </w:r>
      <w:r w:rsidR="00E1393D">
        <w:rPr>
          <w:rFonts w:ascii="Foundry Form Sans" w:hAnsi="Foundry Form Sans" w:cs="Arial"/>
          <w:lang w:eastAsia="en-GB"/>
        </w:rPr>
        <w:t>–</w:t>
      </w:r>
      <w:r w:rsidR="001B4B7E" w:rsidRPr="00E91D2E">
        <w:rPr>
          <w:rFonts w:ascii="Foundry Form Sans" w:hAnsi="Foundry Form Sans" w:cs="Arial"/>
          <w:lang w:eastAsia="en-GB"/>
        </w:rPr>
        <w:t xml:space="preserve"> </w:t>
      </w:r>
      <w:r w:rsidR="00E1393D">
        <w:rPr>
          <w:rFonts w:ascii="Foundry Form Sans" w:hAnsi="Foundry Form Sans" w:cs="Arial"/>
          <w:lang w:eastAsia="en-GB"/>
        </w:rPr>
        <w:t>Current policy indicates i</w:t>
      </w:r>
      <w:r w:rsidR="0027685A" w:rsidRPr="00E91D2E">
        <w:rPr>
          <w:rFonts w:ascii="Foundry Form Sans" w:hAnsi="Foundry Form Sans" w:cs="Arial"/>
          <w:lang w:eastAsia="en-GB"/>
        </w:rPr>
        <w:t>nitial rents on the unsold equity of London Shared Ownership properties</w:t>
      </w:r>
      <w:r w:rsidR="00240C60" w:rsidRPr="00E91D2E">
        <w:rPr>
          <w:rFonts w:ascii="Foundry Form Sans" w:hAnsi="Foundry Form Sans" w:cs="Arial"/>
          <w:lang w:eastAsia="en-GB"/>
        </w:rPr>
        <w:t xml:space="preserve"> </w:t>
      </w:r>
      <w:r w:rsidR="0027685A" w:rsidRPr="001B4B7E">
        <w:rPr>
          <w:rFonts w:ascii="Foundry Form Sans" w:hAnsi="Foundry Form Sans" w:cs="Arial"/>
          <w:lang w:eastAsia="en-GB"/>
        </w:rPr>
        <w:t>can be no more than 2.75 per cent of the value of the unsold equity at the point of</w:t>
      </w:r>
      <w:r w:rsidR="00240C60" w:rsidRPr="001B4B7E">
        <w:rPr>
          <w:rFonts w:ascii="Foundry Form Sans" w:hAnsi="Foundry Form Sans" w:cs="Arial"/>
          <w:lang w:eastAsia="en-GB"/>
        </w:rPr>
        <w:t xml:space="preserve"> </w:t>
      </w:r>
      <w:r w:rsidR="0027685A" w:rsidRPr="001B4B7E">
        <w:rPr>
          <w:rFonts w:ascii="Foundry Form Sans" w:hAnsi="Foundry Form Sans" w:cs="Arial"/>
          <w:lang w:eastAsia="en-GB"/>
        </w:rPr>
        <w:t>initial sale, and all sales must use a form of lease containing the fundamental clauses</w:t>
      </w:r>
      <w:r w:rsidR="00240C60" w:rsidRPr="001B4B7E">
        <w:rPr>
          <w:rFonts w:ascii="Foundry Form Sans" w:hAnsi="Foundry Form Sans" w:cs="Arial"/>
          <w:lang w:eastAsia="en-GB"/>
        </w:rPr>
        <w:t xml:space="preserve"> </w:t>
      </w:r>
      <w:r w:rsidR="0027685A" w:rsidRPr="001B4B7E">
        <w:rPr>
          <w:rFonts w:ascii="Foundry Form Sans" w:hAnsi="Foundry Form Sans" w:cs="Arial"/>
          <w:lang w:eastAsia="en-GB"/>
        </w:rPr>
        <w:t>set out in the Guid</w:t>
      </w:r>
      <w:r w:rsidR="00E1393D">
        <w:rPr>
          <w:rFonts w:ascii="Foundry Form Sans" w:hAnsi="Foundry Form Sans" w:cs="Arial"/>
          <w:lang w:eastAsia="en-GB"/>
        </w:rPr>
        <w:t>ance as set out at 2.4</w:t>
      </w:r>
      <w:r w:rsidR="00197794">
        <w:rPr>
          <w:rFonts w:ascii="Foundry Form Sans" w:hAnsi="Foundry Form Sans" w:cs="Arial"/>
          <w:lang w:eastAsia="en-GB"/>
        </w:rPr>
        <w:t>.8</w:t>
      </w:r>
      <w:r w:rsidR="0027685A" w:rsidRPr="001B4B7E">
        <w:rPr>
          <w:rFonts w:ascii="Foundry Form Sans" w:hAnsi="Foundry Form Sans" w:cs="Arial"/>
          <w:lang w:eastAsia="en-GB"/>
        </w:rPr>
        <w:t>.</w:t>
      </w:r>
      <w:r w:rsidR="00240C60" w:rsidRPr="001B4B7E">
        <w:rPr>
          <w:rFonts w:ascii="Foundry Form Sans" w:hAnsi="Foundry Form Sans" w:cs="Arial"/>
          <w:lang w:eastAsia="en-GB"/>
        </w:rPr>
        <w:t xml:space="preserve"> </w:t>
      </w:r>
    </w:p>
    <w:p w:rsidR="001B4B7E" w:rsidRDefault="001B4B7E" w:rsidP="009F133B">
      <w:pPr>
        <w:pStyle w:val="BodyText"/>
        <w:spacing w:after="120" w:line="23" w:lineRule="atLeast"/>
        <w:ind w:left="284"/>
        <w:jc w:val="both"/>
        <w:rPr>
          <w:rFonts w:ascii="Foundry Form Sans" w:hAnsi="Foundry Form Sans" w:cs="Arial"/>
          <w:u w:val="single"/>
          <w:lang w:eastAsia="en-GB"/>
        </w:rPr>
      </w:pPr>
    </w:p>
    <w:p w:rsidR="001B4B7E" w:rsidRPr="003D4D86" w:rsidRDefault="001B4B7E" w:rsidP="009F133B">
      <w:pPr>
        <w:pStyle w:val="BodyText"/>
        <w:spacing w:after="120" w:line="23" w:lineRule="atLeast"/>
        <w:ind w:left="284"/>
        <w:jc w:val="both"/>
        <w:rPr>
          <w:rFonts w:ascii="Foundry Form Sans" w:hAnsi="Foundry Form Sans" w:cs="Arial"/>
          <w:b/>
          <w:u w:val="single"/>
          <w:lang w:eastAsia="en-GB"/>
        </w:rPr>
      </w:pPr>
      <w:r w:rsidRPr="003D4D86">
        <w:rPr>
          <w:rFonts w:ascii="Foundry Form Sans" w:hAnsi="Foundry Form Sans" w:cs="Arial"/>
          <w:b/>
          <w:lang w:eastAsia="en-GB"/>
        </w:rPr>
        <w:t xml:space="preserve">Providing a Good Mix of </w:t>
      </w:r>
      <w:r w:rsidR="00AD4295" w:rsidRPr="003D4D86">
        <w:rPr>
          <w:rFonts w:ascii="Foundry Form Sans" w:hAnsi="Foundry Form Sans" w:cs="Arial"/>
          <w:b/>
          <w:lang w:eastAsia="en-GB"/>
        </w:rPr>
        <w:t xml:space="preserve">Housing </w:t>
      </w:r>
    </w:p>
    <w:p w:rsidR="00583B69" w:rsidRPr="00D968DB" w:rsidRDefault="00583B69"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Following the LBN’s local plan</w:t>
      </w:r>
      <w:r w:rsidR="00AD4295" w:rsidRPr="00D968DB">
        <w:rPr>
          <w:rFonts w:ascii="Foundry Form Sans" w:hAnsi="Foundry Form Sans" w:cs="Arial"/>
          <w:lang w:eastAsia="en-GB"/>
        </w:rPr>
        <w:t>, t</w:t>
      </w:r>
      <w:r w:rsidR="00D94F7B" w:rsidRPr="00D968DB">
        <w:rPr>
          <w:rFonts w:ascii="Foundry Form Sans" w:hAnsi="Foundry Form Sans" w:cs="Arial"/>
          <w:lang w:eastAsia="en-GB"/>
        </w:rPr>
        <w:t xml:space="preserve">he </w:t>
      </w:r>
      <w:r w:rsidR="00FE52A4" w:rsidRPr="00D968DB">
        <w:rPr>
          <w:rFonts w:ascii="Foundry Form Sans" w:hAnsi="Foundry Form Sans" w:cs="Arial"/>
          <w:lang w:eastAsia="en-GB"/>
        </w:rPr>
        <w:t xml:space="preserve">affordable homes are </w:t>
      </w:r>
      <w:r w:rsidR="00D94F7B" w:rsidRPr="00D968DB">
        <w:rPr>
          <w:rFonts w:ascii="Foundry Form Sans" w:hAnsi="Foundry Form Sans" w:cs="Arial"/>
          <w:lang w:eastAsia="en-GB"/>
        </w:rPr>
        <w:t>to be</w:t>
      </w:r>
      <w:r w:rsidR="00084D7A" w:rsidRPr="00D968DB">
        <w:rPr>
          <w:rFonts w:ascii="Foundry Form Sans" w:hAnsi="Foundry Form Sans" w:cs="Arial"/>
          <w:lang w:eastAsia="en-GB"/>
        </w:rPr>
        <w:t xml:space="preserve"> provided with an appropriate </w:t>
      </w:r>
      <w:r w:rsidR="00D94F7B" w:rsidRPr="00D968DB">
        <w:rPr>
          <w:rFonts w:ascii="Foundry Form Sans" w:hAnsi="Foundry Form Sans" w:cs="Arial"/>
          <w:lang w:eastAsia="en-GB"/>
        </w:rPr>
        <w:t>range</w:t>
      </w:r>
      <w:r w:rsidR="00A7799C" w:rsidRPr="00D968DB">
        <w:rPr>
          <w:rFonts w:ascii="Foundry Form Sans" w:hAnsi="Foundry Form Sans" w:cs="Arial"/>
          <w:lang w:eastAsia="en-GB"/>
        </w:rPr>
        <w:t xml:space="preserve"> of</w:t>
      </w:r>
      <w:r w:rsidR="00D94F7B" w:rsidRPr="00D968DB">
        <w:rPr>
          <w:rFonts w:ascii="Foundry Form Sans" w:hAnsi="Foundry Form Sans" w:cs="Arial"/>
          <w:lang w:eastAsia="en-GB"/>
        </w:rPr>
        <w:t xml:space="preserve"> sizes</w:t>
      </w:r>
      <w:r w:rsidR="00FE52A4" w:rsidRPr="00D968DB">
        <w:rPr>
          <w:rFonts w:ascii="Foundry Form Sans" w:hAnsi="Foundry Form Sans" w:cs="Arial"/>
          <w:lang w:eastAsia="en-GB"/>
        </w:rPr>
        <w:t>.</w:t>
      </w:r>
      <w:r w:rsidR="00D94F7B" w:rsidRPr="00D968DB">
        <w:rPr>
          <w:rFonts w:ascii="Foundry Form Sans" w:hAnsi="Foundry Form Sans" w:cs="Arial"/>
          <w:lang w:eastAsia="en-GB"/>
        </w:rPr>
        <w:t xml:space="preserve"> </w:t>
      </w:r>
    </w:p>
    <w:p w:rsidR="00583B69" w:rsidRDefault="00583B69"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Developers should provide</w:t>
      </w:r>
      <w:r w:rsidR="00D94F7B" w:rsidRPr="00D968DB">
        <w:rPr>
          <w:rFonts w:ascii="Foundry Form Sans" w:hAnsi="Foundry Form Sans" w:cs="Arial"/>
          <w:lang w:eastAsia="en-GB"/>
        </w:rPr>
        <w:t xml:space="preserve"> </w:t>
      </w:r>
      <w:r w:rsidR="00762559" w:rsidRPr="00D968DB">
        <w:rPr>
          <w:rFonts w:ascii="Foundry Form Sans" w:hAnsi="Foundry Form Sans" w:cs="Arial"/>
          <w:lang w:eastAsia="en-GB"/>
        </w:rPr>
        <w:t>3</w:t>
      </w:r>
      <w:r w:rsidR="007F1A91">
        <w:rPr>
          <w:rFonts w:ascii="Foundry Form Sans" w:hAnsi="Foundry Form Sans" w:cs="Arial"/>
          <w:lang w:eastAsia="en-GB"/>
        </w:rPr>
        <w:t>0</w:t>
      </w:r>
      <w:r w:rsidR="00762559" w:rsidRPr="00D968DB">
        <w:rPr>
          <w:rFonts w:ascii="Foundry Form Sans" w:hAnsi="Foundry Form Sans" w:cs="Arial"/>
          <w:lang w:eastAsia="en-GB"/>
        </w:rPr>
        <w:t>%</w:t>
      </w:r>
      <w:r w:rsidR="00D94F7B" w:rsidRPr="00D968DB">
        <w:rPr>
          <w:rFonts w:ascii="Foundry Form Sans" w:hAnsi="Foundry Form Sans" w:cs="Arial"/>
          <w:lang w:eastAsia="en-GB"/>
        </w:rPr>
        <w:t xml:space="preserve"> family housing </w:t>
      </w:r>
      <w:r w:rsidR="00C17FF4">
        <w:rPr>
          <w:rFonts w:ascii="Foundry Form Sans" w:hAnsi="Foundry Form Sans" w:cs="Arial"/>
          <w:lang w:eastAsia="en-GB"/>
        </w:rPr>
        <w:t xml:space="preserve">across all tenures </w:t>
      </w:r>
      <w:r w:rsidR="00D94F7B" w:rsidRPr="00D968DB">
        <w:rPr>
          <w:rFonts w:ascii="Foundry Form Sans" w:hAnsi="Foundry Form Sans" w:cs="Arial"/>
          <w:lang w:eastAsia="en-GB"/>
        </w:rPr>
        <w:t>in line with the requi</w:t>
      </w:r>
      <w:r w:rsidR="00A7799C" w:rsidRPr="00D968DB">
        <w:rPr>
          <w:rFonts w:ascii="Foundry Form Sans" w:hAnsi="Foundry Form Sans" w:cs="Arial"/>
          <w:lang w:eastAsia="en-GB"/>
        </w:rPr>
        <w:t xml:space="preserve">red </w:t>
      </w:r>
      <w:r w:rsidR="00981A20" w:rsidRPr="00D968DB">
        <w:rPr>
          <w:rFonts w:ascii="Foundry Form Sans" w:hAnsi="Foundry Form Sans" w:cs="Arial"/>
          <w:lang w:eastAsia="en-GB"/>
        </w:rPr>
        <w:t xml:space="preserve">Local Plan Policy and </w:t>
      </w:r>
      <w:r w:rsidR="00A7799C" w:rsidRPr="00D968DB">
        <w:rPr>
          <w:rFonts w:ascii="Foundry Form Sans" w:hAnsi="Foundry Form Sans" w:cs="Arial"/>
          <w:lang w:eastAsia="en-GB"/>
        </w:rPr>
        <w:t>mix of housing for the</w:t>
      </w:r>
      <w:r w:rsidR="007F1A91">
        <w:rPr>
          <w:rFonts w:ascii="Foundry Form Sans" w:hAnsi="Foundry Form Sans" w:cs="Arial"/>
          <w:lang w:eastAsia="en-GB"/>
        </w:rPr>
        <w:t xml:space="preserve"> Royal Albert Basin</w:t>
      </w:r>
      <w:r w:rsidR="00A7799C" w:rsidRPr="00D968DB">
        <w:rPr>
          <w:rFonts w:ascii="Foundry Form Sans" w:hAnsi="Foundry Form Sans" w:cs="Arial"/>
          <w:lang w:eastAsia="en-GB"/>
        </w:rPr>
        <w:t xml:space="preserve"> area.</w:t>
      </w:r>
      <w:r w:rsidR="00F27602" w:rsidRPr="00D968DB">
        <w:rPr>
          <w:rFonts w:ascii="Foundry Form Sans" w:hAnsi="Foundry Form Sans" w:cs="Arial"/>
          <w:lang w:eastAsia="en-GB"/>
        </w:rPr>
        <w:t xml:space="preserve">  This </w:t>
      </w:r>
      <w:r w:rsidR="00197128" w:rsidRPr="00D968DB">
        <w:rPr>
          <w:rFonts w:ascii="Foundry Form Sans" w:hAnsi="Foundry Form Sans" w:cs="Arial"/>
          <w:lang w:eastAsia="en-GB"/>
        </w:rPr>
        <w:t>is required to create</w:t>
      </w:r>
      <w:r w:rsidR="00F27602" w:rsidRPr="00D968DB">
        <w:rPr>
          <w:rFonts w:ascii="Foundry Form Sans" w:hAnsi="Foundry Form Sans" w:cs="Arial"/>
          <w:lang w:eastAsia="en-GB"/>
        </w:rPr>
        <w:t xml:space="preserve"> a ‘tenure-blind’ sustainable residential community </w:t>
      </w:r>
      <w:r w:rsidR="00BC5DE8" w:rsidRPr="00D968DB">
        <w:rPr>
          <w:rFonts w:ascii="Foundry Form Sans" w:hAnsi="Foundry Form Sans" w:cs="Arial"/>
          <w:lang w:eastAsia="en-GB"/>
        </w:rPr>
        <w:t>with an appropriate distribution of accommodation</w:t>
      </w:r>
      <w:r w:rsidR="00F27602" w:rsidRPr="00D968DB">
        <w:rPr>
          <w:rFonts w:ascii="Foundry Form Sans" w:hAnsi="Foundry Form Sans" w:cs="Arial"/>
          <w:lang w:eastAsia="en-GB"/>
        </w:rPr>
        <w:t>.</w:t>
      </w:r>
      <w:r w:rsidR="00AA1151" w:rsidRPr="00D968DB">
        <w:rPr>
          <w:rFonts w:ascii="Foundry Form Sans" w:hAnsi="Foundry Form Sans" w:cs="Arial"/>
          <w:lang w:eastAsia="en-GB"/>
        </w:rPr>
        <w:t xml:space="preserve"> </w:t>
      </w:r>
    </w:p>
    <w:p w:rsidR="001B4B7E" w:rsidRPr="00D968DB" w:rsidRDefault="001B4B7E" w:rsidP="009F133B">
      <w:pPr>
        <w:pStyle w:val="BodyText"/>
        <w:spacing w:after="120" w:line="23" w:lineRule="atLeast"/>
        <w:ind w:left="284"/>
        <w:jc w:val="both"/>
        <w:rPr>
          <w:rFonts w:ascii="Foundry Form Sans" w:hAnsi="Foundry Form Sans" w:cs="Arial"/>
          <w:lang w:eastAsia="en-GB"/>
        </w:rPr>
      </w:pPr>
    </w:p>
    <w:p w:rsidR="0020691F" w:rsidRPr="003D4D86" w:rsidRDefault="001B4B7E"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 xml:space="preserve">Delivering High Quality </w:t>
      </w:r>
      <w:r w:rsidR="00804C43" w:rsidRPr="003D4D86">
        <w:rPr>
          <w:rFonts w:ascii="Foundry Form Sans" w:hAnsi="Foundry Form Sans" w:cs="Arial"/>
          <w:b/>
          <w:lang w:eastAsia="en-GB"/>
        </w:rPr>
        <w:t xml:space="preserve">Housing </w:t>
      </w:r>
    </w:p>
    <w:p w:rsidR="00804C43" w:rsidRPr="00D968DB" w:rsidRDefault="00D94F7B"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All homes on the development </w:t>
      </w:r>
      <w:r w:rsidR="00D36CFF" w:rsidRPr="00D968DB">
        <w:rPr>
          <w:rFonts w:ascii="Foundry Form Sans" w:hAnsi="Foundry Form Sans" w:cs="Arial"/>
          <w:lang w:eastAsia="en-GB"/>
        </w:rPr>
        <w:t xml:space="preserve">should </w:t>
      </w:r>
      <w:r w:rsidRPr="00D968DB">
        <w:rPr>
          <w:rFonts w:ascii="Foundry Form Sans" w:hAnsi="Foundry Form Sans" w:cs="Arial"/>
          <w:lang w:eastAsia="en-GB"/>
        </w:rPr>
        <w:t>comply with the London Housing Design Guide</w:t>
      </w:r>
      <w:r w:rsidR="00ED6401" w:rsidRPr="00D968DB">
        <w:rPr>
          <w:rFonts w:ascii="Foundry Form Sans" w:hAnsi="Foundry Form Sans" w:cs="Arial"/>
          <w:lang w:eastAsia="en-GB"/>
        </w:rPr>
        <w:t>, reaching ‘Priority 2</w:t>
      </w:r>
      <w:r w:rsidR="001C4FC3" w:rsidRPr="00D968DB">
        <w:rPr>
          <w:rFonts w:ascii="Foundry Form Sans" w:hAnsi="Foundry Form Sans" w:cs="Arial"/>
          <w:lang w:eastAsia="en-GB"/>
        </w:rPr>
        <w:t>'</w:t>
      </w:r>
      <w:r w:rsidR="00197128" w:rsidRPr="00D968DB">
        <w:rPr>
          <w:rFonts w:ascii="Foundry Form Sans" w:hAnsi="Foundry Form Sans" w:cs="Arial"/>
          <w:lang w:eastAsia="en-GB"/>
        </w:rPr>
        <w:t xml:space="preserve"> -</w:t>
      </w:r>
      <w:r w:rsidR="00ED6401" w:rsidRPr="00D968DB">
        <w:rPr>
          <w:rFonts w:ascii="Foundry Form Sans" w:hAnsi="Foundry Form Sans" w:cs="Arial"/>
          <w:lang w:eastAsia="en-GB"/>
        </w:rPr>
        <w:t xml:space="preserve"> </w:t>
      </w:r>
      <w:r w:rsidR="00197128" w:rsidRPr="00D968DB">
        <w:rPr>
          <w:rFonts w:ascii="Foundry Form Sans" w:hAnsi="Foundry Form Sans" w:cs="Arial"/>
          <w:lang w:eastAsia="en-GB"/>
        </w:rPr>
        <w:t xml:space="preserve">(or “Good Practice” in accordance with London Plan Housing SPG, </w:t>
      </w:r>
      <w:r w:rsidR="00AD2FE8" w:rsidRPr="00D968DB">
        <w:rPr>
          <w:rFonts w:ascii="Foundry Form Sans" w:hAnsi="Foundry Form Sans" w:cs="Arial"/>
          <w:lang w:eastAsia="en-GB"/>
        </w:rPr>
        <w:t>March</w:t>
      </w:r>
      <w:r w:rsidR="00197128" w:rsidRPr="00D968DB">
        <w:rPr>
          <w:rFonts w:ascii="Foundry Form Sans" w:hAnsi="Foundry Form Sans" w:cs="Arial"/>
          <w:lang w:eastAsia="en-GB"/>
        </w:rPr>
        <w:t xml:space="preserve"> 201</w:t>
      </w:r>
      <w:r w:rsidR="00AD2FE8" w:rsidRPr="00D968DB">
        <w:rPr>
          <w:rFonts w:ascii="Foundry Form Sans" w:hAnsi="Foundry Form Sans" w:cs="Arial"/>
          <w:lang w:eastAsia="en-GB"/>
        </w:rPr>
        <w:t>6</w:t>
      </w:r>
      <w:r w:rsidR="00197128" w:rsidRPr="00D968DB">
        <w:rPr>
          <w:rFonts w:ascii="Foundry Form Sans" w:hAnsi="Foundry Form Sans" w:cs="Arial"/>
          <w:lang w:eastAsia="en-GB"/>
        </w:rPr>
        <w:t xml:space="preserve">) </w:t>
      </w:r>
      <w:r w:rsidR="00ED6401" w:rsidRPr="00D968DB">
        <w:rPr>
          <w:rFonts w:ascii="Foundry Form Sans" w:hAnsi="Foundry Form Sans" w:cs="Arial"/>
          <w:lang w:eastAsia="en-GB"/>
        </w:rPr>
        <w:t>standards</w:t>
      </w:r>
      <w:r w:rsidR="00197128" w:rsidRPr="00D968DB">
        <w:rPr>
          <w:rFonts w:ascii="Foundry Form Sans" w:hAnsi="Foundry Form Sans" w:cs="Arial"/>
          <w:lang w:eastAsia="en-GB"/>
        </w:rPr>
        <w:t xml:space="preserve">, </w:t>
      </w:r>
      <w:r w:rsidR="00ED6401" w:rsidRPr="00D968DB">
        <w:rPr>
          <w:rFonts w:ascii="Foundry Form Sans" w:hAnsi="Foundry Form Sans" w:cs="Arial"/>
          <w:lang w:eastAsia="en-GB"/>
        </w:rPr>
        <w:t>more specific housing requirements below;</w:t>
      </w:r>
      <w:r w:rsidRPr="00D968DB">
        <w:rPr>
          <w:rFonts w:ascii="Foundry Form Sans" w:hAnsi="Foundry Form Sans" w:cs="Arial"/>
          <w:lang w:eastAsia="en-GB"/>
        </w:rPr>
        <w:t xml:space="preserve"> and meet </w:t>
      </w:r>
      <w:r w:rsidR="00D76E64" w:rsidRPr="00D968DB">
        <w:rPr>
          <w:rFonts w:ascii="Foundry Form Sans" w:hAnsi="Foundry Form Sans" w:cs="Arial"/>
          <w:lang w:eastAsia="en-GB"/>
        </w:rPr>
        <w:t xml:space="preserve">the equivalent of </w:t>
      </w:r>
      <w:r w:rsidRPr="00D968DB">
        <w:rPr>
          <w:rFonts w:ascii="Foundry Form Sans" w:hAnsi="Foundry Form Sans" w:cs="Arial"/>
          <w:lang w:eastAsia="en-GB"/>
        </w:rPr>
        <w:t>Code for Sustainable Homes Level 4.</w:t>
      </w:r>
    </w:p>
    <w:p w:rsidR="006F66CA" w:rsidRPr="00D968DB" w:rsidRDefault="006F66CA" w:rsidP="009F133B">
      <w:pPr>
        <w:pStyle w:val="BodyText"/>
        <w:spacing w:after="120" w:line="23" w:lineRule="atLeast"/>
        <w:ind w:left="-436"/>
        <w:jc w:val="both"/>
        <w:rPr>
          <w:rFonts w:ascii="Foundry Form Sans" w:hAnsi="Foundry Form Sans" w:cs="Arial"/>
          <w:u w:val="single"/>
          <w:lang w:eastAsia="en-GB"/>
        </w:rPr>
      </w:pPr>
    </w:p>
    <w:p w:rsidR="00105BB4" w:rsidRPr="003D4D86" w:rsidRDefault="001B4B7E" w:rsidP="009F133B">
      <w:pPr>
        <w:pStyle w:val="BodyText"/>
        <w:spacing w:after="120" w:line="23" w:lineRule="atLeast"/>
        <w:ind w:left="284"/>
        <w:jc w:val="both"/>
        <w:rPr>
          <w:rFonts w:ascii="Foundry Form Sans" w:hAnsi="Foundry Form Sans" w:cs="Arial"/>
          <w:b/>
          <w:lang w:eastAsia="en-GB"/>
        </w:rPr>
      </w:pPr>
      <w:r w:rsidRPr="00E91D2E">
        <w:rPr>
          <w:rFonts w:ascii="Foundry Form Sans" w:hAnsi="Foundry Form Sans" w:cs="Arial"/>
          <w:b/>
          <w:lang w:eastAsia="en-GB"/>
        </w:rPr>
        <w:t xml:space="preserve">Delivering </w:t>
      </w:r>
      <w:r w:rsidRPr="003D4D86">
        <w:rPr>
          <w:rFonts w:ascii="Foundry Form Sans" w:hAnsi="Foundry Form Sans" w:cs="Arial"/>
          <w:b/>
          <w:lang w:eastAsia="en-GB"/>
        </w:rPr>
        <w:t xml:space="preserve">Strong </w:t>
      </w:r>
      <w:r w:rsidR="00105BB4" w:rsidRPr="003D4D86">
        <w:rPr>
          <w:rFonts w:ascii="Foundry Form Sans" w:hAnsi="Foundry Form Sans" w:cs="Arial"/>
          <w:b/>
          <w:lang w:eastAsia="en-GB"/>
        </w:rPr>
        <w:t>Place</w:t>
      </w:r>
      <w:r w:rsidR="00E91D2E">
        <w:rPr>
          <w:rFonts w:ascii="Foundry Form Sans" w:hAnsi="Foundry Form Sans" w:cs="Arial"/>
          <w:b/>
          <w:lang w:eastAsia="en-GB"/>
        </w:rPr>
        <w:t>-</w:t>
      </w:r>
      <w:r w:rsidR="00105BB4" w:rsidRPr="003D4D86">
        <w:rPr>
          <w:rFonts w:ascii="Foundry Form Sans" w:hAnsi="Foundry Form Sans" w:cs="Arial"/>
          <w:b/>
          <w:lang w:eastAsia="en-GB"/>
        </w:rPr>
        <w:t>making</w:t>
      </w:r>
      <w:r w:rsidRPr="00E91D2E">
        <w:rPr>
          <w:rFonts w:ascii="Foundry Form Sans" w:hAnsi="Foundry Form Sans" w:cs="Arial"/>
          <w:b/>
          <w:lang w:eastAsia="en-GB"/>
        </w:rPr>
        <w:t xml:space="preserve"> Principles</w:t>
      </w:r>
    </w:p>
    <w:p w:rsidR="00105BB4" w:rsidRPr="00D968DB" w:rsidRDefault="00105BB4" w:rsidP="009F133B">
      <w:pPr>
        <w:pStyle w:val="BodyText"/>
        <w:spacing w:after="120" w:line="23" w:lineRule="atLeast"/>
        <w:ind w:left="-436"/>
        <w:jc w:val="both"/>
        <w:rPr>
          <w:rFonts w:ascii="Foundry Form Sans" w:hAnsi="Foundry Form Sans" w:cs="Arial"/>
          <w:lang w:eastAsia="en-GB"/>
        </w:rPr>
      </w:pPr>
    </w:p>
    <w:p w:rsidR="00105BB4" w:rsidRPr="00D968DB" w:rsidRDefault="00105BB4"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An important objective is to knit together the remaining development sites in the area to the surrounding community, allowing for the </w:t>
      </w:r>
      <w:r w:rsidR="001B4B7E">
        <w:rPr>
          <w:rFonts w:ascii="Foundry Form Sans" w:hAnsi="Foundry Form Sans" w:cs="Arial"/>
          <w:lang w:eastAsia="en-GB"/>
        </w:rPr>
        <w:t>commercial</w:t>
      </w:r>
      <w:r w:rsidRPr="00D968DB">
        <w:rPr>
          <w:rFonts w:ascii="Foundry Form Sans" w:hAnsi="Foundry Form Sans" w:cs="Arial"/>
          <w:lang w:eastAsia="en-GB"/>
        </w:rPr>
        <w:t xml:space="preserve"> locations to function, and improving access and enjoyment of the river. The land to the north of the </w:t>
      </w:r>
      <w:r w:rsidR="00514E0E">
        <w:rPr>
          <w:rFonts w:ascii="Foundry Form Sans" w:hAnsi="Foundry Form Sans" w:cs="Arial"/>
          <w:lang w:eastAsia="en-GB"/>
        </w:rPr>
        <w:t>Site</w:t>
      </w:r>
      <w:r w:rsidR="006E2E3D">
        <w:rPr>
          <w:rFonts w:ascii="Foundry Form Sans" w:hAnsi="Foundry Form Sans" w:cs="Arial"/>
          <w:lang w:eastAsia="en-GB"/>
        </w:rPr>
        <w:t xml:space="preserve"> (including the Temporary Open Space Land)</w:t>
      </w:r>
      <w:r w:rsidR="00114894">
        <w:rPr>
          <w:rFonts w:ascii="Foundry Form Sans" w:hAnsi="Foundry Form Sans" w:cs="Arial"/>
          <w:lang w:eastAsia="en-GB"/>
        </w:rPr>
        <w:t xml:space="preserve"> (see annex B</w:t>
      </w:r>
      <w:r w:rsidRPr="00D968DB">
        <w:rPr>
          <w:rFonts w:ascii="Foundry Form Sans" w:hAnsi="Foundry Form Sans" w:cs="Arial"/>
          <w:lang w:eastAsia="en-GB"/>
        </w:rPr>
        <w:t>1), is safeguarded for the construction works associated with the Gallions</w:t>
      </w:r>
      <w:r w:rsidR="003820BE" w:rsidRPr="003820BE">
        <w:rPr>
          <w:rFonts w:ascii="Foundry Form Sans" w:hAnsi="Foundry Form Sans" w:cs="Arial"/>
        </w:rPr>
        <w:t xml:space="preserve"> </w:t>
      </w:r>
      <w:r w:rsidR="003820BE" w:rsidRPr="00D968DB">
        <w:rPr>
          <w:rFonts w:ascii="Foundry Form Sans" w:hAnsi="Foundry Form Sans" w:cs="Arial"/>
        </w:rPr>
        <w:t>Thames River Crossing</w:t>
      </w:r>
      <w:r w:rsidRPr="00D968DB">
        <w:rPr>
          <w:rFonts w:ascii="Foundry Form Sans" w:hAnsi="Foundry Form Sans" w:cs="Arial"/>
          <w:lang w:eastAsia="en-GB"/>
        </w:rPr>
        <w:t xml:space="preserve">, should it come forward. </w:t>
      </w:r>
    </w:p>
    <w:p w:rsidR="00D92038" w:rsidRDefault="006E4697"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T</w:t>
      </w:r>
      <w:r w:rsidR="00105BB4" w:rsidRPr="00D968DB">
        <w:rPr>
          <w:rFonts w:ascii="Foundry Form Sans" w:hAnsi="Foundry Form Sans" w:cs="Arial"/>
          <w:lang w:eastAsia="en-GB"/>
        </w:rPr>
        <w:t xml:space="preserve">his procurement includes a portion of what is currently Armada Green amenity space. </w:t>
      </w:r>
      <w:r w:rsidR="00BC2B99">
        <w:rPr>
          <w:rFonts w:ascii="Foundry Form Sans" w:hAnsi="Foundry Form Sans" w:cs="Arial"/>
          <w:lang w:eastAsia="en-GB"/>
        </w:rPr>
        <w:t xml:space="preserve">The GLA is </w:t>
      </w:r>
      <w:r w:rsidR="00105BB4" w:rsidRPr="00D968DB">
        <w:rPr>
          <w:rFonts w:ascii="Foundry Form Sans" w:hAnsi="Foundry Form Sans" w:cs="Arial"/>
          <w:lang w:eastAsia="en-GB"/>
        </w:rPr>
        <w:t xml:space="preserve">also </w:t>
      </w:r>
      <w:r w:rsidR="00BC2B99" w:rsidRPr="00D968DB">
        <w:rPr>
          <w:rFonts w:ascii="Foundry Form Sans" w:hAnsi="Foundry Form Sans" w:cs="Arial"/>
          <w:lang w:eastAsia="en-GB"/>
        </w:rPr>
        <w:t>including</w:t>
      </w:r>
      <w:r w:rsidR="00BC2B99">
        <w:rPr>
          <w:rFonts w:ascii="Foundry Form Sans" w:hAnsi="Foundry Form Sans" w:cs="Arial"/>
          <w:lang w:eastAsia="en-GB"/>
        </w:rPr>
        <w:t xml:space="preserve"> the Temporary Open Space Land (being </w:t>
      </w:r>
      <w:r w:rsidR="00105BB4" w:rsidRPr="00D968DB">
        <w:rPr>
          <w:rFonts w:ascii="Foundry Form Sans" w:hAnsi="Foundry Form Sans" w:cs="Arial"/>
          <w:lang w:eastAsia="en-GB"/>
        </w:rPr>
        <w:t>a further portion of Armada 2</w:t>
      </w:r>
      <w:r w:rsidR="00BC2B99">
        <w:rPr>
          <w:rFonts w:ascii="Foundry Form Sans" w:hAnsi="Foundry Form Sans" w:cs="Arial"/>
          <w:lang w:eastAsia="en-GB"/>
        </w:rPr>
        <w:t>)</w:t>
      </w:r>
      <w:r w:rsidR="00105BB4" w:rsidRPr="00D968DB">
        <w:rPr>
          <w:rFonts w:ascii="Foundry Form Sans" w:hAnsi="Foundry Form Sans" w:cs="Arial"/>
          <w:lang w:eastAsia="en-GB"/>
        </w:rPr>
        <w:t xml:space="preserve"> on a leasehold basis for landscaping and to improve the appearance of the area as well as replacing lost open space.</w:t>
      </w:r>
      <w:r w:rsidR="00D92038" w:rsidRPr="00D968DB">
        <w:rPr>
          <w:rFonts w:ascii="Foundry Form Sans" w:hAnsi="Foundry Form Sans" w:cs="Arial"/>
          <w:lang w:eastAsia="en-GB"/>
        </w:rPr>
        <w:t xml:space="preserve"> </w:t>
      </w:r>
      <w:r w:rsidR="00C91347">
        <w:rPr>
          <w:rFonts w:ascii="Foundry Form Sans" w:hAnsi="Foundry Form Sans" w:cs="Arial"/>
          <w:lang w:eastAsia="en-GB"/>
        </w:rPr>
        <w:t>Bidders will need to provide p</w:t>
      </w:r>
      <w:r w:rsidR="00D92038" w:rsidRPr="00D968DB">
        <w:rPr>
          <w:rFonts w:ascii="Foundry Form Sans" w:hAnsi="Foundry Form Sans" w:cs="Arial"/>
          <w:lang w:eastAsia="en-GB"/>
        </w:rPr>
        <w:t xml:space="preserve">roposals for a temporary park/open space </w:t>
      </w:r>
      <w:r w:rsidR="00C91347">
        <w:rPr>
          <w:rFonts w:ascii="Foundry Form Sans" w:hAnsi="Foundry Form Sans" w:cs="Arial"/>
          <w:lang w:eastAsia="en-GB"/>
        </w:rPr>
        <w:t xml:space="preserve">on the Temporary Open Space Land that </w:t>
      </w:r>
      <w:r w:rsidR="00D92038" w:rsidRPr="00D968DB">
        <w:rPr>
          <w:rFonts w:ascii="Foundry Form Sans" w:hAnsi="Foundry Form Sans" w:cs="Arial"/>
          <w:lang w:eastAsia="en-GB"/>
        </w:rPr>
        <w:t>will be maintainable as part of the estate</w:t>
      </w:r>
      <w:r w:rsidRPr="00D968DB">
        <w:rPr>
          <w:rFonts w:ascii="Foundry Form Sans" w:hAnsi="Foundry Form Sans" w:cs="Arial"/>
          <w:lang w:eastAsia="en-GB"/>
        </w:rPr>
        <w:t xml:space="preserve"> at nil cost to the GLA, </w:t>
      </w:r>
      <w:r w:rsidR="00D92038" w:rsidRPr="00D968DB">
        <w:rPr>
          <w:rFonts w:ascii="Foundry Form Sans" w:hAnsi="Foundry Form Sans" w:cs="Arial"/>
          <w:lang w:eastAsia="en-GB"/>
        </w:rPr>
        <w:t>for 5 years</w:t>
      </w:r>
      <w:r w:rsidR="007F1A91">
        <w:rPr>
          <w:rFonts w:ascii="Foundry Form Sans" w:hAnsi="Foundry Form Sans" w:cs="Arial"/>
          <w:lang w:eastAsia="en-GB"/>
        </w:rPr>
        <w:t xml:space="preserve"> from practical completion</w:t>
      </w:r>
      <w:r w:rsidR="00D92038" w:rsidRPr="00D968DB">
        <w:rPr>
          <w:rFonts w:ascii="Foundry Form Sans" w:hAnsi="Foundry Form Sans" w:cs="Arial"/>
          <w:lang w:eastAsia="en-GB"/>
        </w:rPr>
        <w:t>,</w:t>
      </w:r>
      <w:r w:rsidRPr="00D968DB">
        <w:rPr>
          <w:rFonts w:ascii="Foundry Form Sans" w:hAnsi="Foundry Form Sans" w:cs="Arial"/>
          <w:lang w:eastAsia="en-GB"/>
        </w:rPr>
        <w:t xml:space="preserve"> </w:t>
      </w:r>
      <w:r w:rsidR="00952192" w:rsidRPr="00D968DB">
        <w:rPr>
          <w:rFonts w:ascii="Foundry Form Sans" w:hAnsi="Foundry Form Sans" w:cs="Arial"/>
          <w:lang w:eastAsia="en-GB"/>
        </w:rPr>
        <w:t xml:space="preserve">and on a rolling basis following </w:t>
      </w:r>
      <w:r w:rsidR="00D52525" w:rsidRPr="00D968DB">
        <w:rPr>
          <w:rFonts w:ascii="Foundry Form Sans" w:hAnsi="Foundry Form Sans" w:cs="Arial"/>
          <w:lang w:eastAsia="en-GB"/>
        </w:rPr>
        <w:t xml:space="preserve">this. </w:t>
      </w:r>
      <w:r w:rsidR="00770481">
        <w:rPr>
          <w:rFonts w:ascii="Foundry Form Sans" w:hAnsi="Foundry Form Sans" w:cs="Arial"/>
          <w:lang w:eastAsia="en-GB"/>
        </w:rPr>
        <w:t>The GLA</w:t>
      </w:r>
      <w:r w:rsidR="00D52525" w:rsidRPr="00D968DB">
        <w:rPr>
          <w:rFonts w:ascii="Foundry Form Sans" w:hAnsi="Foundry Form Sans" w:cs="Arial"/>
          <w:lang w:eastAsia="en-GB"/>
        </w:rPr>
        <w:t xml:space="preserve"> will require </w:t>
      </w:r>
      <w:r w:rsidR="00952192" w:rsidRPr="00D968DB">
        <w:rPr>
          <w:rFonts w:ascii="Foundry Form Sans" w:hAnsi="Foundry Form Sans" w:cs="Arial"/>
          <w:lang w:eastAsia="en-GB"/>
        </w:rPr>
        <w:t xml:space="preserve">that a </w:t>
      </w:r>
      <w:r w:rsidR="00D52525" w:rsidRPr="00D968DB">
        <w:rPr>
          <w:rFonts w:ascii="Foundry Form Sans" w:hAnsi="Foundry Form Sans" w:cs="Arial"/>
          <w:lang w:eastAsia="en-GB"/>
        </w:rPr>
        <w:t xml:space="preserve">limited </w:t>
      </w:r>
      <w:r w:rsidRPr="00D968DB">
        <w:rPr>
          <w:rFonts w:ascii="Foundry Form Sans" w:hAnsi="Foundry Form Sans" w:cs="Arial"/>
          <w:lang w:eastAsia="en-GB"/>
        </w:rPr>
        <w:t xml:space="preserve">maintenance </w:t>
      </w:r>
      <w:r w:rsidR="00952192" w:rsidRPr="00D968DB">
        <w:rPr>
          <w:rFonts w:ascii="Foundry Form Sans" w:hAnsi="Foundry Form Sans" w:cs="Arial"/>
          <w:lang w:eastAsia="en-GB"/>
        </w:rPr>
        <w:t xml:space="preserve">budget will be </w:t>
      </w:r>
      <w:r w:rsidRPr="00D968DB">
        <w:rPr>
          <w:rFonts w:ascii="Foundry Form Sans" w:hAnsi="Foundry Form Sans" w:cs="Arial"/>
          <w:lang w:eastAsia="en-GB"/>
        </w:rPr>
        <w:t xml:space="preserve">provided for a further </w:t>
      </w:r>
      <w:r w:rsidR="00D52525" w:rsidRPr="00D968DB">
        <w:rPr>
          <w:rFonts w:ascii="Foundry Form Sans" w:hAnsi="Foundry Form Sans" w:cs="Arial"/>
          <w:lang w:eastAsia="en-GB"/>
        </w:rPr>
        <w:t>10</w:t>
      </w:r>
      <w:r w:rsidRPr="00D968DB">
        <w:rPr>
          <w:rFonts w:ascii="Foundry Form Sans" w:hAnsi="Foundry Form Sans" w:cs="Arial"/>
          <w:lang w:eastAsia="en-GB"/>
        </w:rPr>
        <w:t xml:space="preserve"> years </w:t>
      </w:r>
      <w:r w:rsidR="00B003F0" w:rsidRPr="00D968DB">
        <w:rPr>
          <w:rFonts w:ascii="Foundry Form Sans" w:hAnsi="Foundry Form Sans" w:cs="Arial"/>
          <w:lang w:eastAsia="en-GB"/>
        </w:rPr>
        <w:t>following</w:t>
      </w:r>
      <w:r w:rsidR="00952192" w:rsidRPr="00D968DB">
        <w:rPr>
          <w:rFonts w:ascii="Foundry Form Sans" w:hAnsi="Foundry Form Sans" w:cs="Arial"/>
          <w:lang w:eastAsia="en-GB"/>
        </w:rPr>
        <w:t xml:space="preserve"> the initial 5 year period. </w:t>
      </w:r>
      <w:r w:rsidR="00D52525" w:rsidRPr="00D968DB">
        <w:rPr>
          <w:rFonts w:ascii="Foundry Form Sans" w:hAnsi="Foundry Form Sans" w:cs="Arial"/>
          <w:lang w:eastAsia="en-GB"/>
        </w:rPr>
        <w:t>T</w:t>
      </w:r>
      <w:r w:rsidR="00952192" w:rsidRPr="00D968DB">
        <w:rPr>
          <w:rFonts w:ascii="Foundry Form Sans" w:hAnsi="Foundry Form Sans" w:cs="Arial"/>
          <w:lang w:eastAsia="en-GB"/>
        </w:rPr>
        <w:t>he</w:t>
      </w:r>
      <w:r w:rsidR="00B003F0" w:rsidRPr="00D968DB">
        <w:rPr>
          <w:rFonts w:ascii="Foundry Form Sans" w:hAnsi="Foundry Form Sans" w:cs="Arial"/>
          <w:lang w:eastAsia="en-GB"/>
        </w:rPr>
        <w:t xml:space="preserve"> revenue required for</w:t>
      </w:r>
      <w:r w:rsidR="00952192" w:rsidRPr="00D968DB">
        <w:rPr>
          <w:rFonts w:ascii="Foundry Form Sans" w:hAnsi="Foundry Form Sans" w:cs="Arial"/>
          <w:lang w:eastAsia="en-GB"/>
        </w:rPr>
        <w:t xml:space="preserve"> this </w:t>
      </w:r>
      <w:r w:rsidR="00D52525" w:rsidRPr="00D968DB">
        <w:rPr>
          <w:rFonts w:ascii="Foundry Form Sans" w:hAnsi="Foundry Form Sans" w:cs="Arial"/>
          <w:lang w:eastAsia="en-GB"/>
        </w:rPr>
        <w:t xml:space="preserve">15 </w:t>
      </w:r>
      <w:r w:rsidR="00952192" w:rsidRPr="00D968DB">
        <w:rPr>
          <w:rFonts w:ascii="Foundry Form Sans" w:hAnsi="Foundry Form Sans" w:cs="Arial"/>
          <w:lang w:eastAsia="en-GB"/>
        </w:rPr>
        <w:t xml:space="preserve">years of </w:t>
      </w:r>
      <w:r w:rsidR="00B003F0" w:rsidRPr="00D968DB">
        <w:rPr>
          <w:rFonts w:ascii="Foundry Form Sans" w:hAnsi="Foundry Form Sans" w:cs="Arial"/>
          <w:lang w:eastAsia="en-GB"/>
        </w:rPr>
        <w:t>maintenance wi</w:t>
      </w:r>
      <w:r w:rsidR="00952192" w:rsidRPr="00D968DB">
        <w:rPr>
          <w:rFonts w:ascii="Foundry Form Sans" w:hAnsi="Foundry Form Sans" w:cs="Arial"/>
          <w:lang w:eastAsia="en-GB"/>
        </w:rPr>
        <w:t>ll</w:t>
      </w:r>
      <w:r w:rsidR="00D52525" w:rsidRPr="00D968DB">
        <w:rPr>
          <w:rFonts w:ascii="Foundry Form Sans" w:hAnsi="Foundry Form Sans" w:cs="Arial"/>
          <w:lang w:eastAsia="en-GB"/>
        </w:rPr>
        <w:t xml:space="preserve"> be</w:t>
      </w:r>
      <w:r w:rsidR="00952192" w:rsidRPr="00D968DB">
        <w:rPr>
          <w:rFonts w:ascii="Foundry Form Sans" w:hAnsi="Foundry Form Sans" w:cs="Arial"/>
          <w:lang w:eastAsia="en-GB"/>
        </w:rPr>
        <w:t xml:space="preserve"> set out as a separate budget line in the appraisal and will be held in an Escrow account </w:t>
      </w:r>
      <w:r w:rsidR="007F1A91">
        <w:rPr>
          <w:rFonts w:ascii="Foundry Form Sans" w:hAnsi="Foundry Form Sans" w:cs="Arial"/>
          <w:lang w:eastAsia="en-GB"/>
        </w:rPr>
        <w:t xml:space="preserve">(or similar) </w:t>
      </w:r>
      <w:r w:rsidR="00952192" w:rsidRPr="00D968DB">
        <w:rPr>
          <w:rFonts w:ascii="Foundry Form Sans" w:hAnsi="Foundry Form Sans" w:cs="Arial"/>
          <w:lang w:eastAsia="en-GB"/>
        </w:rPr>
        <w:t xml:space="preserve">to ensure its investment in the </w:t>
      </w:r>
      <w:r w:rsidR="00770481">
        <w:rPr>
          <w:rFonts w:ascii="Foundry Form Sans" w:hAnsi="Foundry Form Sans" w:cs="Arial"/>
          <w:lang w:eastAsia="en-GB"/>
        </w:rPr>
        <w:t>Temporary Open Space Land</w:t>
      </w:r>
      <w:r w:rsidR="00952192" w:rsidRPr="00D968DB">
        <w:rPr>
          <w:rFonts w:ascii="Foundry Form Sans" w:hAnsi="Foundry Form Sans" w:cs="Arial"/>
          <w:lang w:eastAsia="en-GB"/>
        </w:rPr>
        <w:t>.</w:t>
      </w:r>
      <w:r w:rsidR="006E2E3D">
        <w:rPr>
          <w:rFonts w:ascii="Foundry Form Sans" w:hAnsi="Foundry Form Sans" w:cs="Arial"/>
          <w:lang w:eastAsia="en-GB"/>
        </w:rPr>
        <w:t xml:space="preserve">  As noted in  paragraph 4.3.4 below, the GLA intends to grant to the preferred development partner a lease of </w:t>
      </w:r>
      <w:r w:rsidR="006E2E3D" w:rsidRPr="007F1A91">
        <w:rPr>
          <w:rFonts w:ascii="Foundry Form Sans" w:hAnsi="Foundry Form Sans" w:cs="Arial"/>
        </w:rPr>
        <w:t xml:space="preserve">the </w:t>
      </w:r>
      <w:r w:rsidR="006E2E3D">
        <w:rPr>
          <w:rFonts w:ascii="Foundry Form Sans" w:hAnsi="Foundry Form Sans" w:cs="Arial"/>
        </w:rPr>
        <w:t xml:space="preserve">Temporary Open Space Land </w:t>
      </w:r>
      <w:r w:rsidR="006E2E3D" w:rsidRPr="007F1A91">
        <w:rPr>
          <w:rFonts w:ascii="Foundry Form Sans" w:hAnsi="Foundry Form Sans" w:cs="Arial"/>
        </w:rPr>
        <w:t>for a term of 15years, terminable in the event of either grant of planning for a bridge crossing, or the release of the safeguarded area</w:t>
      </w:r>
      <w:r w:rsidR="006E2E3D">
        <w:rPr>
          <w:rFonts w:ascii="Foundry Form Sans" w:hAnsi="Foundry Form Sans" w:cs="Arial"/>
        </w:rPr>
        <w:t xml:space="preserve">. </w:t>
      </w:r>
    </w:p>
    <w:p w:rsidR="00105BB4" w:rsidRPr="00D968DB" w:rsidRDefault="00105BB4"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Permanent proposals for the </w:t>
      </w:r>
      <w:r w:rsidR="00514E0E">
        <w:rPr>
          <w:rFonts w:ascii="Foundry Form Sans" w:hAnsi="Foundry Form Sans" w:cs="Arial"/>
          <w:lang w:eastAsia="en-GB"/>
        </w:rPr>
        <w:t>Site</w:t>
      </w:r>
      <w:r w:rsidRPr="00D968DB">
        <w:rPr>
          <w:rFonts w:ascii="Foundry Form Sans" w:hAnsi="Foundry Form Sans" w:cs="Arial"/>
          <w:lang w:eastAsia="en-GB"/>
        </w:rPr>
        <w:t>, and temporary use of the safeguarded site will need to be designed in a way that flexibly integrates with any future use, and act as a buffer</w:t>
      </w:r>
      <w:r w:rsidR="002D37A1">
        <w:rPr>
          <w:rFonts w:ascii="Foundry Form Sans" w:hAnsi="Foundry Form Sans" w:cs="Arial"/>
          <w:lang w:eastAsia="en-GB"/>
        </w:rPr>
        <w:t xml:space="preserve"> to the proposed new river crossing</w:t>
      </w:r>
      <w:r w:rsidRPr="00D968DB">
        <w:rPr>
          <w:rFonts w:ascii="Foundry Form Sans" w:hAnsi="Foundry Form Sans" w:cs="Arial"/>
          <w:lang w:eastAsia="en-GB"/>
        </w:rPr>
        <w:t xml:space="preserve"> if appropriate.  </w:t>
      </w:r>
    </w:p>
    <w:p w:rsidR="00105BB4" w:rsidRPr="00D968DB" w:rsidRDefault="00105BB4" w:rsidP="009F133B">
      <w:pPr>
        <w:pStyle w:val="BodyText"/>
        <w:spacing w:after="120" w:line="23" w:lineRule="atLeast"/>
        <w:ind w:left="284"/>
        <w:jc w:val="both"/>
        <w:rPr>
          <w:rFonts w:ascii="Foundry Form Sans" w:hAnsi="Foundry Form Sans" w:cs="Arial"/>
          <w:u w:val="single"/>
          <w:lang w:eastAsia="en-GB"/>
        </w:rPr>
      </w:pPr>
    </w:p>
    <w:p w:rsidR="00E42838" w:rsidRPr="003D4D86" w:rsidRDefault="001B4B7E"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 xml:space="preserve">Providing an Effective </w:t>
      </w:r>
      <w:r w:rsidR="00D94F7B" w:rsidRPr="003D4D86">
        <w:rPr>
          <w:rFonts w:ascii="Foundry Form Sans" w:hAnsi="Foundry Form Sans" w:cs="Arial"/>
          <w:b/>
          <w:lang w:eastAsia="en-GB"/>
        </w:rPr>
        <w:t xml:space="preserve">Long Term Management </w:t>
      </w:r>
      <w:r w:rsidRPr="00E91D2E">
        <w:rPr>
          <w:rFonts w:ascii="Foundry Form Sans" w:hAnsi="Foundry Form Sans" w:cs="Arial"/>
          <w:b/>
          <w:lang w:eastAsia="en-GB"/>
        </w:rPr>
        <w:t>Strategy</w:t>
      </w:r>
    </w:p>
    <w:p w:rsidR="00E42838" w:rsidRDefault="00546AB2"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S</w:t>
      </w:r>
      <w:r w:rsidR="008347ED" w:rsidRPr="00D968DB">
        <w:rPr>
          <w:rFonts w:ascii="Foundry Form Sans" w:hAnsi="Foundry Form Sans" w:cs="Arial"/>
          <w:lang w:eastAsia="en-GB"/>
        </w:rPr>
        <w:t>ubmissions should</w:t>
      </w:r>
      <w:r w:rsidR="00FB7B6C" w:rsidRPr="00D968DB">
        <w:rPr>
          <w:rFonts w:ascii="Foundry Form Sans" w:hAnsi="Foundry Form Sans" w:cs="Arial"/>
          <w:lang w:eastAsia="en-GB"/>
        </w:rPr>
        <w:t xml:space="preserve"> </w:t>
      </w:r>
      <w:r w:rsidR="00E04819" w:rsidRPr="00D968DB">
        <w:rPr>
          <w:rFonts w:ascii="Foundry Form Sans" w:hAnsi="Foundry Form Sans" w:cs="Arial"/>
          <w:lang w:eastAsia="en-GB"/>
        </w:rPr>
        <w:t xml:space="preserve">demonstrate </w:t>
      </w:r>
      <w:r w:rsidR="0097390C" w:rsidRPr="00D968DB">
        <w:rPr>
          <w:rFonts w:ascii="Foundry Form Sans" w:hAnsi="Foundry Form Sans" w:cs="Arial"/>
          <w:lang w:eastAsia="en-GB"/>
        </w:rPr>
        <w:t xml:space="preserve">the provision of </w:t>
      </w:r>
      <w:r w:rsidR="001952D6" w:rsidRPr="00D968DB">
        <w:rPr>
          <w:rFonts w:ascii="Foundry Form Sans" w:hAnsi="Foundry Form Sans" w:cs="Arial"/>
          <w:lang w:eastAsia="en-GB"/>
        </w:rPr>
        <w:t>high-</w:t>
      </w:r>
      <w:r w:rsidR="00D94F7B" w:rsidRPr="00D968DB">
        <w:rPr>
          <w:rFonts w:ascii="Foundry Form Sans" w:hAnsi="Foundry Form Sans" w:cs="Arial"/>
          <w:lang w:eastAsia="en-GB"/>
        </w:rPr>
        <w:t>quality and efficien</w:t>
      </w:r>
      <w:r w:rsidR="00BA2E18" w:rsidRPr="00D968DB">
        <w:rPr>
          <w:rFonts w:ascii="Foundry Form Sans" w:hAnsi="Foundry Form Sans" w:cs="Arial"/>
          <w:lang w:eastAsia="en-GB"/>
        </w:rPr>
        <w:t>t long</w:t>
      </w:r>
      <w:r w:rsidR="00616BFA">
        <w:rPr>
          <w:rFonts w:ascii="Foundry Form Sans" w:hAnsi="Foundry Form Sans" w:cs="Arial"/>
          <w:lang w:eastAsia="en-GB"/>
        </w:rPr>
        <w:t xml:space="preserve"> </w:t>
      </w:r>
      <w:r w:rsidR="00BA2E18" w:rsidRPr="00D968DB">
        <w:rPr>
          <w:rFonts w:ascii="Foundry Form Sans" w:hAnsi="Foundry Form Sans" w:cs="Arial"/>
          <w:lang w:eastAsia="en-GB"/>
        </w:rPr>
        <w:t>term management</w:t>
      </w:r>
      <w:r w:rsidR="00FB7B6C" w:rsidRPr="00D968DB">
        <w:rPr>
          <w:rFonts w:ascii="Foundry Form Sans" w:hAnsi="Foundry Form Sans" w:cs="Arial"/>
          <w:lang w:eastAsia="en-GB"/>
        </w:rPr>
        <w:t xml:space="preserve">, </w:t>
      </w:r>
      <w:r w:rsidR="001C7DE3" w:rsidRPr="00D968DB">
        <w:rPr>
          <w:rFonts w:ascii="Foundry Form Sans" w:hAnsi="Foundry Form Sans" w:cs="Arial"/>
          <w:lang w:eastAsia="en-GB"/>
        </w:rPr>
        <w:t>embodying any suitable long term rental standards</w:t>
      </w:r>
      <w:r w:rsidR="00B819C0" w:rsidRPr="00D968DB">
        <w:rPr>
          <w:rFonts w:ascii="Foundry Form Sans" w:hAnsi="Foundry Form Sans" w:cs="Arial"/>
          <w:lang w:eastAsia="en-GB"/>
        </w:rPr>
        <w:t xml:space="preserve"> if applicable</w:t>
      </w:r>
      <w:r w:rsidR="00297CE7" w:rsidRPr="00D968DB">
        <w:rPr>
          <w:rFonts w:ascii="Foundry Form Sans" w:hAnsi="Foundry Form Sans" w:cs="Arial"/>
          <w:lang w:eastAsia="en-GB"/>
        </w:rPr>
        <w:t xml:space="preserve">, along with a strategy </w:t>
      </w:r>
      <w:r w:rsidR="00B45E72" w:rsidRPr="00D968DB">
        <w:rPr>
          <w:rFonts w:ascii="Foundry Form Sans" w:hAnsi="Foundry Form Sans" w:cs="Arial"/>
          <w:lang w:eastAsia="en-GB"/>
        </w:rPr>
        <w:t xml:space="preserve">for the management of the </w:t>
      </w:r>
      <w:r w:rsidR="00770481">
        <w:rPr>
          <w:rFonts w:ascii="Foundry Form Sans" w:hAnsi="Foundry Form Sans" w:cs="Arial"/>
          <w:lang w:eastAsia="en-GB"/>
        </w:rPr>
        <w:t>T</w:t>
      </w:r>
      <w:r w:rsidR="00B45E72" w:rsidRPr="00D968DB">
        <w:rPr>
          <w:rFonts w:ascii="Foundry Form Sans" w:hAnsi="Foundry Form Sans" w:cs="Arial"/>
          <w:lang w:eastAsia="en-GB"/>
        </w:rPr>
        <w:t xml:space="preserve">emporary </w:t>
      </w:r>
      <w:r w:rsidR="00770481">
        <w:rPr>
          <w:rFonts w:ascii="Foundry Form Sans" w:hAnsi="Foundry Form Sans" w:cs="Arial"/>
          <w:lang w:eastAsia="en-GB"/>
        </w:rPr>
        <w:t>O</w:t>
      </w:r>
      <w:r w:rsidR="00B45E72" w:rsidRPr="00D968DB">
        <w:rPr>
          <w:rFonts w:ascii="Foundry Form Sans" w:hAnsi="Foundry Form Sans" w:cs="Arial"/>
          <w:lang w:eastAsia="en-GB"/>
        </w:rPr>
        <w:t xml:space="preserve">pen </w:t>
      </w:r>
      <w:r w:rsidR="00770481">
        <w:rPr>
          <w:rFonts w:ascii="Foundry Form Sans" w:hAnsi="Foundry Form Sans" w:cs="Arial"/>
          <w:lang w:eastAsia="en-GB"/>
        </w:rPr>
        <w:t>S</w:t>
      </w:r>
      <w:r w:rsidR="00B45E72" w:rsidRPr="00D968DB">
        <w:rPr>
          <w:rFonts w:ascii="Foundry Form Sans" w:hAnsi="Foundry Form Sans" w:cs="Arial"/>
          <w:lang w:eastAsia="en-GB"/>
        </w:rPr>
        <w:t>pace</w:t>
      </w:r>
      <w:r w:rsidR="00770481">
        <w:rPr>
          <w:rFonts w:ascii="Foundry Form Sans" w:hAnsi="Foundry Form Sans" w:cs="Arial"/>
          <w:lang w:eastAsia="en-GB"/>
        </w:rPr>
        <w:t xml:space="preserve"> Land</w:t>
      </w:r>
      <w:r w:rsidR="00B45E72" w:rsidRPr="00D968DB">
        <w:rPr>
          <w:rFonts w:ascii="Foundry Form Sans" w:hAnsi="Foundry Form Sans" w:cs="Arial"/>
          <w:lang w:eastAsia="en-GB"/>
        </w:rPr>
        <w:t>.</w:t>
      </w:r>
      <w:r w:rsidR="00D52525" w:rsidRPr="00D968DB">
        <w:rPr>
          <w:rFonts w:ascii="Foundry Form Sans" w:hAnsi="Foundry Form Sans" w:cs="Arial"/>
          <w:lang w:eastAsia="en-GB"/>
        </w:rPr>
        <w:t xml:space="preserve"> The lease</w:t>
      </w:r>
      <w:r w:rsidR="00770481">
        <w:rPr>
          <w:rFonts w:ascii="Foundry Form Sans" w:hAnsi="Foundry Form Sans" w:cs="Arial"/>
          <w:lang w:eastAsia="en-GB"/>
        </w:rPr>
        <w:t xml:space="preserve"> of the Temporary Open Space Land</w:t>
      </w:r>
      <w:r w:rsidR="00D52525" w:rsidRPr="00D968DB">
        <w:rPr>
          <w:rFonts w:ascii="Foundry Form Sans" w:hAnsi="Foundry Form Sans" w:cs="Arial"/>
          <w:lang w:eastAsia="en-GB"/>
        </w:rPr>
        <w:t xml:space="preserve"> will be assignable </w:t>
      </w:r>
      <w:r w:rsidR="00511995" w:rsidRPr="00D968DB">
        <w:rPr>
          <w:rFonts w:ascii="Foundry Form Sans" w:hAnsi="Foundry Form Sans" w:cs="Arial"/>
          <w:lang w:eastAsia="en-GB"/>
        </w:rPr>
        <w:t xml:space="preserve">(with consent) so we welcome proposals for alternative management beyond the construction period </w:t>
      </w:r>
      <w:r w:rsidR="00D968DB">
        <w:rPr>
          <w:rFonts w:ascii="Foundry Form Sans" w:hAnsi="Foundry Form Sans" w:cs="Arial"/>
          <w:lang w:eastAsia="en-GB"/>
        </w:rPr>
        <w:t>depending on the model proposed.</w:t>
      </w:r>
    </w:p>
    <w:p w:rsidR="00D968DB" w:rsidRPr="00D968DB" w:rsidRDefault="00D968DB" w:rsidP="009F133B">
      <w:pPr>
        <w:pStyle w:val="BodyText"/>
        <w:spacing w:after="120" w:line="23" w:lineRule="atLeast"/>
        <w:ind w:left="284"/>
        <w:jc w:val="both"/>
        <w:rPr>
          <w:rFonts w:ascii="Foundry Form Sans" w:hAnsi="Foundry Form Sans" w:cs="Arial"/>
          <w:lang w:eastAsia="en-GB"/>
        </w:rPr>
      </w:pPr>
    </w:p>
    <w:p w:rsidR="00E42838" w:rsidRPr="003D4D86" w:rsidRDefault="001B4B7E"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 xml:space="preserve">Delivering </w:t>
      </w:r>
      <w:r w:rsidR="00D94F7B" w:rsidRPr="003D4D86">
        <w:rPr>
          <w:rFonts w:ascii="Foundry Form Sans" w:hAnsi="Foundry Form Sans" w:cs="Arial"/>
          <w:b/>
          <w:lang w:eastAsia="en-GB"/>
        </w:rPr>
        <w:t xml:space="preserve">Exceptional Urban Design </w:t>
      </w:r>
    </w:p>
    <w:p w:rsidR="00661D66" w:rsidRPr="00D968DB" w:rsidRDefault="00FC7EF0"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D</w:t>
      </w:r>
      <w:r w:rsidR="00951E4E" w:rsidRPr="00D968DB">
        <w:rPr>
          <w:rFonts w:ascii="Foundry Form Sans" w:hAnsi="Foundry Form Sans" w:cs="Arial"/>
          <w:lang w:eastAsia="en-GB"/>
        </w:rPr>
        <w:t>evelopment</w:t>
      </w:r>
      <w:r w:rsidRPr="00D968DB">
        <w:rPr>
          <w:rFonts w:ascii="Foundry Form Sans" w:hAnsi="Foundry Form Sans" w:cs="Arial"/>
          <w:lang w:eastAsia="en-GB"/>
        </w:rPr>
        <w:t>s</w:t>
      </w:r>
      <w:r w:rsidR="00951E4E" w:rsidRPr="00D968DB">
        <w:rPr>
          <w:rFonts w:ascii="Foundry Form Sans" w:hAnsi="Foundry Form Sans" w:cs="Arial"/>
          <w:lang w:eastAsia="en-GB"/>
        </w:rPr>
        <w:t xml:space="preserve"> </w:t>
      </w:r>
      <w:r w:rsidRPr="00D968DB">
        <w:rPr>
          <w:rFonts w:ascii="Foundry Form Sans" w:hAnsi="Foundry Form Sans" w:cs="Arial"/>
          <w:lang w:eastAsia="en-GB"/>
        </w:rPr>
        <w:t xml:space="preserve">should </w:t>
      </w:r>
      <w:r w:rsidR="00951E4E" w:rsidRPr="00D968DB">
        <w:rPr>
          <w:rFonts w:ascii="Foundry Form Sans" w:hAnsi="Foundry Form Sans" w:cs="Arial"/>
          <w:lang w:eastAsia="en-GB"/>
        </w:rPr>
        <w:t xml:space="preserve">address </w:t>
      </w:r>
      <w:r w:rsidRPr="00D968DB">
        <w:rPr>
          <w:rFonts w:ascii="Foundry Form Sans" w:hAnsi="Foundry Form Sans" w:cs="Arial"/>
          <w:lang w:eastAsia="en-GB"/>
        </w:rPr>
        <w:t xml:space="preserve">the </w:t>
      </w:r>
      <w:r w:rsidR="00951E4E" w:rsidRPr="00D968DB">
        <w:rPr>
          <w:rFonts w:ascii="Foundry Form Sans" w:hAnsi="Foundry Form Sans" w:cs="Arial"/>
          <w:lang w:eastAsia="en-GB"/>
        </w:rPr>
        <w:t xml:space="preserve">unique attributes </w:t>
      </w:r>
      <w:r w:rsidR="00625F3E" w:rsidRPr="00D968DB">
        <w:rPr>
          <w:rFonts w:ascii="Foundry Form Sans" w:hAnsi="Foundry Form Sans" w:cs="Arial"/>
          <w:lang w:eastAsia="en-GB"/>
        </w:rPr>
        <w:t xml:space="preserve">of </w:t>
      </w:r>
      <w:r w:rsidR="00F27BF8" w:rsidRPr="00D968DB">
        <w:rPr>
          <w:rFonts w:ascii="Foundry Form Sans" w:hAnsi="Foundry Form Sans" w:cs="Arial"/>
          <w:lang w:eastAsia="en-GB"/>
        </w:rPr>
        <w:t xml:space="preserve">the </w:t>
      </w:r>
      <w:r w:rsidR="00514E0E">
        <w:rPr>
          <w:rFonts w:ascii="Foundry Form Sans" w:hAnsi="Foundry Form Sans" w:cs="Arial"/>
          <w:lang w:eastAsia="en-GB"/>
        </w:rPr>
        <w:t>Site</w:t>
      </w:r>
      <w:r w:rsidR="00625F3E" w:rsidRPr="00D968DB">
        <w:rPr>
          <w:rFonts w:ascii="Foundry Form Sans" w:hAnsi="Foundry Form Sans" w:cs="Arial"/>
          <w:lang w:eastAsia="en-GB"/>
        </w:rPr>
        <w:t xml:space="preserve"> </w:t>
      </w:r>
      <w:r w:rsidR="00951E4E" w:rsidRPr="00D968DB">
        <w:rPr>
          <w:rFonts w:ascii="Foundry Form Sans" w:hAnsi="Foundry Form Sans" w:cs="Arial"/>
          <w:lang w:eastAsia="en-GB"/>
        </w:rPr>
        <w:t>and enhance the character of the</w:t>
      </w:r>
      <w:r w:rsidR="00625F3E" w:rsidRPr="00D968DB">
        <w:rPr>
          <w:rFonts w:ascii="Foundry Form Sans" w:hAnsi="Foundry Form Sans" w:cs="Arial"/>
          <w:lang w:eastAsia="en-GB"/>
        </w:rPr>
        <w:t xml:space="preserve"> </w:t>
      </w:r>
      <w:r w:rsidR="00EF19AD" w:rsidRPr="00D968DB">
        <w:rPr>
          <w:rFonts w:ascii="Foundry Form Sans" w:hAnsi="Foundry Form Sans" w:cs="Arial"/>
          <w:lang w:eastAsia="en-GB"/>
        </w:rPr>
        <w:t>R</w:t>
      </w:r>
      <w:r w:rsidR="00625F3E" w:rsidRPr="00D968DB">
        <w:rPr>
          <w:rFonts w:ascii="Foundry Form Sans" w:hAnsi="Foundry Form Sans" w:cs="Arial"/>
          <w:lang w:eastAsia="en-GB"/>
        </w:rPr>
        <w:t xml:space="preserve">iver Thames, whilst also addressing the scale of the Docks and </w:t>
      </w:r>
      <w:r w:rsidR="00951E4E" w:rsidRPr="00D968DB">
        <w:rPr>
          <w:rFonts w:ascii="Foundry Form Sans" w:hAnsi="Foundry Form Sans" w:cs="Arial"/>
          <w:lang w:eastAsia="en-GB"/>
        </w:rPr>
        <w:t>local area through use of appropriate materials.</w:t>
      </w:r>
      <w:r w:rsidR="008D0EF0" w:rsidRPr="00D968DB">
        <w:rPr>
          <w:rFonts w:ascii="Foundry Form Sans" w:hAnsi="Foundry Form Sans" w:cs="Arial"/>
          <w:lang w:eastAsia="en-GB"/>
        </w:rPr>
        <w:t xml:space="preserve"> The surrounding developments are delivering high quality housing units which should be looked to as good examples of mixed use development in the area.</w:t>
      </w:r>
      <w:r w:rsidR="00951E4E" w:rsidRPr="00D968DB">
        <w:rPr>
          <w:rFonts w:ascii="Foundry Form Sans" w:hAnsi="Foundry Form Sans" w:cs="Arial"/>
          <w:lang w:eastAsia="en-GB"/>
        </w:rPr>
        <w:t xml:space="preserve">  </w:t>
      </w:r>
    </w:p>
    <w:p w:rsidR="00951E4E" w:rsidRPr="00D968DB" w:rsidRDefault="00951E4E"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Awareness of the </w:t>
      </w:r>
      <w:r w:rsidR="000D3442" w:rsidRPr="00D968DB">
        <w:rPr>
          <w:rFonts w:ascii="Foundry Form Sans" w:hAnsi="Foundry Form Sans" w:cs="Arial"/>
          <w:lang w:eastAsia="en-GB"/>
        </w:rPr>
        <w:t xml:space="preserve">isolated </w:t>
      </w:r>
      <w:r w:rsidRPr="00D968DB">
        <w:rPr>
          <w:rFonts w:ascii="Foundry Form Sans" w:hAnsi="Foundry Form Sans" w:cs="Arial"/>
          <w:lang w:eastAsia="en-GB"/>
        </w:rPr>
        <w:t xml:space="preserve">nature of the </w:t>
      </w:r>
      <w:r w:rsidR="00514E0E">
        <w:rPr>
          <w:rFonts w:ascii="Foundry Form Sans" w:hAnsi="Foundry Form Sans" w:cs="Arial"/>
          <w:lang w:eastAsia="en-GB"/>
        </w:rPr>
        <w:t>Site</w:t>
      </w:r>
      <w:r w:rsidRPr="00D968DB">
        <w:rPr>
          <w:rFonts w:ascii="Foundry Form Sans" w:hAnsi="Foundry Form Sans" w:cs="Arial"/>
          <w:lang w:eastAsia="en-GB"/>
        </w:rPr>
        <w:t xml:space="preserve"> and the approach to </w:t>
      </w:r>
      <w:r w:rsidR="000D3442" w:rsidRPr="00D968DB">
        <w:rPr>
          <w:rFonts w:ascii="Foundry Form Sans" w:hAnsi="Foundry Form Sans" w:cs="Arial"/>
          <w:lang w:eastAsia="en-GB"/>
        </w:rPr>
        <w:t xml:space="preserve">activating </w:t>
      </w:r>
      <w:r w:rsidRPr="00D968DB">
        <w:rPr>
          <w:rFonts w:ascii="Foundry Form Sans" w:hAnsi="Foundry Form Sans" w:cs="Arial"/>
          <w:lang w:eastAsia="en-GB"/>
        </w:rPr>
        <w:t>public</w:t>
      </w:r>
      <w:r w:rsidR="000D3442" w:rsidRPr="00D968DB">
        <w:rPr>
          <w:rFonts w:ascii="Foundry Form Sans" w:hAnsi="Foundry Form Sans" w:cs="Arial"/>
          <w:lang w:eastAsia="en-GB"/>
        </w:rPr>
        <w:t xml:space="preserve"> </w:t>
      </w:r>
      <w:r w:rsidRPr="00D968DB">
        <w:rPr>
          <w:rFonts w:ascii="Foundry Form Sans" w:hAnsi="Foundry Form Sans" w:cs="Arial"/>
          <w:lang w:eastAsia="en-GB"/>
        </w:rPr>
        <w:t>/ private areas</w:t>
      </w:r>
      <w:r w:rsidR="00E37CEE" w:rsidRPr="00D968DB">
        <w:rPr>
          <w:rFonts w:ascii="Foundry Form Sans" w:hAnsi="Foundry Form Sans" w:cs="Arial"/>
          <w:lang w:eastAsia="en-GB"/>
        </w:rPr>
        <w:t>, including the temporary amenity space,</w:t>
      </w:r>
      <w:r w:rsidRPr="00D968DB">
        <w:rPr>
          <w:rFonts w:ascii="Foundry Form Sans" w:hAnsi="Foundry Form Sans" w:cs="Arial"/>
          <w:lang w:eastAsia="en-GB"/>
        </w:rPr>
        <w:t xml:space="preserve"> should be clearly demonstrated. </w:t>
      </w:r>
      <w:r w:rsidR="00300BFA" w:rsidRPr="00D968DB">
        <w:rPr>
          <w:rFonts w:ascii="Foundry Form Sans" w:hAnsi="Foundry Form Sans" w:cs="Arial"/>
          <w:lang w:eastAsia="en-GB"/>
        </w:rPr>
        <w:t>Bidder</w:t>
      </w:r>
      <w:r w:rsidRPr="00D968DB">
        <w:rPr>
          <w:rFonts w:ascii="Foundry Form Sans" w:hAnsi="Foundry Form Sans" w:cs="Arial"/>
          <w:lang w:eastAsia="en-GB"/>
        </w:rPr>
        <w:t xml:space="preserve">s should establish </w:t>
      </w:r>
      <w:r w:rsidR="00661D66" w:rsidRPr="00D968DB">
        <w:rPr>
          <w:rFonts w:ascii="Foundry Form Sans" w:hAnsi="Foundry Form Sans" w:cs="Arial"/>
          <w:lang w:eastAsia="en-GB"/>
        </w:rPr>
        <w:t xml:space="preserve">an </w:t>
      </w:r>
      <w:r w:rsidRPr="00D968DB">
        <w:rPr>
          <w:rFonts w:ascii="Foundry Form Sans" w:hAnsi="Foundry Form Sans" w:cs="Arial"/>
          <w:lang w:eastAsia="en-GB"/>
        </w:rPr>
        <w:t xml:space="preserve">approach to the mixed use nature of the </w:t>
      </w:r>
      <w:r w:rsidR="005705C1" w:rsidRPr="00D968DB">
        <w:rPr>
          <w:rFonts w:ascii="Foundry Form Sans" w:hAnsi="Foundry Form Sans" w:cs="Arial"/>
          <w:lang w:eastAsia="en-GB"/>
        </w:rPr>
        <w:t xml:space="preserve">Royal Albert Basin area within </w:t>
      </w:r>
      <w:r w:rsidRPr="00D968DB">
        <w:rPr>
          <w:rFonts w:ascii="Foundry Form Sans" w:hAnsi="Foundry Form Sans" w:cs="Arial"/>
          <w:lang w:eastAsia="en-GB"/>
        </w:rPr>
        <w:t xml:space="preserve">their development proposal and how the delivery of exceptional design will benefit the delivery of the </w:t>
      </w:r>
      <w:r w:rsidR="00514E0E">
        <w:rPr>
          <w:rFonts w:ascii="Foundry Form Sans" w:hAnsi="Foundry Form Sans" w:cs="Arial"/>
          <w:lang w:eastAsia="en-GB"/>
        </w:rPr>
        <w:t>Site</w:t>
      </w:r>
      <w:r w:rsidRPr="00D968DB">
        <w:rPr>
          <w:rFonts w:ascii="Foundry Form Sans" w:hAnsi="Foundry Form Sans" w:cs="Arial"/>
          <w:lang w:eastAsia="en-GB"/>
        </w:rPr>
        <w:t>.</w:t>
      </w:r>
      <w:r w:rsidR="006C4879" w:rsidRPr="00D968DB">
        <w:rPr>
          <w:rFonts w:ascii="Foundry Form Sans" w:hAnsi="Foundry Form Sans" w:cs="Arial"/>
          <w:lang w:eastAsia="en-GB"/>
        </w:rPr>
        <w:t xml:space="preserve"> </w:t>
      </w:r>
    </w:p>
    <w:p w:rsidR="006C4879" w:rsidRPr="00D968DB" w:rsidRDefault="006F66CA"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The development should provide integrated open and accessible public areas with enhanced and high-quality robust materials and public realm with adequate regard to the surrounding river, connecting to the adjacent DLR station and pedestrian environment surrounding the development providing accessible pedestrian/cycling routes to the existing street and public transport.</w:t>
      </w:r>
    </w:p>
    <w:p w:rsidR="001B4B7E" w:rsidRDefault="001B4B7E" w:rsidP="009F133B">
      <w:pPr>
        <w:pStyle w:val="BodyText"/>
        <w:spacing w:after="120" w:line="23" w:lineRule="atLeast"/>
        <w:ind w:left="-436"/>
        <w:jc w:val="both"/>
        <w:rPr>
          <w:rFonts w:ascii="Foundry Form Sans" w:hAnsi="Foundry Form Sans" w:cs="Arial"/>
          <w:u w:val="single"/>
          <w:lang w:eastAsia="en-GB"/>
        </w:rPr>
      </w:pPr>
    </w:p>
    <w:p w:rsidR="00AC0D24" w:rsidRPr="003D4D86" w:rsidRDefault="00E91D2E" w:rsidP="009F133B">
      <w:pPr>
        <w:pStyle w:val="BodyText"/>
        <w:spacing w:after="120" w:line="23" w:lineRule="atLeast"/>
        <w:ind w:left="284"/>
        <w:jc w:val="both"/>
        <w:rPr>
          <w:rFonts w:ascii="Foundry Form Sans" w:hAnsi="Foundry Form Sans" w:cs="Arial"/>
          <w:b/>
          <w:lang w:eastAsia="en-GB"/>
        </w:rPr>
      </w:pPr>
      <w:r w:rsidRPr="00E91D2E">
        <w:rPr>
          <w:rFonts w:ascii="Foundry Form Sans" w:hAnsi="Foundry Form Sans" w:cs="Arial"/>
          <w:b/>
          <w:lang w:eastAsia="en-GB"/>
        </w:rPr>
        <w:t xml:space="preserve">A Strong </w:t>
      </w:r>
      <w:r w:rsidR="00AC0D24" w:rsidRPr="003D4D86">
        <w:rPr>
          <w:rFonts w:ascii="Foundry Form Sans" w:hAnsi="Foundry Form Sans" w:cs="Arial"/>
          <w:b/>
          <w:lang w:eastAsia="en-GB"/>
        </w:rPr>
        <w:t>Understanding of the Local Context and Proposed Connections</w:t>
      </w:r>
    </w:p>
    <w:p w:rsidR="00AC0D24" w:rsidRDefault="00AC0D24"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lastRenderedPageBreak/>
        <w:t>The Royal Albert Basin and wider Royal Albert Dock area are going through a significant period of transformation, sitting at the cusp of urban, suburban residential, industrial and retail building types. Development should sensitively address this when designing their scheme, taking into account the surrounding developments.</w:t>
      </w:r>
    </w:p>
    <w:p w:rsidR="00D968DB" w:rsidRPr="00D968DB" w:rsidRDefault="00D968DB" w:rsidP="009F133B">
      <w:pPr>
        <w:pStyle w:val="BodyText"/>
        <w:spacing w:after="120" w:line="23" w:lineRule="atLeast"/>
        <w:ind w:left="284"/>
        <w:jc w:val="both"/>
        <w:rPr>
          <w:rFonts w:ascii="Foundry Form Sans" w:hAnsi="Foundry Form Sans" w:cs="Arial"/>
          <w:lang w:eastAsia="en-GB"/>
        </w:rPr>
      </w:pPr>
    </w:p>
    <w:p w:rsidR="006F66CA" w:rsidRPr="003D4D86" w:rsidRDefault="00E91D2E" w:rsidP="009F133B">
      <w:pPr>
        <w:pStyle w:val="BodyText"/>
        <w:spacing w:after="120" w:line="23" w:lineRule="atLeast"/>
        <w:ind w:left="284"/>
        <w:jc w:val="both"/>
        <w:rPr>
          <w:rFonts w:ascii="Foundry Form Sans" w:hAnsi="Foundry Form Sans" w:cs="Arial"/>
          <w:b/>
          <w:lang w:eastAsia="en-GB"/>
        </w:rPr>
      </w:pPr>
      <w:r w:rsidRPr="00E91D2E">
        <w:rPr>
          <w:rFonts w:ascii="Foundry Form Sans" w:hAnsi="Foundry Form Sans" w:cs="Arial"/>
          <w:b/>
          <w:lang w:eastAsia="en-GB"/>
        </w:rPr>
        <w:t xml:space="preserve">Providing Enhanced </w:t>
      </w:r>
      <w:r w:rsidR="006F66CA" w:rsidRPr="003D4D86">
        <w:rPr>
          <w:rFonts w:ascii="Foundry Form Sans" w:hAnsi="Foundry Form Sans" w:cs="Arial"/>
          <w:b/>
          <w:lang w:eastAsia="en-GB"/>
        </w:rPr>
        <w:t>Community Infrastructure</w:t>
      </w:r>
    </w:p>
    <w:p w:rsidR="00A92441" w:rsidRPr="00D968DB" w:rsidRDefault="0079685A"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The  Maccreanor Lavington Capacity </w:t>
      </w:r>
      <w:r w:rsidR="000257B7" w:rsidRPr="00D968DB">
        <w:rPr>
          <w:rFonts w:ascii="Foundry Form Sans" w:hAnsi="Foundry Form Sans" w:cs="Arial"/>
          <w:lang w:eastAsia="en-GB"/>
        </w:rPr>
        <w:t xml:space="preserve">Study (Annex </w:t>
      </w:r>
      <w:r w:rsidR="00114894">
        <w:rPr>
          <w:rFonts w:ascii="Foundry Form Sans" w:hAnsi="Foundry Form Sans" w:cs="Arial"/>
          <w:lang w:eastAsia="en-GB"/>
        </w:rPr>
        <w:t>B</w:t>
      </w:r>
      <w:r w:rsidR="000257B7" w:rsidRPr="00D968DB">
        <w:rPr>
          <w:rFonts w:ascii="Foundry Form Sans" w:hAnsi="Foundry Form Sans" w:cs="Arial"/>
          <w:lang w:eastAsia="en-GB"/>
        </w:rPr>
        <w:t xml:space="preserve">3) refers to previous studies that set out plans for </w:t>
      </w:r>
      <w:r w:rsidR="007C7A8A" w:rsidRPr="00D968DB">
        <w:rPr>
          <w:rFonts w:ascii="Foundry Form Sans" w:hAnsi="Foundry Form Sans" w:cs="Arial"/>
          <w:lang w:eastAsia="en-GB"/>
        </w:rPr>
        <w:t>a range of community facilities from sports halls to community centres</w:t>
      </w:r>
      <w:r w:rsidR="000257B7" w:rsidRPr="00D968DB">
        <w:rPr>
          <w:rFonts w:ascii="Foundry Form Sans" w:hAnsi="Foundry Form Sans" w:cs="Arial"/>
          <w:lang w:eastAsia="en-GB"/>
        </w:rPr>
        <w:t xml:space="preserve">, with the vision of creating </w:t>
      </w:r>
      <w:r w:rsidR="007C7A8A" w:rsidRPr="00D968DB">
        <w:rPr>
          <w:rFonts w:ascii="Foundry Form Sans" w:hAnsi="Foundry Form Sans" w:cs="Arial"/>
          <w:lang w:eastAsia="en-GB"/>
        </w:rPr>
        <w:t>a ‘community spine’ running east west from the Thames, through the Royal Albert Basin to the university campus.</w:t>
      </w:r>
      <w:r w:rsidR="00322C96" w:rsidRPr="00D968DB">
        <w:rPr>
          <w:rFonts w:ascii="Foundry Form Sans" w:hAnsi="Foundry Form Sans" w:cs="Arial"/>
          <w:lang w:eastAsia="en-GB"/>
        </w:rPr>
        <w:t xml:space="preserve"> Plans for surrounding Gallions Quarter and Great Eastern Quays developments have been shaped in response to these existing studies, emphasising a community spine.</w:t>
      </w:r>
    </w:p>
    <w:p w:rsidR="006C4879" w:rsidRPr="00D968DB" w:rsidRDefault="007C7A8A"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The development of the </w:t>
      </w:r>
      <w:r w:rsidR="00514E0E">
        <w:rPr>
          <w:rFonts w:ascii="Foundry Form Sans" w:hAnsi="Foundry Form Sans" w:cs="Arial"/>
          <w:lang w:eastAsia="en-GB"/>
        </w:rPr>
        <w:t>Site</w:t>
      </w:r>
      <w:r w:rsidRPr="00D968DB">
        <w:rPr>
          <w:rFonts w:ascii="Foundry Form Sans" w:hAnsi="Foundry Form Sans" w:cs="Arial"/>
          <w:lang w:eastAsia="en-GB"/>
        </w:rPr>
        <w:t xml:space="preserve"> should reinforce this</w:t>
      </w:r>
      <w:r w:rsidR="00A92441" w:rsidRPr="00D968DB">
        <w:rPr>
          <w:rFonts w:ascii="Foundry Form Sans" w:hAnsi="Foundry Form Sans" w:cs="Arial"/>
          <w:lang w:eastAsia="en-GB"/>
        </w:rPr>
        <w:t>, and look to provide an active use at ground floor level</w:t>
      </w:r>
      <w:r w:rsidR="0028666B" w:rsidRPr="00D968DB">
        <w:rPr>
          <w:rFonts w:ascii="Foundry Form Sans" w:hAnsi="Foundry Form Sans" w:cs="Arial"/>
          <w:lang w:eastAsia="en-GB"/>
        </w:rPr>
        <w:t xml:space="preserve"> that will compl</w:t>
      </w:r>
      <w:r w:rsidR="005407B3" w:rsidRPr="00D968DB">
        <w:rPr>
          <w:rFonts w:ascii="Foundry Form Sans" w:hAnsi="Foundry Form Sans" w:cs="Arial"/>
          <w:lang w:eastAsia="en-GB"/>
        </w:rPr>
        <w:t>e</w:t>
      </w:r>
      <w:r w:rsidR="00EF19AD" w:rsidRPr="00D968DB">
        <w:rPr>
          <w:rFonts w:ascii="Foundry Form Sans" w:hAnsi="Foundry Form Sans" w:cs="Arial"/>
          <w:lang w:eastAsia="en-GB"/>
        </w:rPr>
        <w:t>me</w:t>
      </w:r>
      <w:r w:rsidR="0028666B" w:rsidRPr="00D968DB">
        <w:rPr>
          <w:rFonts w:ascii="Foundry Form Sans" w:hAnsi="Foundry Form Sans" w:cs="Arial"/>
          <w:lang w:eastAsia="en-GB"/>
        </w:rPr>
        <w:t>nt and enhance this spine</w:t>
      </w:r>
      <w:r w:rsidR="00A92441" w:rsidRPr="00D968DB">
        <w:rPr>
          <w:rFonts w:ascii="Foundry Form Sans" w:hAnsi="Foundry Form Sans" w:cs="Arial"/>
          <w:lang w:eastAsia="en-GB"/>
        </w:rPr>
        <w:t>.</w:t>
      </w:r>
      <w:r w:rsidR="00EF19AD" w:rsidRPr="00D968DB">
        <w:rPr>
          <w:rFonts w:ascii="Foundry Form Sans" w:hAnsi="Foundry Form Sans" w:cs="Arial"/>
          <w:lang w:eastAsia="en-GB"/>
        </w:rPr>
        <w:t xml:space="preserve"> The </w:t>
      </w:r>
      <w:r w:rsidR="00300BFA" w:rsidRPr="00D968DB">
        <w:rPr>
          <w:rFonts w:ascii="Foundry Form Sans" w:hAnsi="Foundry Form Sans" w:cs="Arial"/>
          <w:lang w:eastAsia="en-GB"/>
        </w:rPr>
        <w:t>Bidder</w:t>
      </w:r>
      <w:r w:rsidR="00EF19AD" w:rsidRPr="00D968DB">
        <w:rPr>
          <w:rFonts w:ascii="Foundry Form Sans" w:hAnsi="Foundry Form Sans" w:cs="Arial"/>
          <w:lang w:eastAsia="en-GB"/>
        </w:rPr>
        <w:t xml:space="preserve"> should explain their approach and rationale for the ground floor uses</w:t>
      </w:r>
      <w:r w:rsidR="00AC0D24" w:rsidRPr="00D968DB">
        <w:rPr>
          <w:rFonts w:ascii="Foundry Form Sans" w:hAnsi="Foundry Form Sans" w:cs="Arial"/>
          <w:lang w:eastAsia="en-GB"/>
        </w:rPr>
        <w:t xml:space="preserve"> </w:t>
      </w:r>
      <w:r w:rsidR="00EF19AD" w:rsidRPr="00D968DB">
        <w:rPr>
          <w:rFonts w:ascii="Foundry Form Sans" w:hAnsi="Foundry Form Sans" w:cs="Arial"/>
          <w:lang w:eastAsia="en-GB"/>
        </w:rPr>
        <w:t>propose</w:t>
      </w:r>
      <w:r w:rsidR="00AC0D24" w:rsidRPr="00D968DB">
        <w:rPr>
          <w:rFonts w:ascii="Foundry Form Sans" w:hAnsi="Foundry Form Sans" w:cs="Arial"/>
          <w:lang w:eastAsia="en-GB"/>
        </w:rPr>
        <w:t>d within their submission</w:t>
      </w:r>
      <w:r w:rsidR="00EF19AD" w:rsidRPr="00D968DB">
        <w:rPr>
          <w:rFonts w:ascii="Foundry Form Sans" w:hAnsi="Foundry Form Sans" w:cs="Arial"/>
          <w:lang w:eastAsia="en-GB"/>
        </w:rPr>
        <w:t>.</w:t>
      </w:r>
    </w:p>
    <w:p w:rsidR="00AC0D24" w:rsidRPr="00D968DB" w:rsidRDefault="00AC0D24" w:rsidP="009F133B">
      <w:pPr>
        <w:pStyle w:val="BodyText"/>
        <w:spacing w:after="120" w:line="23" w:lineRule="atLeast"/>
        <w:ind w:left="284"/>
        <w:jc w:val="both"/>
        <w:rPr>
          <w:rFonts w:ascii="Foundry Form Sans" w:hAnsi="Foundry Form Sans" w:cs="Arial"/>
          <w:u w:val="single"/>
          <w:lang w:eastAsia="en-GB"/>
        </w:rPr>
      </w:pPr>
    </w:p>
    <w:p w:rsidR="00AC0D24" w:rsidRPr="003D4D86" w:rsidRDefault="00AC0D24" w:rsidP="009F133B">
      <w:pPr>
        <w:pStyle w:val="BodyText"/>
        <w:spacing w:after="120" w:line="23" w:lineRule="atLeast"/>
        <w:ind w:left="284"/>
        <w:jc w:val="both"/>
        <w:rPr>
          <w:rFonts w:ascii="Foundry Form Sans" w:hAnsi="Foundry Form Sans" w:cs="Arial"/>
          <w:b/>
          <w:lang w:eastAsia="en-GB"/>
        </w:rPr>
      </w:pPr>
      <w:r w:rsidRPr="003D4D86">
        <w:rPr>
          <w:rFonts w:ascii="Foundry Form Sans" w:hAnsi="Foundry Form Sans" w:cs="Arial"/>
          <w:b/>
          <w:lang w:eastAsia="en-GB"/>
        </w:rPr>
        <w:t xml:space="preserve">Delivery of </w:t>
      </w:r>
      <w:r w:rsidR="00E91D2E" w:rsidRPr="00E91D2E">
        <w:rPr>
          <w:rFonts w:ascii="Foundry Form Sans" w:hAnsi="Foundry Form Sans" w:cs="Arial"/>
          <w:b/>
          <w:lang w:eastAsia="en-GB"/>
        </w:rPr>
        <w:t>H</w:t>
      </w:r>
      <w:r w:rsidR="00E91D2E" w:rsidRPr="003D4D86">
        <w:rPr>
          <w:rFonts w:ascii="Foundry Form Sans" w:hAnsi="Foundry Form Sans" w:cs="Arial"/>
          <w:b/>
          <w:lang w:eastAsia="en-GB"/>
        </w:rPr>
        <w:t xml:space="preserve">igh Quality </w:t>
      </w:r>
      <w:r w:rsidRPr="003D4D86">
        <w:rPr>
          <w:rFonts w:ascii="Foundry Form Sans" w:hAnsi="Foundry Form Sans" w:cs="Arial"/>
          <w:b/>
          <w:lang w:eastAsia="en-GB"/>
        </w:rPr>
        <w:t>Non-Residential Floorspace</w:t>
      </w:r>
    </w:p>
    <w:p w:rsidR="00AC0D24" w:rsidRDefault="00AC0D24"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Any non-residential floorspace should continue to achieve the same standards of exceptional urban design as the residential homes developed on-site and maximise, where possible, local job provision.</w:t>
      </w:r>
    </w:p>
    <w:p w:rsidR="00D968DB" w:rsidRPr="00D968DB" w:rsidRDefault="00D968DB" w:rsidP="009F133B">
      <w:pPr>
        <w:pStyle w:val="BodyText"/>
        <w:spacing w:after="120" w:line="23" w:lineRule="atLeast"/>
        <w:ind w:left="284"/>
        <w:jc w:val="both"/>
        <w:rPr>
          <w:rFonts w:ascii="Foundry Form Sans" w:hAnsi="Foundry Form Sans" w:cs="Arial"/>
          <w:lang w:eastAsia="en-GB"/>
        </w:rPr>
      </w:pPr>
    </w:p>
    <w:p w:rsidR="00E42838" w:rsidRPr="00E91D2E" w:rsidRDefault="00D94F7B" w:rsidP="009F133B">
      <w:pPr>
        <w:pStyle w:val="BodyText"/>
        <w:spacing w:after="120" w:line="23" w:lineRule="atLeast"/>
        <w:ind w:left="284"/>
        <w:jc w:val="both"/>
        <w:rPr>
          <w:rFonts w:ascii="Foundry Form Sans" w:hAnsi="Foundry Form Sans" w:cs="Arial"/>
          <w:b/>
          <w:lang w:eastAsia="en-GB"/>
        </w:rPr>
      </w:pPr>
      <w:r w:rsidRPr="00E91D2E">
        <w:rPr>
          <w:rFonts w:ascii="Foundry Form Sans" w:hAnsi="Foundry Form Sans" w:cs="Arial"/>
          <w:b/>
          <w:lang w:eastAsia="en-GB"/>
        </w:rPr>
        <w:t>Payment Terms</w:t>
      </w:r>
    </w:p>
    <w:p w:rsidR="007E32C8" w:rsidRPr="00D968DB" w:rsidRDefault="00D94F7B" w:rsidP="009F133B">
      <w:pPr>
        <w:pStyle w:val="BodyText"/>
        <w:numPr>
          <w:ilvl w:val="2"/>
          <w:numId w:val="42"/>
        </w:numPr>
        <w:spacing w:after="120" w:line="23" w:lineRule="atLeast"/>
        <w:ind w:left="284"/>
        <w:jc w:val="both"/>
        <w:rPr>
          <w:rFonts w:ascii="Foundry Form Sans" w:hAnsi="Foundry Form Sans" w:cs="Arial"/>
          <w:lang w:eastAsia="en-GB"/>
        </w:rPr>
      </w:pPr>
      <w:r w:rsidRPr="00D968DB">
        <w:rPr>
          <w:rFonts w:ascii="Foundry Form Sans" w:hAnsi="Foundry Form Sans" w:cs="Arial"/>
          <w:lang w:eastAsia="en-GB"/>
        </w:rPr>
        <w:t xml:space="preserve">The </w:t>
      </w:r>
      <w:r w:rsidR="00300BFA" w:rsidRPr="00D968DB">
        <w:rPr>
          <w:rFonts w:ascii="Foundry Form Sans" w:hAnsi="Foundry Form Sans" w:cs="Arial"/>
          <w:lang w:eastAsia="en-GB"/>
        </w:rPr>
        <w:t>Bidder</w:t>
      </w:r>
      <w:r w:rsidRPr="00D968DB">
        <w:rPr>
          <w:rFonts w:ascii="Foundry Form Sans" w:hAnsi="Foundry Form Sans" w:cs="Arial"/>
          <w:lang w:eastAsia="en-GB"/>
        </w:rPr>
        <w:t xml:space="preserve"> will be expected to provide a guaranteed minimum land value (net of all costs)</w:t>
      </w:r>
      <w:r w:rsidR="002D37A1">
        <w:rPr>
          <w:rFonts w:ascii="Foundry Form Sans" w:hAnsi="Foundry Form Sans" w:cs="Arial"/>
          <w:lang w:eastAsia="en-GB"/>
        </w:rPr>
        <w:t>.  The Bidder will need to make a payment of</w:t>
      </w:r>
      <w:r w:rsidRPr="00D968DB">
        <w:rPr>
          <w:rFonts w:ascii="Foundry Form Sans" w:hAnsi="Foundry Form Sans" w:cs="Arial"/>
          <w:lang w:eastAsia="en-GB"/>
        </w:rPr>
        <w:t xml:space="preserve"> </w:t>
      </w:r>
      <w:r w:rsidR="00D77970" w:rsidRPr="00D968DB">
        <w:rPr>
          <w:rFonts w:ascii="Foundry Form Sans" w:hAnsi="Foundry Form Sans" w:cs="Arial"/>
          <w:lang w:eastAsia="en-GB"/>
        </w:rPr>
        <w:t xml:space="preserve">20% </w:t>
      </w:r>
      <w:r w:rsidR="002D37A1">
        <w:rPr>
          <w:rFonts w:ascii="Foundry Form Sans" w:hAnsi="Foundry Form Sans" w:cs="Arial"/>
          <w:lang w:eastAsia="en-GB"/>
        </w:rPr>
        <w:t xml:space="preserve">of the guaranteed minimum land value </w:t>
      </w:r>
      <w:r w:rsidR="00FF3A4F" w:rsidRPr="00D968DB">
        <w:rPr>
          <w:rFonts w:ascii="Foundry Form Sans" w:hAnsi="Foundry Form Sans" w:cs="Arial"/>
          <w:lang w:eastAsia="en-GB"/>
        </w:rPr>
        <w:t>upon the</w:t>
      </w:r>
      <w:r w:rsidR="00D77970" w:rsidRPr="00D968DB">
        <w:rPr>
          <w:rFonts w:ascii="Foundry Form Sans" w:hAnsi="Foundry Form Sans" w:cs="Arial"/>
          <w:lang w:eastAsia="en-GB"/>
        </w:rPr>
        <w:t xml:space="preserve"> </w:t>
      </w:r>
      <w:r w:rsidR="007E1F2C">
        <w:rPr>
          <w:rFonts w:ascii="Foundry Form Sans" w:hAnsi="Foundry Form Sans" w:cs="Arial"/>
          <w:lang w:eastAsia="en-GB"/>
        </w:rPr>
        <w:t xml:space="preserve">satisfaction of conditions in the </w:t>
      </w:r>
      <w:r w:rsidR="004D2873" w:rsidRPr="00D968DB">
        <w:rPr>
          <w:rFonts w:ascii="Foundry Form Sans" w:hAnsi="Foundry Form Sans" w:cs="Arial"/>
          <w:lang w:eastAsia="en-GB"/>
        </w:rPr>
        <w:t>d</w:t>
      </w:r>
      <w:r w:rsidR="00D77970" w:rsidRPr="00D968DB">
        <w:rPr>
          <w:rFonts w:ascii="Foundry Form Sans" w:hAnsi="Foundry Form Sans" w:cs="Arial"/>
          <w:lang w:eastAsia="en-GB"/>
        </w:rPr>
        <w:t xml:space="preserve">evelopment </w:t>
      </w:r>
      <w:r w:rsidR="004D2873" w:rsidRPr="00D968DB">
        <w:rPr>
          <w:rFonts w:ascii="Foundry Form Sans" w:hAnsi="Foundry Form Sans" w:cs="Arial"/>
          <w:lang w:eastAsia="en-GB"/>
        </w:rPr>
        <w:t>a</w:t>
      </w:r>
      <w:r w:rsidR="00D77970" w:rsidRPr="00D968DB">
        <w:rPr>
          <w:rFonts w:ascii="Foundry Form Sans" w:hAnsi="Foundry Form Sans" w:cs="Arial"/>
          <w:lang w:eastAsia="en-GB"/>
        </w:rPr>
        <w:t>greement</w:t>
      </w:r>
      <w:r w:rsidR="00FF3A4F" w:rsidRPr="00D968DB">
        <w:rPr>
          <w:rFonts w:ascii="Foundry Form Sans" w:hAnsi="Foundry Form Sans" w:cs="Arial"/>
          <w:lang w:eastAsia="en-GB"/>
        </w:rPr>
        <w:t xml:space="preserve"> </w:t>
      </w:r>
      <w:r w:rsidR="00D77970" w:rsidRPr="00D968DB">
        <w:rPr>
          <w:rFonts w:ascii="Foundry Form Sans" w:hAnsi="Foundry Form Sans" w:cs="Arial"/>
          <w:lang w:eastAsia="en-GB"/>
        </w:rPr>
        <w:t xml:space="preserve">and thereafter </w:t>
      </w:r>
      <w:r w:rsidR="007E32C8" w:rsidRPr="00D968DB">
        <w:rPr>
          <w:rFonts w:ascii="Foundry Form Sans" w:hAnsi="Foundry Form Sans" w:cs="Arial"/>
          <w:lang w:eastAsia="en-GB"/>
        </w:rPr>
        <w:t xml:space="preserve">a limited number of fixed payments at </w:t>
      </w:r>
      <w:r w:rsidR="00176152" w:rsidRPr="00D968DB">
        <w:rPr>
          <w:rFonts w:ascii="Foundry Form Sans" w:hAnsi="Foundry Form Sans" w:cs="Arial"/>
          <w:lang w:eastAsia="en-GB"/>
        </w:rPr>
        <w:t xml:space="preserve">defined </w:t>
      </w:r>
      <w:r w:rsidR="007E32C8" w:rsidRPr="00D968DB">
        <w:rPr>
          <w:rFonts w:ascii="Foundry Form Sans" w:hAnsi="Foundry Form Sans" w:cs="Arial"/>
          <w:lang w:eastAsia="en-GB"/>
        </w:rPr>
        <w:t xml:space="preserve">intervals </w:t>
      </w:r>
      <w:r w:rsidR="00D77970" w:rsidRPr="00D968DB">
        <w:rPr>
          <w:rFonts w:ascii="Foundry Form Sans" w:hAnsi="Foundry Form Sans" w:cs="Arial"/>
          <w:lang w:eastAsia="en-GB"/>
        </w:rPr>
        <w:t xml:space="preserve">over an identified period </w:t>
      </w:r>
      <w:r w:rsidR="006E378F" w:rsidRPr="00D968DB">
        <w:rPr>
          <w:rFonts w:ascii="Foundry Form Sans" w:hAnsi="Foundry Form Sans" w:cs="Arial"/>
          <w:lang w:eastAsia="en-GB"/>
        </w:rPr>
        <w:t xml:space="preserve">up until </w:t>
      </w:r>
      <w:r w:rsidR="00FF3A4F" w:rsidRPr="00D968DB">
        <w:rPr>
          <w:rFonts w:ascii="Foundry Form Sans" w:hAnsi="Foundry Form Sans" w:cs="Arial"/>
          <w:lang w:eastAsia="en-GB"/>
        </w:rPr>
        <w:t>practical completion</w:t>
      </w:r>
      <w:r w:rsidR="00D77970" w:rsidRPr="00D968DB">
        <w:rPr>
          <w:rFonts w:ascii="Foundry Form Sans" w:hAnsi="Foundry Form Sans" w:cs="Arial"/>
          <w:lang w:eastAsia="en-GB"/>
        </w:rPr>
        <w:t xml:space="preserve">. </w:t>
      </w:r>
      <w:r w:rsidR="00300BFA" w:rsidRPr="00D968DB">
        <w:rPr>
          <w:rFonts w:ascii="Foundry Form Sans" w:hAnsi="Foundry Form Sans" w:cs="Arial"/>
          <w:lang w:eastAsia="en-GB"/>
        </w:rPr>
        <w:t>Bidder</w:t>
      </w:r>
      <w:r w:rsidRPr="00D968DB">
        <w:rPr>
          <w:rFonts w:ascii="Foundry Form Sans" w:hAnsi="Foundry Form Sans" w:cs="Arial"/>
          <w:lang w:eastAsia="en-GB"/>
        </w:rPr>
        <w:t xml:space="preserve">s should make their own </w:t>
      </w:r>
      <w:r w:rsidR="0026075A">
        <w:rPr>
          <w:rFonts w:ascii="Foundry Form Sans" w:hAnsi="Foundry Form Sans" w:cs="Arial"/>
          <w:lang w:eastAsia="en-GB"/>
        </w:rPr>
        <w:t>proposals</w:t>
      </w:r>
      <w:r w:rsidR="0026075A" w:rsidRPr="00D968DB">
        <w:rPr>
          <w:rFonts w:ascii="Foundry Form Sans" w:hAnsi="Foundry Form Sans" w:cs="Arial"/>
          <w:lang w:eastAsia="en-GB"/>
        </w:rPr>
        <w:t xml:space="preserve"> </w:t>
      </w:r>
      <w:r w:rsidRPr="00D968DB">
        <w:rPr>
          <w:rFonts w:ascii="Foundry Form Sans" w:hAnsi="Foundry Form Sans" w:cs="Arial"/>
          <w:lang w:eastAsia="en-GB"/>
        </w:rPr>
        <w:t xml:space="preserve">about the timings </w:t>
      </w:r>
      <w:r w:rsidR="00C239F6" w:rsidRPr="00D968DB">
        <w:rPr>
          <w:rFonts w:ascii="Foundry Form Sans" w:hAnsi="Foundry Form Sans" w:cs="Arial"/>
          <w:lang w:eastAsia="en-GB"/>
        </w:rPr>
        <w:t xml:space="preserve">and number </w:t>
      </w:r>
      <w:r w:rsidRPr="00D968DB">
        <w:rPr>
          <w:rFonts w:ascii="Foundry Form Sans" w:hAnsi="Foundry Form Sans" w:cs="Arial"/>
          <w:lang w:eastAsia="en-GB"/>
        </w:rPr>
        <w:t xml:space="preserve">of fixed payments to be offered to </w:t>
      </w:r>
      <w:r w:rsidR="00F850A6" w:rsidRPr="00D968DB">
        <w:rPr>
          <w:rFonts w:ascii="Foundry Form Sans" w:hAnsi="Foundry Form Sans" w:cs="Arial"/>
          <w:lang w:eastAsia="en-GB"/>
        </w:rPr>
        <w:t>GL</w:t>
      </w:r>
      <w:r w:rsidR="00C239F6" w:rsidRPr="00D968DB">
        <w:rPr>
          <w:rFonts w:ascii="Foundry Form Sans" w:hAnsi="Foundry Form Sans" w:cs="Arial"/>
          <w:lang w:eastAsia="en-GB"/>
        </w:rPr>
        <w:t xml:space="preserve">A for a site of this </w:t>
      </w:r>
      <w:r w:rsidR="00770481" w:rsidRPr="00D968DB">
        <w:rPr>
          <w:rFonts w:ascii="Foundry Form Sans" w:hAnsi="Foundry Form Sans" w:cs="Arial"/>
          <w:lang w:eastAsia="en-GB"/>
        </w:rPr>
        <w:t>size</w:t>
      </w:r>
      <w:r w:rsidR="00770481">
        <w:rPr>
          <w:rFonts w:ascii="Foundry Form Sans" w:hAnsi="Foundry Form Sans" w:cs="Arial"/>
          <w:lang w:eastAsia="en-GB"/>
        </w:rPr>
        <w:t>.</w:t>
      </w:r>
      <w:r w:rsidR="00346879">
        <w:rPr>
          <w:rFonts w:ascii="Foundry Form Sans" w:hAnsi="Foundry Form Sans" w:cs="Arial"/>
          <w:lang w:eastAsia="en-GB"/>
        </w:rPr>
        <w:t xml:space="preserve"> </w:t>
      </w:r>
      <w:r w:rsidR="00770481" w:rsidRPr="00D968DB">
        <w:rPr>
          <w:rFonts w:ascii="Foundry Form Sans" w:hAnsi="Foundry Form Sans" w:cs="Arial"/>
          <w:lang w:eastAsia="en-GB"/>
        </w:rPr>
        <w:t xml:space="preserve"> </w:t>
      </w:r>
      <w:r w:rsidR="00C6357B" w:rsidRPr="00D968DB">
        <w:rPr>
          <w:rFonts w:ascii="Foundry Form Sans" w:hAnsi="Foundry Form Sans" w:cs="Arial"/>
          <w:lang w:eastAsia="en-GB"/>
        </w:rPr>
        <w:t>Deferred payments will be</w:t>
      </w:r>
      <w:r w:rsidR="00346879">
        <w:rPr>
          <w:rFonts w:ascii="Foundry Form Sans" w:hAnsi="Foundry Form Sans" w:cs="Arial"/>
          <w:lang w:eastAsia="en-GB"/>
        </w:rPr>
        <w:t xml:space="preserve"> subject to the calculation of their Net Present V</w:t>
      </w:r>
      <w:r w:rsidR="00C6357B" w:rsidRPr="00D968DB">
        <w:rPr>
          <w:rFonts w:ascii="Foundry Form Sans" w:hAnsi="Foundry Form Sans" w:cs="Arial"/>
          <w:lang w:eastAsia="en-GB"/>
        </w:rPr>
        <w:t xml:space="preserve">alue </w:t>
      </w:r>
      <w:r w:rsidR="00346879">
        <w:rPr>
          <w:rFonts w:ascii="Foundry Form Sans" w:hAnsi="Foundry Form Sans" w:cs="Arial"/>
          <w:lang w:eastAsia="en-GB"/>
        </w:rPr>
        <w:t>utilising the Treasury D</w:t>
      </w:r>
      <w:r w:rsidR="000A10C5" w:rsidRPr="00D968DB">
        <w:rPr>
          <w:rFonts w:ascii="Foundry Form Sans" w:hAnsi="Foundry Form Sans" w:cs="Arial"/>
          <w:lang w:eastAsia="en-GB"/>
        </w:rPr>
        <w:t xml:space="preserve">iscount </w:t>
      </w:r>
      <w:r w:rsidR="00346879">
        <w:rPr>
          <w:rFonts w:ascii="Foundry Form Sans" w:hAnsi="Foundry Form Sans" w:cs="Arial"/>
          <w:lang w:eastAsia="en-GB"/>
        </w:rPr>
        <w:t>R</w:t>
      </w:r>
      <w:r w:rsidR="000A10C5" w:rsidRPr="00D968DB">
        <w:rPr>
          <w:rFonts w:ascii="Foundry Form Sans" w:hAnsi="Foundry Form Sans" w:cs="Arial"/>
          <w:lang w:eastAsia="en-GB"/>
        </w:rPr>
        <w:t xml:space="preserve">ate of </w:t>
      </w:r>
      <w:r w:rsidR="00C6357B" w:rsidRPr="00D968DB">
        <w:rPr>
          <w:rFonts w:ascii="Foundry Form Sans" w:hAnsi="Foundry Form Sans" w:cs="Arial"/>
          <w:lang w:eastAsia="en-GB"/>
        </w:rPr>
        <w:t>3.5%.</w:t>
      </w:r>
    </w:p>
    <w:p w:rsidR="00112A2F" w:rsidRDefault="00112A2F" w:rsidP="009F133B">
      <w:pPr>
        <w:spacing w:after="120" w:line="23" w:lineRule="atLeast"/>
        <w:ind w:left="284"/>
        <w:jc w:val="both"/>
        <w:rPr>
          <w:rFonts w:ascii="Foundry Form Sans" w:hAnsi="Foundry Form Sans" w:cs="Arial"/>
          <w:bCs/>
          <w:sz w:val="22"/>
          <w:szCs w:val="22"/>
          <w:lang w:eastAsia="en-GB"/>
        </w:rPr>
      </w:pPr>
    </w:p>
    <w:p w:rsidR="00951E4E" w:rsidRPr="005C2F23" w:rsidRDefault="00951E4E" w:rsidP="009F133B">
      <w:pPr>
        <w:spacing w:after="120" w:line="23" w:lineRule="atLeast"/>
        <w:ind w:left="284"/>
        <w:jc w:val="both"/>
        <w:rPr>
          <w:rFonts w:ascii="Foundry Form Sans" w:hAnsi="Foundry Form Sans" w:cs="Arial"/>
          <w:bCs/>
          <w:sz w:val="22"/>
          <w:szCs w:val="22"/>
          <w:lang w:eastAsia="en-GB"/>
        </w:rPr>
      </w:pPr>
    </w:p>
    <w:p w:rsidR="00242FB4" w:rsidRPr="00027DF3" w:rsidRDefault="00242FB4" w:rsidP="009F133B">
      <w:pPr>
        <w:pStyle w:val="Heading1"/>
        <w:numPr>
          <w:ilvl w:val="0"/>
          <w:numId w:val="42"/>
        </w:numPr>
        <w:pBdr>
          <w:bottom w:val="single" w:sz="4" w:space="1" w:color="auto"/>
        </w:pBdr>
        <w:ind w:left="284"/>
        <w:jc w:val="both"/>
        <w:rPr>
          <w:sz w:val="28"/>
          <w:szCs w:val="28"/>
        </w:rPr>
      </w:pPr>
      <w:bookmarkStart w:id="9" w:name="_Toc441674206"/>
      <w:r w:rsidRPr="00027DF3">
        <w:rPr>
          <w:sz w:val="28"/>
          <w:szCs w:val="28"/>
        </w:rPr>
        <w:t xml:space="preserve">Planning </w:t>
      </w:r>
      <w:r w:rsidR="0017652F" w:rsidRPr="00027DF3">
        <w:rPr>
          <w:sz w:val="28"/>
          <w:szCs w:val="28"/>
        </w:rPr>
        <w:t>O</w:t>
      </w:r>
      <w:r w:rsidRPr="00027DF3">
        <w:rPr>
          <w:sz w:val="28"/>
          <w:szCs w:val="28"/>
        </w:rPr>
        <w:t>verview</w:t>
      </w:r>
      <w:r w:rsidR="0017652F" w:rsidRPr="00027DF3">
        <w:rPr>
          <w:sz w:val="28"/>
          <w:szCs w:val="28"/>
        </w:rPr>
        <w:t xml:space="preserve"> and Policy</w:t>
      </w:r>
      <w:bookmarkEnd w:id="9"/>
    </w:p>
    <w:p w:rsidR="004B49CD" w:rsidRDefault="004B49CD" w:rsidP="009F133B">
      <w:pPr>
        <w:spacing w:after="120" w:line="23" w:lineRule="atLeast"/>
        <w:ind w:left="284"/>
        <w:jc w:val="both"/>
        <w:rPr>
          <w:rFonts w:ascii="Foundry Form Sans" w:hAnsi="Foundry Form Sans" w:cs="Arial"/>
          <w:sz w:val="22"/>
          <w:szCs w:val="22"/>
        </w:rPr>
      </w:pPr>
    </w:p>
    <w:p w:rsidR="00951E4E" w:rsidRPr="00BC4DAC" w:rsidRDefault="00951E4E" w:rsidP="009F133B">
      <w:pPr>
        <w:pStyle w:val="BodyText"/>
        <w:numPr>
          <w:ilvl w:val="2"/>
          <w:numId w:val="42"/>
        </w:numPr>
        <w:spacing w:after="120" w:line="23" w:lineRule="atLeast"/>
        <w:ind w:left="284"/>
        <w:jc w:val="both"/>
        <w:rPr>
          <w:rFonts w:ascii="Foundry Form Sans" w:hAnsi="Foundry Form Sans" w:cs="Arial"/>
          <w:lang w:eastAsia="en-GB"/>
        </w:rPr>
      </w:pPr>
      <w:r w:rsidRPr="009B440D">
        <w:rPr>
          <w:rFonts w:ascii="Foundry Form Sans" w:hAnsi="Foundry Form Sans" w:cs="Arial"/>
          <w:lang w:eastAsia="en-GB"/>
        </w:rPr>
        <w:t xml:space="preserve">Bidders should </w:t>
      </w:r>
      <w:r w:rsidRPr="00BC4DAC">
        <w:rPr>
          <w:rFonts w:ascii="Foundry Form Sans" w:hAnsi="Foundry Form Sans" w:cs="Arial"/>
          <w:lang w:eastAsia="en-GB"/>
        </w:rPr>
        <w:t xml:space="preserve">have regard to the emerging character and recently consented </w:t>
      </w:r>
      <w:r w:rsidR="00F44AE7" w:rsidRPr="00BC4DAC">
        <w:rPr>
          <w:rFonts w:ascii="Foundry Form Sans" w:hAnsi="Foundry Form Sans" w:cs="Arial"/>
          <w:lang w:eastAsia="en-GB"/>
        </w:rPr>
        <w:t xml:space="preserve">and developed </w:t>
      </w:r>
      <w:r w:rsidRPr="00BC4DAC">
        <w:rPr>
          <w:rFonts w:ascii="Foundry Form Sans" w:hAnsi="Foundry Form Sans" w:cs="Arial"/>
          <w:lang w:eastAsia="en-GB"/>
        </w:rPr>
        <w:t>schemes in the area</w:t>
      </w:r>
      <w:r w:rsidR="00063A4C" w:rsidRPr="00BC4DAC">
        <w:rPr>
          <w:rFonts w:ascii="Foundry Form Sans" w:hAnsi="Foundry Form Sans" w:cs="Arial"/>
          <w:lang w:eastAsia="en-GB"/>
        </w:rPr>
        <w:t>, a</w:t>
      </w:r>
      <w:r w:rsidRPr="00BC4DAC">
        <w:rPr>
          <w:rFonts w:ascii="Foundry Form Sans" w:hAnsi="Foundry Form Sans" w:cs="Arial"/>
          <w:lang w:eastAsia="en-GB"/>
        </w:rPr>
        <w:t>long with current and emerging planning policy and guidance</w:t>
      </w:r>
      <w:r w:rsidR="00A3335F">
        <w:rPr>
          <w:rFonts w:ascii="Foundry Form Sans" w:hAnsi="Foundry Form Sans" w:cs="Arial"/>
          <w:lang w:eastAsia="en-GB"/>
        </w:rPr>
        <w:t xml:space="preserve"> as detailed in the following pages</w:t>
      </w:r>
      <w:r w:rsidR="00063A4C" w:rsidRPr="009B440D">
        <w:rPr>
          <w:rFonts w:ascii="Foundry Form Sans" w:hAnsi="Foundry Form Sans" w:cs="Arial"/>
          <w:lang w:eastAsia="en-GB"/>
        </w:rPr>
        <w:t>,</w:t>
      </w:r>
      <w:r w:rsidRPr="009B440D">
        <w:rPr>
          <w:rFonts w:ascii="Foundry Form Sans" w:hAnsi="Foundry Form Sans" w:cs="Arial"/>
          <w:lang w:eastAsia="en-GB"/>
        </w:rPr>
        <w:t xml:space="preserve"> in developing a proposal for the</w:t>
      </w:r>
      <w:r w:rsidR="00063A4C" w:rsidRPr="009B440D">
        <w:rPr>
          <w:rFonts w:ascii="Foundry Form Sans" w:hAnsi="Foundry Form Sans" w:cs="Arial"/>
          <w:lang w:eastAsia="en-GB"/>
        </w:rPr>
        <w:t xml:space="preserve"> </w:t>
      </w:r>
      <w:r w:rsidR="00514E0E">
        <w:rPr>
          <w:rFonts w:ascii="Foundry Form Sans" w:hAnsi="Foundry Form Sans" w:cs="Arial"/>
          <w:lang w:eastAsia="en-GB"/>
        </w:rPr>
        <w:t>Site</w:t>
      </w:r>
      <w:r w:rsidR="00E75CE9" w:rsidRPr="00BC4DAC">
        <w:rPr>
          <w:rFonts w:ascii="Foundry Form Sans" w:hAnsi="Foundry Form Sans" w:cs="Arial"/>
          <w:lang w:eastAsia="en-GB"/>
        </w:rPr>
        <w:t>.</w:t>
      </w:r>
    </w:p>
    <w:p w:rsidR="00063A4C" w:rsidRPr="009B440D" w:rsidRDefault="00063A4C"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Proposals will also need to respond to the previous strategic documents and key urban design principles of earlier masterplans, to effectively ‘complete’ these schemes, as outlined in pages 22-27 of A</w:t>
      </w:r>
      <w:r w:rsidR="00FB7B6C" w:rsidRPr="007F1A91">
        <w:rPr>
          <w:rFonts w:ascii="Foundry Form Sans" w:hAnsi="Foundry Form Sans" w:cs="Arial"/>
          <w:lang w:eastAsia="en-GB"/>
        </w:rPr>
        <w:t xml:space="preserve">nnex </w:t>
      </w:r>
      <w:r w:rsidR="00114894">
        <w:rPr>
          <w:rFonts w:ascii="Foundry Form Sans" w:hAnsi="Foundry Form Sans" w:cs="Arial"/>
          <w:lang w:eastAsia="en-GB"/>
        </w:rPr>
        <w:t>B</w:t>
      </w:r>
      <w:r w:rsidR="002126D9" w:rsidRPr="007F1A91">
        <w:rPr>
          <w:rFonts w:ascii="Foundry Form Sans" w:hAnsi="Foundry Form Sans" w:cs="Arial"/>
          <w:lang w:eastAsia="en-GB"/>
        </w:rPr>
        <w:t>3</w:t>
      </w:r>
    </w:p>
    <w:p w:rsidR="00F44AE7" w:rsidRDefault="00F44AE7" w:rsidP="009F133B">
      <w:pPr>
        <w:spacing w:after="120" w:line="23" w:lineRule="atLeast"/>
        <w:ind w:left="284"/>
        <w:jc w:val="both"/>
        <w:rPr>
          <w:rFonts w:ascii="Foundry Form Sans" w:hAnsi="Foundry Form Sans" w:cs="Arial"/>
          <w:sz w:val="22"/>
          <w:szCs w:val="22"/>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Planning Policy Context</w:t>
      </w:r>
    </w:p>
    <w:p w:rsidR="00A3335F" w:rsidRPr="007F1A91"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 xml:space="preserve">The Local Planning Authority for </w:t>
      </w:r>
      <w:r w:rsidR="00A32BE0" w:rsidRPr="007F1A91">
        <w:rPr>
          <w:rFonts w:ascii="Foundry Form Sans" w:hAnsi="Foundry Form Sans" w:cs="Arial"/>
          <w:lang w:eastAsia="en-GB"/>
        </w:rPr>
        <w:t>Gallions 3B</w:t>
      </w:r>
      <w:r w:rsidRPr="007F1A91">
        <w:rPr>
          <w:rFonts w:ascii="Foundry Form Sans" w:hAnsi="Foundry Form Sans" w:cs="Arial"/>
          <w:lang w:eastAsia="en-GB"/>
        </w:rPr>
        <w:t xml:space="preserve"> is the London Borough of Newham (LBN).</w:t>
      </w:r>
    </w:p>
    <w:p w:rsidR="00A3335F" w:rsidRPr="009F133B" w:rsidRDefault="00A620CE"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W</w:t>
      </w:r>
      <w:r w:rsidR="00762559" w:rsidRPr="007F1A91">
        <w:rPr>
          <w:rFonts w:ascii="Foundry Form Sans" w:hAnsi="Foundry Form Sans" w:cs="Arial"/>
          <w:lang w:eastAsia="en-GB"/>
        </w:rPr>
        <w:t>hen determining planning applications</w:t>
      </w:r>
      <w:r w:rsidR="004D2873" w:rsidRPr="007F1A91">
        <w:rPr>
          <w:rFonts w:ascii="Foundry Form Sans" w:hAnsi="Foundry Form Sans" w:cs="Arial"/>
          <w:lang w:eastAsia="en-GB"/>
        </w:rPr>
        <w:t>, LBN</w:t>
      </w:r>
      <w:r w:rsidR="00762559" w:rsidRPr="007F1A91">
        <w:rPr>
          <w:rFonts w:ascii="Foundry Form Sans" w:hAnsi="Foundry Form Sans" w:cs="Arial"/>
          <w:lang w:eastAsia="en-GB"/>
        </w:rPr>
        <w:t xml:space="preserve"> will have regard </w:t>
      </w:r>
      <w:r w:rsidRPr="007F1A91">
        <w:rPr>
          <w:rFonts w:ascii="Foundry Form Sans" w:hAnsi="Foundry Form Sans" w:cs="Arial"/>
          <w:lang w:eastAsia="en-GB"/>
        </w:rPr>
        <w:t xml:space="preserve">to all applicable planning </w:t>
      </w:r>
      <w:r w:rsidR="00762559" w:rsidRPr="007F1A91">
        <w:rPr>
          <w:rFonts w:ascii="Foundry Form Sans" w:hAnsi="Foundry Form Sans" w:cs="Arial"/>
          <w:lang w:eastAsia="en-GB"/>
        </w:rPr>
        <w:t>policies</w:t>
      </w:r>
      <w:r w:rsidRPr="007F1A91">
        <w:rPr>
          <w:rFonts w:ascii="Foundry Form Sans" w:hAnsi="Foundry Form Sans" w:cs="Arial"/>
          <w:lang w:eastAsia="en-GB"/>
        </w:rPr>
        <w:t xml:space="preserve">, including </w:t>
      </w:r>
      <w:r w:rsidR="00762559" w:rsidRPr="007F1A91">
        <w:rPr>
          <w:rFonts w:ascii="Foundry Form Sans" w:hAnsi="Foundry Form Sans" w:cs="Arial"/>
          <w:lang w:eastAsia="en-GB"/>
        </w:rPr>
        <w:t xml:space="preserve">the National Planning Policy Framework, adopted March 2012, </w:t>
      </w:r>
      <w:r w:rsidRPr="007F1A91">
        <w:rPr>
          <w:rFonts w:ascii="Foundry Form Sans" w:hAnsi="Foundry Form Sans" w:cs="Arial"/>
          <w:lang w:eastAsia="en-GB"/>
        </w:rPr>
        <w:t xml:space="preserve">LBN's </w:t>
      </w:r>
      <w:r w:rsidR="00762559" w:rsidRPr="007F1A91">
        <w:rPr>
          <w:rFonts w:ascii="Foundry Form Sans" w:hAnsi="Foundry Form Sans" w:cs="Arial"/>
          <w:lang w:eastAsia="en-GB"/>
        </w:rPr>
        <w:t xml:space="preserve">Core Strategy, which was adopted in January 2012, along with the London Plan: Spatial Development Strategy for London </w:t>
      </w:r>
      <w:r w:rsidR="00762559" w:rsidRPr="007F1A91">
        <w:rPr>
          <w:rFonts w:ascii="Foundry Form Sans" w:hAnsi="Foundry Form Sans" w:cs="Arial"/>
          <w:lang w:eastAsia="en-GB"/>
        </w:rPr>
        <w:lastRenderedPageBreak/>
        <w:t>consolidated with alterations since 2011, published March 2015, and the</w:t>
      </w:r>
      <w:r w:rsidR="00ED2F03" w:rsidRPr="007F1A91">
        <w:rPr>
          <w:rFonts w:ascii="Foundry Form Sans" w:hAnsi="Foundry Form Sans" w:cs="Arial"/>
          <w:lang w:eastAsia="en-GB"/>
        </w:rPr>
        <w:t xml:space="preserve"> </w:t>
      </w:r>
      <w:r w:rsidR="00762559" w:rsidRPr="009F133B">
        <w:rPr>
          <w:rFonts w:ascii="Foundry Form Sans" w:hAnsi="Foundry Form Sans" w:cs="Arial"/>
          <w:lang w:eastAsia="en-GB"/>
        </w:rPr>
        <w:t>Detailed Sites and Policies Development Plan Document 201</w:t>
      </w:r>
      <w:r w:rsidR="00FA5990" w:rsidRPr="009F133B">
        <w:rPr>
          <w:rFonts w:ascii="Foundry Form Sans" w:hAnsi="Foundry Form Sans" w:cs="Arial"/>
          <w:lang w:eastAsia="en-GB"/>
        </w:rPr>
        <w:t>6</w:t>
      </w:r>
      <w:r w:rsidR="00762559" w:rsidRPr="009F133B">
        <w:rPr>
          <w:rFonts w:ascii="Foundry Form Sans" w:hAnsi="Foundry Form Sans" w:cs="Arial"/>
          <w:lang w:eastAsia="en-GB"/>
        </w:rPr>
        <w:t>.</w:t>
      </w:r>
      <w:r w:rsidR="00A3335F" w:rsidRPr="009F133B">
        <w:rPr>
          <w:rFonts w:ascii="Foundry Form Sans" w:hAnsi="Foundry Form Sans" w:cs="Arial"/>
          <w:lang w:eastAsia="en-GB"/>
        </w:rPr>
        <w:t xml:space="preserve">  </w:t>
      </w:r>
    </w:p>
    <w:p w:rsidR="00A3335F" w:rsidRPr="007F1A91"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The paragraphs below summarise some of the key policies</w:t>
      </w:r>
      <w:r w:rsidR="00A620CE" w:rsidRPr="007F1A91">
        <w:rPr>
          <w:rFonts w:ascii="Foundry Form Sans" w:hAnsi="Foundry Form Sans" w:cs="Arial"/>
          <w:lang w:eastAsia="en-GB"/>
        </w:rPr>
        <w:t xml:space="preserve"> that the GLA understands to be</w:t>
      </w:r>
      <w:r w:rsidRPr="007F1A91">
        <w:rPr>
          <w:rFonts w:ascii="Foundry Form Sans" w:hAnsi="Foundry Form Sans" w:cs="Arial"/>
          <w:lang w:eastAsia="en-GB"/>
        </w:rPr>
        <w:t xml:space="preserve"> relevant to Gallions 3B</w:t>
      </w:r>
      <w:r w:rsidR="00A620CE" w:rsidRPr="007F1A91">
        <w:rPr>
          <w:rFonts w:ascii="Foundry Form Sans" w:hAnsi="Foundry Form Sans" w:cs="Arial"/>
          <w:lang w:eastAsia="en-GB"/>
        </w:rPr>
        <w:t>.  H</w:t>
      </w:r>
      <w:r w:rsidRPr="007F1A91">
        <w:rPr>
          <w:rFonts w:ascii="Foundry Form Sans" w:hAnsi="Foundry Form Sans" w:cs="Arial"/>
          <w:lang w:eastAsia="en-GB"/>
        </w:rPr>
        <w:t>owever, this overview is not exhaus</w:t>
      </w:r>
      <w:r w:rsidR="006E378F" w:rsidRPr="007F1A91">
        <w:rPr>
          <w:rFonts w:ascii="Foundry Form Sans" w:hAnsi="Foundry Form Sans" w:cs="Arial"/>
          <w:lang w:eastAsia="en-GB"/>
        </w:rPr>
        <w:t>t</w:t>
      </w:r>
      <w:r w:rsidRPr="007F1A91">
        <w:rPr>
          <w:rFonts w:ascii="Foundry Form Sans" w:hAnsi="Foundry Form Sans" w:cs="Arial"/>
          <w:lang w:eastAsia="en-GB"/>
        </w:rPr>
        <w:t xml:space="preserve">ive and in some cases does not contain the full detail of the various policies affecting the </w:t>
      </w:r>
      <w:r w:rsidR="00514E0E">
        <w:rPr>
          <w:rFonts w:ascii="Foundry Form Sans" w:hAnsi="Foundry Form Sans" w:cs="Arial"/>
          <w:lang w:eastAsia="en-GB"/>
        </w:rPr>
        <w:t>Site</w:t>
      </w:r>
      <w:r w:rsidRPr="007F1A91">
        <w:rPr>
          <w:rFonts w:ascii="Foundry Form Sans" w:hAnsi="Foundry Form Sans" w:cs="Arial"/>
          <w:lang w:eastAsia="en-GB"/>
        </w:rPr>
        <w:t>.  Developers</w:t>
      </w:r>
      <w:r w:rsidR="00A620CE" w:rsidRPr="007F1A91">
        <w:rPr>
          <w:rFonts w:ascii="Foundry Form Sans" w:hAnsi="Foundry Form Sans" w:cs="Arial"/>
          <w:lang w:eastAsia="en-GB"/>
        </w:rPr>
        <w:t xml:space="preserve"> must </w:t>
      </w:r>
      <w:r w:rsidRPr="007F1A91">
        <w:rPr>
          <w:rFonts w:ascii="Foundry Form Sans" w:hAnsi="Foundry Form Sans" w:cs="Arial"/>
          <w:lang w:eastAsia="en-GB"/>
        </w:rPr>
        <w:t xml:space="preserve">familiarise themselves with all relevant national, regional and local planning policy.  </w:t>
      </w:r>
    </w:p>
    <w:p w:rsidR="00A3335F" w:rsidRPr="00027DF3" w:rsidRDefault="00A3335F" w:rsidP="00446F42">
      <w:pPr>
        <w:ind w:left="284"/>
        <w:jc w:val="both"/>
        <w:rPr>
          <w:rFonts w:ascii="Foundry Form Sans" w:hAnsi="Foundry Form Sans" w:cs="Arial"/>
          <w:sz w:val="22"/>
          <w:szCs w:val="22"/>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National Planning Policy Framework</w:t>
      </w:r>
    </w:p>
    <w:p w:rsidR="00A3335F" w:rsidRPr="007F1A91"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 xml:space="preserve">In March 2012, the Government published the National Planning Policy Framework (NPPF) which streamlines national planning policy into a consolidated set of priorities replacing Planning Policy Statements and Planning Policy Guidance. </w:t>
      </w:r>
    </w:p>
    <w:p w:rsidR="00A3335F" w:rsidRPr="007F1A91"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The planning system should contribute to the achievement of sustainable mixed use development with economic, social and environmental objectives.  Planning policies should avoid the long term protection of sites allocated for employment use where there is no reasonable prospect of a site being used for that purpose and land allocations should be regularly reviewed. Applications for alternative uses of land or buildings should be treated on their merits having regard to market signals and the relative need for different land uses to support sustainable local communities (para 22)</w:t>
      </w: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In order to reduce car dependency and encourage use of other travel modes development sites should provide a good level of access to:</w:t>
      </w:r>
    </w:p>
    <w:p w:rsidR="00A3335F" w:rsidRPr="00027DF3" w:rsidRDefault="00A3335F" w:rsidP="00446F42">
      <w:pPr>
        <w:pStyle w:val="ListParagraph"/>
        <w:ind w:left="284"/>
        <w:jc w:val="both"/>
        <w:rPr>
          <w:rFonts w:ascii="Foundry Form Sans" w:hAnsi="Foundry Form Sans" w:cs="Arial"/>
          <w:sz w:val="22"/>
          <w:szCs w:val="22"/>
          <w:lang w:val="en-GB"/>
        </w:rPr>
      </w:pPr>
      <w:r w:rsidRPr="00027DF3">
        <w:rPr>
          <w:rFonts w:ascii="Foundry Form Sans" w:hAnsi="Foundry Form Sans" w:cs="Arial"/>
          <w:sz w:val="22"/>
          <w:szCs w:val="22"/>
          <w:lang w:val="en-GB"/>
        </w:rPr>
        <w:t xml:space="preserve"> </w:t>
      </w:r>
    </w:p>
    <w:p w:rsidR="00A3335F" w:rsidRPr="00027DF3" w:rsidRDefault="00A3335F" w:rsidP="00ED2417">
      <w:pPr>
        <w:pStyle w:val="ListParagraph"/>
        <w:numPr>
          <w:ilvl w:val="0"/>
          <w:numId w:val="38"/>
        </w:numPr>
        <w:ind w:left="284" w:firstLine="0"/>
        <w:jc w:val="both"/>
        <w:rPr>
          <w:rFonts w:ascii="Foundry Form Sans" w:hAnsi="Foundry Form Sans" w:cs="Arial"/>
          <w:sz w:val="22"/>
          <w:szCs w:val="22"/>
          <w:lang w:val="en-GB"/>
        </w:rPr>
      </w:pPr>
      <w:r w:rsidRPr="00027DF3">
        <w:rPr>
          <w:rFonts w:ascii="Foundry Form Sans" w:hAnsi="Foundry Form Sans" w:cs="Arial"/>
          <w:sz w:val="22"/>
          <w:szCs w:val="22"/>
          <w:lang w:val="en-GB"/>
        </w:rPr>
        <w:t>Jobs</w:t>
      </w:r>
    </w:p>
    <w:p w:rsidR="00A3335F" w:rsidRPr="00027DF3" w:rsidRDefault="00A3335F" w:rsidP="00ED2417">
      <w:pPr>
        <w:pStyle w:val="ListParagraph"/>
        <w:numPr>
          <w:ilvl w:val="0"/>
          <w:numId w:val="38"/>
        </w:numPr>
        <w:ind w:left="284" w:firstLine="0"/>
        <w:jc w:val="both"/>
        <w:rPr>
          <w:rFonts w:ascii="Foundry Form Sans" w:hAnsi="Foundry Form Sans" w:cs="Arial"/>
          <w:sz w:val="22"/>
          <w:szCs w:val="22"/>
          <w:lang w:val="en-GB"/>
        </w:rPr>
      </w:pPr>
      <w:r w:rsidRPr="00027DF3">
        <w:rPr>
          <w:rFonts w:ascii="Foundry Form Sans" w:hAnsi="Foundry Form Sans" w:cs="Arial"/>
          <w:sz w:val="22"/>
          <w:szCs w:val="22"/>
          <w:lang w:val="en-GB"/>
        </w:rPr>
        <w:t>Education</w:t>
      </w:r>
    </w:p>
    <w:p w:rsidR="00A3335F" w:rsidRPr="00027DF3" w:rsidRDefault="00A3335F" w:rsidP="00ED2417">
      <w:pPr>
        <w:pStyle w:val="ListParagraph"/>
        <w:numPr>
          <w:ilvl w:val="0"/>
          <w:numId w:val="38"/>
        </w:numPr>
        <w:ind w:left="284" w:firstLine="0"/>
        <w:jc w:val="both"/>
        <w:rPr>
          <w:rFonts w:ascii="Foundry Form Sans" w:hAnsi="Foundry Form Sans" w:cs="Arial"/>
          <w:sz w:val="22"/>
          <w:szCs w:val="22"/>
          <w:lang w:val="en-GB"/>
        </w:rPr>
      </w:pPr>
      <w:r w:rsidRPr="00027DF3">
        <w:rPr>
          <w:rFonts w:ascii="Foundry Form Sans" w:hAnsi="Foundry Form Sans" w:cs="Arial"/>
          <w:sz w:val="22"/>
          <w:szCs w:val="22"/>
          <w:lang w:val="en-GB"/>
        </w:rPr>
        <w:t>Shopping centres</w:t>
      </w:r>
    </w:p>
    <w:p w:rsidR="00A3335F" w:rsidRPr="00027DF3" w:rsidRDefault="00A3335F" w:rsidP="00ED2417">
      <w:pPr>
        <w:pStyle w:val="ListParagraph"/>
        <w:numPr>
          <w:ilvl w:val="0"/>
          <w:numId w:val="38"/>
        </w:numPr>
        <w:ind w:left="284" w:firstLine="0"/>
        <w:jc w:val="both"/>
        <w:rPr>
          <w:rFonts w:ascii="Foundry Form Sans" w:hAnsi="Foundry Form Sans" w:cs="Arial"/>
          <w:sz w:val="22"/>
          <w:szCs w:val="22"/>
          <w:lang w:val="en-GB"/>
        </w:rPr>
      </w:pPr>
      <w:r w:rsidRPr="00027DF3">
        <w:rPr>
          <w:rFonts w:ascii="Foundry Form Sans" w:hAnsi="Foundry Form Sans" w:cs="Arial"/>
          <w:sz w:val="22"/>
          <w:szCs w:val="22"/>
          <w:lang w:val="en-GB"/>
        </w:rPr>
        <w:t xml:space="preserve">Local services </w:t>
      </w:r>
    </w:p>
    <w:p w:rsidR="00A3335F" w:rsidRPr="00027DF3" w:rsidRDefault="00A3335F" w:rsidP="00ED2417">
      <w:pPr>
        <w:pStyle w:val="ListParagraph"/>
        <w:ind w:left="284"/>
        <w:jc w:val="both"/>
        <w:rPr>
          <w:rFonts w:ascii="Foundry Form Sans" w:hAnsi="Foundry Form Sans" w:cs="Arial"/>
          <w:sz w:val="22"/>
          <w:szCs w:val="22"/>
          <w:lang w:val="en-GB"/>
        </w:rPr>
      </w:pP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rPr>
      </w:pPr>
      <w:r w:rsidRPr="00027DF3">
        <w:rPr>
          <w:rFonts w:ascii="Foundry Form Sans" w:hAnsi="Foundry Form Sans" w:cs="Arial"/>
          <w:lang w:eastAsia="en-GB"/>
        </w:rPr>
        <w:t>All developments that generate significant amounts of movement should be supported by a Transport Statement or Transport Assessment</w:t>
      </w:r>
      <w:r w:rsidR="00FF3A4F">
        <w:rPr>
          <w:rFonts w:ascii="Foundry Form Sans" w:hAnsi="Foundry Form Sans" w:cs="Arial"/>
          <w:lang w:eastAsia="en-GB"/>
        </w:rPr>
        <w:t xml:space="preserve"> in due course as part of a planning application</w:t>
      </w:r>
      <w:r w:rsidR="00FF3A4F">
        <w:rPr>
          <w:rFonts w:ascii="Foundry Form Sans" w:hAnsi="Foundry Form Sans" w:cs="Arial"/>
        </w:rPr>
        <w:t>.</w:t>
      </w:r>
    </w:p>
    <w:p w:rsidR="00A32BE0" w:rsidRDefault="00A32BE0" w:rsidP="00446F42">
      <w:pPr>
        <w:ind w:left="284"/>
        <w:jc w:val="both"/>
        <w:rPr>
          <w:rFonts w:ascii="Foundry Form Sans" w:hAnsi="Foundry Form Sans" w:cs="Arial"/>
          <w:sz w:val="22"/>
          <w:szCs w:val="22"/>
          <w:u w:val="single"/>
        </w:rPr>
      </w:pPr>
    </w:p>
    <w:p w:rsidR="00A32BE0" w:rsidRDefault="00A32BE0" w:rsidP="00ED2417">
      <w:pPr>
        <w:ind w:left="284"/>
        <w:jc w:val="both"/>
        <w:rPr>
          <w:rFonts w:ascii="Foundry Form Sans" w:hAnsi="Foundry Form Sans" w:cs="Arial"/>
          <w:sz w:val="22"/>
          <w:szCs w:val="22"/>
          <w:u w:val="single"/>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 xml:space="preserve">The London Plan (incorporating the </w:t>
      </w:r>
      <w:r w:rsidR="007E54D3">
        <w:rPr>
          <w:rFonts w:ascii="Foundry Form Sans" w:hAnsi="Foundry Form Sans" w:cs="Arial"/>
          <w:b/>
        </w:rPr>
        <w:t>Minor</w:t>
      </w:r>
      <w:r w:rsidR="007E54D3" w:rsidRPr="00027DF3">
        <w:rPr>
          <w:rFonts w:ascii="Foundry Form Sans" w:hAnsi="Foundry Form Sans" w:cs="Arial"/>
          <w:b/>
        </w:rPr>
        <w:t xml:space="preserve"> </w:t>
      </w:r>
      <w:r w:rsidRPr="00027DF3">
        <w:rPr>
          <w:rFonts w:ascii="Foundry Form Sans" w:hAnsi="Foundry Form Sans" w:cs="Arial"/>
          <w:b/>
        </w:rPr>
        <w:t>Alterations)</w:t>
      </w: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The London Plan (</w:t>
      </w:r>
      <w:r w:rsidR="007E54D3">
        <w:rPr>
          <w:rFonts w:ascii="Foundry Form Sans" w:hAnsi="Foundry Form Sans" w:cs="Arial"/>
          <w:lang w:eastAsia="en-GB"/>
        </w:rPr>
        <w:t>March 2015</w:t>
      </w:r>
      <w:r w:rsidRPr="00027DF3">
        <w:rPr>
          <w:rFonts w:ascii="Foundry Form Sans" w:hAnsi="Foundry Form Sans" w:cs="Arial"/>
          <w:lang w:eastAsia="en-GB"/>
        </w:rPr>
        <w:t xml:space="preserve"> with </w:t>
      </w:r>
      <w:r w:rsidR="007E54D3">
        <w:rPr>
          <w:rFonts w:ascii="Foundry Form Sans" w:hAnsi="Foundry Form Sans" w:cs="Arial"/>
          <w:lang w:eastAsia="en-GB"/>
        </w:rPr>
        <w:t>minor alterations</w:t>
      </w:r>
      <w:r w:rsidRPr="00027DF3">
        <w:rPr>
          <w:rFonts w:ascii="Foundry Form Sans" w:hAnsi="Foundry Form Sans" w:cs="Arial"/>
          <w:lang w:eastAsia="en-GB"/>
        </w:rPr>
        <w:t xml:space="preserve"> </w:t>
      </w:r>
      <w:r w:rsidR="007E54D3">
        <w:rPr>
          <w:rFonts w:ascii="Foundry Form Sans" w:hAnsi="Foundry Form Sans" w:cs="Arial"/>
          <w:lang w:eastAsia="en-GB"/>
        </w:rPr>
        <w:t>in March 2016</w:t>
      </w:r>
      <w:r w:rsidRPr="00027DF3">
        <w:rPr>
          <w:rFonts w:ascii="Foundry Form Sans" w:hAnsi="Foundry Form Sans" w:cs="Arial"/>
          <w:lang w:eastAsia="en-GB"/>
        </w:rPr>
        <w:t xml:space="preserve">) sets out the Mayor of London’s strategic planning vision, and provides a strategic planning framework to guide the economic, environmental, transport and social development of London over the next 20-25 years. The </w:t>
      </w:r>
      <w:r w:rsidR="007851AC">
        <w:rPr>
          <w:rFonts w:ascii="Foundry Form Sans" w:hAnsi="Foundry Form Sans" w:cs="Arial"/>
          <w:lang w:eastAsia="en-GB"/>
        </w:rPr>
        <w:t>p</w:t>
      </w:r>
      <w:r w:rsidRPr="00027DF3">
        <w:rPr>
          <w:rFonts w:ascii="Foundry Form Sans" w:hAnsi="Foundry Form Sans" w:cs="Arial"/>
          <w:lang w:eastAsia="en-GB"/>
        </w:rPr>
        <w:t>lan was published in the context of continuing large scale population growth and an increasing demand for housing, and where demand for homes is predicted to significantly exceed population growth.</w:t>
      </w:r>
    </w:p>
    <w:p w:rsidR="002E58C3" w:rsidRPr="007F1A91" w:rsidRDefault="00B96302"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LBN has a housing output target of 2,500 new homes per year as set by the L</w:t>
      </w:r>
      <w:r>
        <w:rPr>
          <w:rFonts w:ascii="Foundry Form Sans" w:hAnsi="Foundry Form Sans" w:cs="Arial"/>
          <w:lang w:eastAsia="en-GB"/>
        </w:rPr>
        <w:t xml:space="preserve">ondon </w:t>
      </w:r>
      <w:r w:rsidRPr="00027DF3">
        <w:rPr>
          <w:rFonts w:ascii="Foundry Form Sans" w:hAnsi="Foundry Form Sans" w:cs="Arial"/>
          <w:lang w:eastAsia="en-GB"/>
        </w:rPr>
        <w:t>P</w:t>
      </w:r>
      <w:r>
        <w:rPr>
          <w:rFonts w:ascii="Foundry Form Sans" w:hAnsi="Foundry Form Sans" w:cs="Arial"/>
          <w:lang w:eastAsia="en-GB"/>
        </w:rPr>
        <w:t>lan</w:t>
      </w:r>
      <w:r w:rsidRPr="00027DF3">
        <w:rPr>
          <w:rFonts w:ascii="Foundry Form Sans" w:hAnsi="Foundry Form Sans" w:cs="Arial"/>
          <w:lang w:eastAsia="en-GB"/>
        </w:rPr>
        <w:t xml:space="preserve"> </w:t>
      </w:r>
      <w:r w:rsidR="00A3335F" w:rsidRPr="00027DF3">
        <w:rPr>
          <w:rFonts w:ascii="Foundry Form Sans" w:hAnsi="Foundry Form Sans" w:cs="Arial"/>
          <w:lang w:eastAsia="en-GB"/>
        </w:rPr>
        <w:t xml:space="preserve">In </w:t>
      </w:r>
      <w:r w:rsidR="00A3335F" w:rsidRPr="00E8476B">
        <w:rPr>
          <w:rFonts w:ascii="Foundry Form Sans" w:hAnsi="Foundry Form Sans" w:cs="Arial"/>
          <w:lang w:eastAsia="en-GB"/>
        </w:rPr>
        <w:t xml:space="preserve">accordance with </w:t>
      </w:r>
      <w:r w:rsidR="007851AC" w:rsidRPr="00E8476B">
        <w:rPr>
          <w:rFonts w:ascii="Foundry Form Sans" w:hAnsi="Foundry Form Sans" w:cs="Arial"/>
          <w:lang w:eastAsia="en-GB"/>
        </w:rPr>
        <w:t>P</w:t>
      </w:r>
      <w:r w:rsidR="00A3335F" w:rsidRPr="00E8476B">
        <w:rPr>
          <w:rFonts w:ascii="Foundry Form Sans" w:hAnsi="Foundry Form Sans" w:cs="Arial"/>
          <w:lang w:eastAsia="en-GB"/>
        </w:rPr>
        <w:t>olicy 3.11</w:t>
      </w:r>
      <w:r w:rsidR="00E8476B">
        <w:rPr>
          <w:rFonts w:ascii="Foundry Form Sans" w:hAnsi="Foundry Form Sans" w:cs="Arial"/>
          <w:lang w:eastAsia="en-GB"/>
        </w:rPr>
        <w:t xml:space="preserve">. </w:t>
      </w:r>
      <w:r w:rsidR="002E58C3" w:rsidRPr="007F1A91">
        <w:rPr>
          <w:rFonts w:ascii="Foundry Form Sans" w:hAnsi="Foundry Form Sans" w:cs="Arial"/>
          <w:lang w:eastAsia="en-GB"/>
        </w:rPr>
        <w:t xml:space="preserve">The draft Affordable Housing and Viability Supplementary Planning Guidance (SPG) </w:t>
      </w:r>
      <w:r w:rsidR="00E8476B" w:rsidRPr="007F1A91">
        <w:rPr>
          <w:rFonts w:ascii="Foundry Form Sans" w:hAnsi="Foundry Form Sans" w:cs="Arial"/>
          <w:lang w:eastAsia="en-GB"/>
        </w:rPr>
        <w:t xml:space="preserve">(released as draft for consultation in November 2016) </w:t>
      </w:r>
      <w:r w:rsidR="002E58C3" w:rsidRPr="007F1A91">
        <w:rPr>
          <w:rFonts w:ascii="Foundry Form Sans" w:hAnsi="Foundry Form Sans" w:cs="Arial"/>
          <w:lang w:eastAsia="en-GB"/>
        </w:rPr>
        <w:t xml:space="preserve">sets out further detail on affordable housing </w:t>
      </w:r>
      <w:r w:rsidR="00E8476B" w:rsidRPr="007F1A91">
        <w:rPr>
          <w:rFonts w:ascii="Foundry Form Sans" w:hAnsi="Foundry Form Sans" w:cs="Arial"/>
          <w:lang w:eastAsia="en-GB"/>
        </w:rPr>
        <w:t>planning policy and housing products</w:t>
      </w:r>
      <w:r w:rsidR="002E58C3" w:rsidRPr="007F1A91">
        <w:rPr>
          <w:rFonts w:ascii="Foundry Form Sans" w:hAnsi="Foundry Form Sans" w:cs="Arial"/>
          <w:lang w:eastAsia="en-GB"/>
        </w:rPr>
        <w:t>.</w:t>
      </w:r>
    </w:p>
    <w:p w:rsidR="00151C2F" w:rsidRDefault="00151C2F" w:rsidP="009F133B">
      <w:pPr>
        <w:pStyle w:val="BodyText"/>
        <w:numPr>
          <w:ilvl w:val="2"/>
          <w:numId w:val="42"/>
        </w:numPr>
        <w:spacing w:after="120" w:line="23" w:lineRule="atLeast"/>
        <w:ind w:left="284"/>
        <w:jc w:val="both"/>
        <w:rPr>
          <w:rFonts w:ascii="Foundry Form Sans" w:hAnsi="Foundry Form Sans" w:cs="Arial"/>
          <w:lang w:eastAsia="en-GB"/>
        </w:rPr>
      </w:pPr>
      <w:r w:rsidRPr="00ED2F03">
        <w:rPr>
          <w:rFonts w:ascii="Foundry Form Sans" w:hAnsi="Foundry Form Sans" w:cs="Arial"/>
          <w:lang w:eastAsia="en-GB"/>
        </w:rPr>
        <w:t>The Royal Docks and Beckton Waterfront ha</w:t>
      </w:r>
      <w:r w:rsidR="00B45E72">
        <w:rPr>
          <w:rFonts w:ascii="Foundry Form Sans" w:hAnsi="Foundry Form Sans" w:cs="Arial"/>
          <w:lang w:eastAsia="en-GB"/>
        </w:rPr>
        <w:t>ve</w:t>
      </w:r>
      <w:r w:rsidRPr="00ED2F03">
        <w:rPr>
          <w:rFonts w:ascii="Foundry Form Sans" w:hAnsi="Foundry Form Sans" w:cs="Arial"/>
          <w:lang w:eastAsia="en-GB"/>
        </w:rPr>
        <w:t xml:space="preserve"> been identified as an Opportunity Area with an indicative minimum capacity for 6,000 jobs and 11,000 new homes. Beckton Waterfront is also considered as a key location for river-related industries.  </w:t>
      </w:r>
    </w:p>
    <w:p w:rsidR="00151C2F" w:rsidRPr="00301DAA" w:rsidRDefault="00151C2F" w:rsidP="009F133B">
      <w:pPr>
        <w:pStyle w:val="BodyText"/>
        <w:numPr>
          <w:ilvl w:val="2"/>
          <w:numId w:val="42"/>
        </w:numPr>
        <w:spacing w:after="120" w:line="23" w:lineRule="atLeast"/>
        <w:ind w:left="284"/>
        <w:jc w:val="both"/>
        <w:rPr>
          <w:rFonts w:ascii="Foundry Form Sans" w:hAnsi="Foundry Form Sans" w:cs="Arial"/>
          <w:lang w:eastAsia="en-GB"/>
        </w:rPr>
      </w:pPr>
      <w:r>
        <w:rPr>
          <w:rFonts w:ascii="Foundry Form Sans" w:hAnsi="Foundry Form Sans" w:cs="Arial"/>
          <w:lang w:eastAsia="en-GB"/>
        </w:rPr>
        <w:t>D</w:t>
      </w:r>
      <w:r w:rsidRPr="00301DAA">
        <w:rPr>
          <w:rFonts w:ascii="Foundry Form Sans" w:hAnsi="Foundry Form Sans" w:cs="Arial"/>
          <w:lang w:eastAsia="en-GB"/>
        </w:rPr>
        <w:t xml:space="preserve">evelopment proposals within the </w:t>
      </w:r>
      <w:r>
        <w:rPr>
          <w:rFonts w:ascii="Foundry Form Sans" w:hAnsi="Foundry Form Sans" w:cs="Arial"/>
          <w:lang w:eastAsia="en-GB"/>
        </w:rPr>
        <w:t xml:space="preserve">Royal Docks </w:t>
      </w:r>
      <w:r w:rsidRPr="00301DAA">
        <w:rPr>
          <w:rFonts w:ascii="Foundry Form Sans" w:hAnsi="Foundry Form Sans" w:cs="Arial"/>
          <w:lang w:eastAsia="en-GB"/>
        </w:rPr>
        <w:t>Opportunity Areas should:</w:t>
      </w:r>
    </w:p>
    <w:p w:rsidR="00151C2F" w:rsidRPr="00301DAA" w:rsidRDefault="00151C2F" w:rsidP="00446F42">
      <w:pPr>
        <w:pStyle w:val="Bulletspolicy"/>
        <w:numPr>
          <w:ilvl w:val="0"/>
          <w:numId w:val="62"/>
        </w:numPr>
        <w:tabs>
          <w:tab w:val="clear" w:pos="369"/>
          <w:tab w:val="clear" w:pos="567"/>
          <w:tab w:val="left" w:pos="851"/>
        </w:tabs>
        <w:spacing w:after="120" w:line="240" w:lineRule="auto"/>
        <w:ind w:left="709" w:right="-22"/>
        <w:jc w:val="both"/>
        <w:rPr>
          <w:rFonts w:ascii="Foundry Form Sans" w:eastAsia="Times New Roman" w:hAnsi="Foundry Form Sans" w:cs="Arial"/>
          <w:color w:val="auto"/>
          <w:sz w:val="22"/>
          <w:szCs w:val="22"/>
        </w:rPr>
      </w:pPr>
      <w:r w:rsidRPr="00301DAA">
        <w:rPr>
          <w:rFonts w:ascii="Foundry Form Sans" w:eastAsia="Times New Roman" w:hAnsi="Foundry Form Sans" w:cs="Arial"/>
          <w:color w:val="auto"/>
          <w:sz w:val="22"/>
          <w:szCs w:val="22"/>
        </w:rPr>
        <w:t xml:space="preserve">support the strategic policy directions for the Royal Docks Opportunity Area </w:t>
      </w:r>
    </w:p>
    <w:p w:rsidR="00151C2F" w:rsidRPr="00301DAA" w:rsidRDefault="00151C2F" w:rsidP="009F133B">
      <w:pPr>
        <w:pStyle w:val="Bulletspolicy"/>
        <w:numPr>
          <w:ilvl w:val="0"/>
          <w:numId w:val="62"/>
        </w:numPr>
        <w:tabs>
          <w:tab w:val="clear" w:pos="369"/>
          <w:tab w:val="clear" w:pos="567"/>
          <w:tab w:val="left" w:pos="851"/>
        </w:tabs>
        <w:spacing w:after="120" w:line="240" w:lineRule="auto"/>
        <w:ind w:left="709" w:right="-22"/>
        <w:jc w:val="both"/>
        <w:rPr>
          <w:rFonts w:ascii="Foundry Form Sans" w:eastAsia="Times New Roman" w:hAnsi="Foundry Form Sans" w:cs="Arial"/>
          <w:color w:val="auto"/>
          <w:sz w:val="22"/>
          <w:szCs w:val="22"/>
        </w:rPr>
      </w:pPr>
      <w:r w:rsidRPr="00301DAA">
        <w:rPr>
          <w:rFonts w:ascii="Foundry Form Sans" w:eastAsia="Times New Roman" w:hAnsi="Foundry Form Sans" w:cs="Arial"/>
          <w:color w:val="auto"/>
          <w:sz w:val="22"/>
          <w:szCs w:val="22"/>
        </w:rPr>
        <w:t>seek to optimise residential and non-residential densities and provide infrastructure to sustain growth</w:t>
      </w:r>
    </w:p>
    <w:p w:rsidR="00151C2F" w:rsidRPr="00301DAA" w:rsidRDefault="00151C2F" w:rsidP="009F133B">
      <w:pPr>
        <w:pStyle w:val="Bulletspolicy"/>
        <w:numPr>
          <w:ilvl w:val="0"/>
          <w:numId w:val="62"/>
        </w:numPr>
        <w:tabs>
          <w:tab w:val="clear" w:pos="369"/>
          <w:tab w:val="clear" w:pos="567"/>
          <w:tab w:val="left" w:pos="851"/>
        </w:tabs>
        <w:spacing w:after="120" w:line="240" w:lineRule="auto"/>
        <w:ind w:left="709" w:right="-22"/>
        <w:jc w:val="both"/>
        <w:rPr>
          <w:rFonts w:ascii="Foundry Form Sans" w:eastAsia="Times New Roman" w:hAnsi="Foundry Form Sans" w:cs="Arial"/>
          <w:color w:val="auto"/>
          <w:sz w:val="22"/>
          <w:szCs w:val="22"/>
        </w:rPr>
      </w:pPr>
      <w:r w:rsidRPr="00301DAA">
        <w:rPr>
          <w:rFonts w:ascii="Foundry Form Sans" w:eastAsia="Times New Roman" w:hAnsi="Foundry Form Sans" w:cs="Arial"/>
          <w:color w:val="auto"/>
          <w:sz w:val="22"/>
          <w:szCs w:val="22"/>
        </w:rPr>
        <w:lastRenderedPageBreak/>
        <w:t>contribute towards meeting the minimum guidelines for housing and/or employment capacity</w:t>
      </w:r>
    </w:p>
    <w:p w:rsidR="00151C2F" w:rsidRPr="00301DAA" w:rsidRDefault="00151C2F" w:rsidP="009F133B">
      <w:pPr>
        <w:pStyle w:val="Bulletspolicy"/>
        <w:numPr>
          <w:ilvl w:val="0"/>
          <w:numId w:val="62"/>
        </w:numPr>
        <w:tabs>
          <w:tab w:val="clear" w:pos="369"/>
          <w:tab w:val="clear" w:pos="567"/>
          <w:tab w:val="left" w:pos="851"/>
        </w:tabs>
        <w:spacing w:after="120" w:line="240" w:lineRule="auto"/>
        <w:ind w:left="709" w:right="-22"/>
        <w:jc w:val="both"/>
        <w:rPr>
          <w:rFonts w:ascii="Foundry Form Sans" w:eastAsia="Times New Roman" w:hAnsi="Foundry Form Sans" w:cs="Arial"/>
          <w:color w:val="auto"/>
          <w:sz w:val="22"/>
          <w:szCs w:val="22"/>
        </w:rPr>
      </w:pPr>
      <w:r w:rsidRPr="00301DAA">
        <w:rPr>
          <w:rFonts w:ascii="Foundry Form Sans" w:eastAsia="Times New Roman" w:hAnsi="Foundry Form Sans" w:cs="Arial"/>
          <w:color w:val="auto"/>
          <w:sz w:val="22"/>
          <w:szCs w:val="22"/>
        </w:rPr>
        <w:t>realise scope for intensification associated with improvements in public transport accessibility and promote inclusive access including cycling and walking</w:t>
      </w:r>
    </w:p>
    <w:p w:rsidR="00151C2F" w:rsidRPr="005C01D5" w:rsidRDefault="00151C2F" w:rsidP="009F133B">
      <w:pPr>
        <w:pStyle w:val="Bulletspolicy"/>
        <w:numPr>
          <w:ilvl w:val="0"/>
          <w:numId w:val="62"/>
        </w:numPr>
        <w:tabs>
          <w:tab w:val="clear" w:pos="369"/>
          <w:tab w:val="clear" w:pos="567"/>
          <w:tab w:val="left" w:pos="851"/>
        </w:tabs>
        <w:spacing w:after="120" w:line="240" w:lineRule="auto"/>
        <w:ind w:left="709" w:right="-22"/>
        <w:jc w:val="both"/>
        <w:rPr>
          <w:rFonts w:ascii="Foundry Form Sans" w:eastAsia="Times New Roman" w:hAnsi="Foundry Form Sans" w:cs="Arial"/>
          <w:color w:val="000000" w:themeColor="text1"/>
          <w:sz w:val="22"/>
          <w:szCs w:val="22"/>
        </w:rPr>
      </w:pPr>
      <w:r w:rsidRPr="005C01D5">
        <w:rPr>
          <w:rFonts w:ascii="Foundry Form Sans" w:eastAsia="Times New Roman" w:hAnsi="Foundry Form Sans" w:cs="Arial"/>
          <w:color w:val="000000" w:themeColor="text1"/>
          <w:sz w:val="22"/>
          <w:szCs w:val="22"/>
        </w:rPr>
        <w:t>support wider regeneration and integrate development proposals to the surrounding areas.</w:t>
      </w:r>
    </w:p>
    <w:p w:rsidR="00151C2F" w:rsidRPr="007F1A91" w:rsidRDefault="00151C2F"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 xml:space="preserve">The Mayor of London, LBN and TfL are working together to prepare an Opportunity Area Planning Framework (OAPF) for the Royal Docks &amp; Beckton Riverside - a key part of </w:t>
      </w:r>
      <w:r w:rsidRPr="007E1F2C">
        <w:rPr>
          <w:rFonts w:ascii="Foundry Form Sans" w:hAnsi="Foundry Form Sans" w:cs="Arial"/>
          <w:lang w:eastAsia="en-GB"/>
        </w:rPr>
        <w:t xml:space="preserve">the </w:t>
      </w:r>
      <w:hyperlink r:id="rId12" w:tooltip="Link to City in the East page" w:history="1">
        <w:r w:rsidRPr="009F133B">
          <w:rPr>
            <w:rFonts w:ascii="Foundry Form Sans" w:hAnsi="Foundry Form Sans"/>
            <w:lang w:eastAsia="en-GB"/>
          </w:rPr>
          <w:t>City in the East</w:t>
        </w:r>
      </w:hyperlink>
      <w:r w:rsidRPr="007F1A91">
        <w:rPr>
          <w:rFonts w:ascii="Foundry Form Sans" w:hAnsi="Foundry Form Sans" w:cs="Arial"/>
          <w:lang w:eastAsia="en-GB"/>
        </w:rPr>
        <w:t xml:space="preserve"> spatial plan launched in October 2015. A working draft can be downloaded at; </w:t>
      </w:r>
      <w:hyperlink r:id="rId13" w:history="1">
        <w:r w:rsidR="00655228" w:rsidRPr="007F1A91">
          <w:rPr>
            <w:rFonts w:ascii="Foundry Form Sans" w:hAnsi="Foundry Form Sans"/>
            <w:lang w:eastAsia="en-GB"/>
          </w:rPr>
          <w:t>https://www.london.gov.uk/sites/default/files/0315_draft_royal_docks_oapf_web_low_res.pdf</w:t>
        </w:r>
      </w:hyperlink>
      <w:r w:rsidR="00655228" w:rsidRPr="007F1A91">
        <w:rPr>
          <w:rFonts w:ascii="Foundry Form Sans" w:hAnsi="Foundry Form Sans" w:cs="Arial"/>
          <w:lang w:eastAsia="en-GB"/>
        </w:rPr>
        <w:t xml:space="preserve"> </w:t>
      </w:r>
    </w:p>
    <w:p w:rsidR="00151C2F" w:rsidRPr="007F1A91" w:rsidRDefault="00151C2F" w:rsidP="009F133B">
      <w:pPr>
        <w:pStyle w:val="BodyText"/>
        <w:numPr>
          <w:ilvl w:val="2"/>
          <w:numId w:val="42"/>
        </w:numPr>
        <w:spacing w:after="120" w:line="23" w:lineRule="atLeast"/>
        <w:ind w:left="284"/>
        <w:jc w:val="both"/>
        <w:rPr>
          <w:rFonts w:ascii="Foundry Form Sans" w:hAnsi="Foundry Form Sans" w:cs="Arial"/>
          <w:lang w:eastAsia="en-GB"/>
        </w:rPr>
      </w:pPr>
      <w:r w:rsidRPr="007F1A91">
        <w:rPr>
          <w:rFonts w:ascii="Foundry Form Sans" w:hAnsi="Foundry Form Sans" w:cs="Arial"/>
          <w:lang w:eastAsia="en-GB"/>
        </w:rPr>
        <w:t>This working draft sets out a series of plans indicating how the regeneration of the area can be continued and the potential to provide 25,500 new homes and 60,000 new jobs realised. The Royal Docks has a proud history at the forefront of international trade and exchange. There is enormous potential in this area to provide both a world-class business destination and new homes for a growing London. The coming of the Elizabeth Line (Crossrail) and new crossings over the Thames, such as the Silvertown Tunnel, place the Royal Docks in the vanguard of the City in the East.</w:t>
      </w: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lang w:eastAsia="en-GB"/>
        </w:rPr>
      </w:pPr>
      <w:r w:rsidRPr="00027DF3">
        <w:rPr>
          <w:rFonts w:ascii="Foundry Form Sans" w:hAnsi="Foundry Form Sans" w:cs="Arial"/>
          <w:lang w:eastAsia="en-GB"/>
        </w:rPr>
        <w:t xml:space="preserve">Other policies relevant to the </w:t>
      </w:r>
      <w:r w:rsidR="00514E0E">
        <w:rPr>
          <w:rFonts w:ascii="Foundry Form Sans" w:hAnsi="Foundry Form Sans" w:cs="Arial"/>
          <w:lang w:eastAsia="en-GB"/>
        </w:rPr>
        <w:t>Site</w:t>
      </w:r>
      <w:r w:rsidRPr="00027DF3">
        <w:rPr>
          <w:rFonts w:ascii="Foundry Form Sans" w:hAnsi="Foundry Form Sans" w:cs="Arial"/>
          <w:lang w:eastAsia="en-GB"/>
        </w:rPr>
        <w:t xml:space="preserve"> include:</w:t>
      </w:r>
    </w:p>
    <w:p w:rsidR="00D4064D" w:rsidRPr="002A6358" w:rsidRDefault="00762559" w:rsidP="00446F42">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sidRPr="00ED2F03">
        <w:rPr>
          <w:rFonts w:ascii="Foundry Form Sans" w:eastAsia="Times New Roman" w:hAnsi="Foundry Form Sans" w:cs="Arial"/>
          <w:color w:val="auto"/>
          <w:sz w:val="22"/>
          <w:szCs w:val="22"/>
        </w:rPr>
        <w:t xml:space="preserve">Policy 2.13 Opportunity Areas and Intensification Areas </w:t>
      </w:r>
      <w:r>
        <w:rPr>
          <w:rFonts w:ascii="Foundry Form Sans" w:eastAsia="Times New Roman" w:hAnsi="Foundry Form Sans" w:cs="Arial"/>
          <w:color w:val="auto"/>
          <w:sz w:val="22"/>
          <w:szCs w:val="22"/>
        </w:rPr>
        <w:t xml:space="preserve"> </w:t>
      </w:r>
      <w:r w:rsidR="00D4064D" w:rsidRPr="002A6358">
        <w:rPr>
          <w:rFonts w:ascii="Foundry Form Sans" w:eastAsia="Times New Roman" w:hAnsi="Foundry Form Sans" w:cs="Arial"/>
          <w:color w:val="auto"/>
          <w:sz w:val="22"/>
          <w:szCs w:val="22"/>
        </w:rPr>
        <w:t>Policy 2.14 ‘</w:t>
      </w:r>
      <w:r w:rsidR="00D4064D" w:rsidRPr="00D4064D">
        <w:rPr>
          <w:rFonts w:ascii="Foundry Form Sans" w:eastAsia="Times New Roman" w:hAnsi="Foundry Form Sans" w:cs="Arial"/>
          <w:color w:val="auto"/>
          <w:sz w:val="22"/>
          <w:szCs w:val="22"/>
        </w:rPr>
        <w:t xml:space="preserve">Areas for </w:t>
      </w:r>
      <w:r w:rsidR="00D4064D">
        <w:rPr>
          <w:rFonts w:ascii="Foundry Form Sans" w:eastAsia="Times New Roman" w:hAnsi="Foundry Form Sans" w:cs="Arial"/>
          <w:color w:val="auto"/>
          <w:sz w:val="22"/>
          <w:szCs w:val="22"/>
        </w:rPr>
        <w:t>R</w:t>
      </w:r>
      <w:r w:rsidR="00D4064D" w:rsidRPr="002A6358">
        <w:rPr>
          <w:rFonts w:ascii="Foundry Form Sans" w:eastAsia="Times New Roman" w:hAnsi="Foundry Form Sans" w:cs="Arial"/>
          <w:color w:val="auto"/>
          <w:sz w:val="22"/>
          <w:szCs w:val="22"/>
        </w:rPr>
        <w:t>egeneration’</w:t>
      </w:r>
    </w:p>
    <w:p w:rsidR="00762559" w:rsidRPr="00BE2E0D" w:rsidRDefault="00762559" w:rsidP="00ED2417">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sidRPr="00BE2E0D">
        <w:rPr>
          <w:rFonts w:ascii="Foundry Form Sans" w:eastAsia="Times New Roman" w:hAnsi="Foundry Form Sans" w:cs="Arial"/>
          <w:color w:val="auto"/>
          <w:sz w:val="22"/>
          <w:szCs w:val="22"/>
        </w:rPr>
        <w:t>Policy 3.3 ‘Increasing Housing Supply’</w:t>
      </w:r>
    </w:p>
    <w:p w:rsidR="00762559" w:rsidRDefault="00762559" w:rsidP="00ED2417">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sidRPr="00BE2E0D">
        <w:rPr>
          <w:rFonts w:ascii="Foundry Form Sans" w:eastAsia="Times New Roman" w:hAnsi="Foundry Form Sans" w:cs="Arial"/>
          <w:color w:val="auto"/>
          <w:sz w:val="22"/>
          <w:szCs w:val="22"/>
        </w:rPr>
        <w:t>Policy 3.4 ‘Optimising Housing Potential’</w:t>
      </w:r>
    </w:p>
    <w:p w:rsidR="00762559" w:rsidRDefault="00762559" w:rsidP="00ED2417">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Pr>
          <w:rFonts w:ascii="Foundry Form Sans" w:eastAsia="Times New Roman" w:hAnsi="Foundry Form Sans" w:cs="Arial"/>
          <w:color w:val="auto"/>
          <w:sz w:val="22"/>
          <w:szCs w:val="22"/>
        </w:rPr>
        <w:t>Policy 3.5 ‘Quality and design of housing developments’</w:t>
      </w:r>
    </w:p>
    <w:p w:rsidR="00762559" w:rsidRDefault="00762559" w:rsidP="00ED2417">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Pr>
          <w:rFonts w:ascii="Foundry Form Sans" w:eastAsia="Times New Roman" w:hAnsi="Foundry Form Sans" w:cs="Arial"/>
          <w:color w:val="auto"/>
          <w:sz w:val="22"/>
          <w:szCs w:val="22"/>
        </w:rPr>
        <w:t xml:space="preserve">Policy 3.16 </w:t>
      </w:r>
      <w:r w:rsidR="007851AC">
        <w:rPr>
          <w:rFonts w:ascii="Foundry Form Sans" w:eastAsia="Times New Roman" w:hAnsi="Foundry Form Sans" w:cs="Arial"/>
          <w:color w:val="auto"/>
          <w:sz w:val="22"/>
          <w:szCs w:val="22"/>
        </w:rPr>
        <w:t>'</w:t>
      </w:r>
      <w:r>
        <w:rPr>
          <w:rFonts w:ascii="Foundry Form Sans" w:eastAsia="Times New Roman" w:hAnsi="Foundry Form Sans" w:cs="Arial"/>
          <w:color w:val="auto"/>
          <w:sz w:val="22"/>
          <w:szCs w:val="22"/>
        </w:rPr>
        <w:t>Protection and enhancement of social infrastructure</w:t>
      </w:r>
      <w:r w:rsidR="007851AC">
        <w:rPr>
          <w:rFonts w:ascii="Foundry Form Sans" w:eastAsia="Times New Roman" w:hAnsi="Foundry Form Sans" w:cs="Arial"/>
          <w:color w:val="auto"/>
          <w:sz w:val="22"/>
          <w:szCs w:val="22"/>
        </w:rPr>
        <w:t>'</w:t>
      </w:r>
    </w:p>
    <w:p w:rsidR="00762559" w:rsidRPr="00BE2E0D" w:rsidRDefault="00762559" w:rsidP="00ED2417">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Pr>
          <w:rFonts w:ascii="Foundry Form Sans" w:eastAsia="Times New Roman" w:hAnsi="Foundry Form Sans" w:cs="Arial"/>
          <w:color w:val="auto"/>
          <w:sz w:val="22"/>
          <w:szCs w:val="22"/>
        </w:rPr>
        <w:t xml:space="preserve">Policy 3.19 </w:t>
      </w:r>
      <w:r w:rsidR="007851AC">
        <w:rPr>
          <w:rFonts w:ascii="Foundry Form Sans" w:eastAsia="Times New Roman" w:hAnsi="Foundry Form Sans" w:cs="Arial"/>
          <w:color w:val="auto"/>
          <w:sz w:val="22"/>
          <w:szCs w:val="22"/>
        </w:rPr>
        <w:t>'</w:t>
      </w:r>
      <w:r>
        <w:rPr>
          <w:rFonts w:ascii="Foundry Form Sans" w:eastAsia="Times New Roman" w:hAnsi="Foundry Form Sans" w:cs="Arial"/>
          <w:color w:val="auto"/>
          <w:sz w:val="22"/>
          <w:szCs w:val="22"/>
        </w:rPr>
        <w:t>Sports facilities</w:t>
      </w:r>
      <w:r w:rsidR="007851AC">
        <w:rPr>
          <w:rFonts w:ascii="Foundry Form Sans" w:eastAsia="Times New Roman" w:hAnsi="Foundry Form Sans" w:cs="Arial"/>
          <w:color w:val="auto"/>
          <w:sz w:val="22"/>
          <w:szCs w:val="22"/>
        </w:rPr>
        <w:t>'</w:t>
      </w:r>
    </w:p>
    <w:p w:rsidR="007851AC" w:rsidRPr="00AC453C" w:rsidRDefault="007851AC" w:rsidP="009E2CF2">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Pr>
          <w:rFonts w:ascii="Foundry Form Sans" w:eastAsia="Times New Roman" w:hAnsi="Foundry Form Sans" w:cs="Arial"/>
          <w:color w:val="auto"/>
          <w:sz w:val="22"/>
          <w:szCs w:val="22"/>
        </w:rPr>
        <w:t>Policy 4.4 'Managing industrial land and premises'</w:t>
      </w:r>
    </w:p>
    <w:p w:rsidR="00762559" w:rsidRPr="00AC453C" w:rsidRDefault="00762559">
      <w:pPr>
        <w:pStyle w:val="Bulletspolicy"/>
        <w:numPr>
          <w:ilvl w:val="0"/>
          <w:numId w:val="57"/>
        </w:numPr>
        <w:tabs>
          <w:tab w:val="clear" w:pos="369"/>
          <w:tab w:val="clear" w:pos="567"/>
          <w:tab w:val="left" w:pos="851"/>
        </w:tabs>
        <w:spacing w:after="120" w:line="240" w:lineRule="auto"/>
        <w:ind w:left="284" w:right="-22" w:firstLine="0"/>
        <w:jc w:val="both"/>
        <w:rPr>
          <w:rFonts w:ascii="Foundry Form Sans" w:eastAsia="Times New Roman" w:hAnsi="Foundry Form Sans" w:cs="Arial"/>
          <w:color w:val="auto"/>
          <w:sz w:val="22"/>
          <w:szCs w:val="22"/>
        </w:rPr>
      </w:pPr>
      <w:r w:rsidRPr="00BE2E0D">
        <w:rPr>
          <w:rFonts w:ascii="Foundry Form Sans" w:eastAsia="Times New Roman" w:hAnsi="Foundry Form Sans" w:cs="Arial"/>
          <w:color w:val="auto"/>
          <w:sz w:val="22"/>
          <w:szCs w:val="22"/>
        </w:rPr>
        <w:t>Policy 5.3 ‘Sustainable Design and Construction’</w:t>
      </w:r>
    </w:p>
    <w:p w:rsidR="00A3335F" w:rsidRPr="00027DF3" w:rsidRDefault="00A3335F">
      <w:pPr>
        <w:ind w:left="284"/>
        <w:jc w:val="both"/>
        <w:rPr>
          <w:rFonts w:ascii="Foundry Form Sans" w:hAnsi="Foundry Form Sans" w:cs="Arial"/>
          <w:sz w:val="22"/>
          <w:szCs w:val="22"/>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LBN’s Core Strategy</w:t>
      </w:r>
    </w:p>
    <w:p w:rsidR="008F717E" w:rsidRPr="007F1A91" w:rsidRDefault="007851AC" w:rsidP="009F133B">
      <w:pPr>
        <w:pStyle w:val="BodyText"/>
        <w:numPr>
          <w:ilvl w:val="2"/>
          <w:numId w:val="42"/>
        </w:numPr>
        <w:spacing w:after="120" w:line="23" w:lineRule="atLeast"/>
        <w:ind w:left="284"/>
        <w:jc w:val="both"/>
        <w:rPr>
          <w:rFonts w:ascii="Foundry Form Sans" w:hAnsi="Foundry Form Sans" w:cs="Arial"/>
          <w:lang w:eastAsia="en-GB"/>
        </w:rPr>
      </w:pPr>
      <w:r>
        <w:rPr>
          <w:rFonts w:ascii="Foundry Form Sans" w:hAnsi="Foundry Form Sans" w:cs="Arial"/>
          <w:lang w:eastAsia="en-GB"/>
        </w:rPr>
        <w:t>LBN</w:t>
      </w:r>
      <w:r w:rsidR="008C096B" w:rsidRPr="00BE2E0D">
        <w:rPr>
          <w:rFonts w:ascii="Foundry Form Sans" w:hAnsi="Foundry Form Sans" w:cs="Arial"/>
          <w:lang w:eastAsia="en-GB"/>
        </w:rPr>
        <w:t xml:space="preserve">’s Core Strategy </w:t>
      </w:r>
      <w:r w:rsidR="008C096B">
        <w:rPr>
          <w:rFonts w:ascii="Foundry Form Sans" w:hAnsi="Foundry Form Sans" w:cs="Arial"/>
          <w:lang w:eastAsia="en-GB"/>
        </w:rPr>
        <w:t xml:space="preserve">provides the overarching planning policy for the borough. Policy S5 of the Core Strategy considers Beckton as having capacity to deliver 1,600 new additional dwellings with the majority of these to come forward on strategic sites. Additionally, ‘Albert Basin’ (S19) has been identified as a strategic site within the wider Beckton area. Policy S19 </w:t>
      </w:r>
      <w:r w:rsidR="00B63AF4">
        <w:rPr>
          <w:rFonts w:ascii="Foundry Form Sans" w:hAnsi="Foundry Form Sans" w:cs="Arial"/>
          <w:lang w:eastAsia="en-GB"/>
        </w:rPr>
        <w:t xml:space="preserve">is relevant to the </w:t>
      </w:r>
      <w:r w:rsidR="00514E0E">
        <w:rPr>
          <w:rFonts w:ascii="Foundry Form Sans" w:hAnsi="Foundry Form Sans" w:cs="Arial"/>
          <w:lang w:eastAsia="en-GB"/>
        </w:rPr>
        <w:t>Site</w:t>
      </w:r>
      <w:r w:rsidR="00B63AF4">
        <w:rPr>
          <w:rFonts w:ascii="Foundry Form Sans" w:hAnsi="Foundry Form Sans" w:cs="Arial"/>
          <w:lang w:eastAsia="en-GB"/>
        </w:rPr>
        <w:t xml:space="preserve"> and </w:t>
      </w:r>
      <w:r w:rsidR="008C096B">
        <w:rPr>
          <w:rFonts w:ascii="Foundry Form Sans" w:hAnsi="Foundry Form Sans" w:cs="Arial"/>
          <w:lang w:eastAsia="en-GB"/>
        </w:rPr>
        <w:t>states</w:t>
      </w:r>
      <w:r w:rsidR="008C096B" w:rsidRPr="00F34B03">
        <w:rPr>
          <w:rFonts w:ascii="Foundry Form Sans" w:hAnsi="Foundry Form Sans" w:cs="Arial"/>
          <w:lang w:eastAsia="en-GB"/>
        </w:rPr>
        <w:t>:</w:t>
      </w:r>
    </w:p>
    <w:p w:rsidR="00A32BE0" w:rsidRPr="007F1A91" w:rsidRDefault="00A32BE0" w:rsidP="009F133B">
      <w:pPr>
        <w:pStyle w:val="BodyText"/>
        <w:spacing w:after="120" w:line="23" w:lineRule="atLeast"/>
        <w:ind w:left="567" w:right="380" w:hanging="1003"/>
        <w:jc w:val="both"/>
        <w:rPr>
          <w:rFonts w:ascii="Foundry Form Sans" w:hAnsi="Foundry Form Sans" w:cs="Arial"/>
          <w:lang w:eastAsia="en-GB"/>
        </w:rPr>
      </w:pPr>
      <w:r w:rsidRPr="00F34B03">
        <w:rPr>
          <w:rFonts w:ascii="Foundry Form Sans" w:hAnsi="Foundry Form Sans" w:cs="Arial"/>
          <w:lang w:eastAsia="en-GB"/>
        </w:rPr>
        <w:t>“</w:t>
      </w:r>
      <w:r w:rsidRPr="007F1A91">
        <w:rPr>
          <w:rFonts w:ascii="Foundry Form Sans" w:hAnsi="Foundry Form Sans" w:cs="Arial"/>
          <w:lang w:eastAsia="en-GB"/>
        </w:rPr>
        <w:t xml:space="preserve">New housing around Albert Dock Basin will consolidate existing residential development, with a new local centre focused around Gallions Reach DLR station, providing day-to-day shopping, health, education and community uses. North of Armada Way new development will be employment-led and consistent with Strategic Industrial Locations (SIL). Residential development will be focused around the southern end of the </w:t>
      </w:r>
      <w:r w:rsidR="00514E0E">
        <w:rPr>
          <w:rFonts w:ascii="Foundry Form Sans" w:hAnsi="Foundry Form Sans" w:cs="Arial"/>
          <w:lang w:eastAsia="en-GB"/>
        </w:rPr>
        <w:t>Site</w:t>
      </w:r>
      <w:r w:rsidRPr="007F1A91">
        <w:rPr>
          <w:rFonts w:ascii="Foundry Form Sans" w:hAnsi="Foundry Form Sans" w:cs="Arial"/>
          <w:lang w:eastAsia="en-GB"/>
        </w:rPr>
        <w:t xml:space="preserve">, with some B1 business space, building on links with UEL and Royal Albert North. Legible walking and cycling routes should be provided through the </w:t>
      </w:r>
      <w:r w:rsidR="00514E0E">
        <w:rPr>
          <w:rFonts w:ascii="Foundry Form Sans" w:hAnsi="Foundry Form Sans" w:cs="Arial"/>
          <w:lang w:eastAsia="en-GB"/>
        </w:rPr>
        <w:t>Site</w:t>
      </w:r>
      <w:r w:rsidRPr="007F1A91">
        <w:rPr>
          <w:rFonts w:ascii="Foundry Form Sans" w:hAnsi="Foundry Form Sans" w:cs="Arial"/>
          <w:lang w:eastAsia="en-GB"/>
        </w:rPr>
        <w:t xml:space="preserve"> from the DLR station to the waterfront. Indicative residential typology - medium</w:t>
      </w:r>
      <w:r w:rsidR="006E378F" w:rsidRPr="007F1A91">
        <w:rPr>
          <w:rFonts w:ascii="Foundry Form Sans" w:hAnsi="Foundry Form Sans" w:cs="Arial"/>
          <w:lang w:eastAsia="en-GB"/>
        </w:rPr>
        <w:t xml:space="preserve"> </w:t>
      </w:r>
      <w:r w:rsidRPr="007F1A91">
        <w:rPr>
          <w:rFonts w:ascii="Foundry Form Sans" w:hAnsi="Foundry Form Sans" w:cs="Arial"/>
          <w:lang w:eastAsia="en-GB"/>
        </w:rPr>
        <w:t>density medium family.</w:t>
      </w:r>
      <w:r w:rsidRPr="00F34B03">
        <w:rPr>
          <w:rFonts w:ascii="Foundry Form Sans" w:hAnsi="Foundry Form Sans" w:cs="Arial"/>
          <w:lang w:eastAsia="en-GB"/>
        </w:rPr>
        <w:t>”</w:t>
      </w:r>
      <w:r w:rsidRPr="000B3B46">
        <w:rPr>
          <w:rFonts w:ascii="Foundry Form Sans" w:hAnsi="Foundry Form Sans" w:cs="Arial"/>
          <w:lang w:eastAsia="en-GB"/>
        </w:rPr>
        <w:t xml:space="preserve"> </w:t>
      </w:r>
      <w:r>
        <w:rPr>
          <w:rFonts w:ascii="Foundry Form Sans" w:hAnsi="Foundry Form Sans" w:cs="Arial"/>
          <w:lang w:eastAsia="en-GB"/>
        </w:rPr>
        <w:tab/>
      </w:r>
    </w:p>
    <w:p w:rsidR="00A32BE0" w:rsidRDefault="00A32BE0" w:rsidP="009F133B">
      <w:pPr>
        <w:pStyle w:val="BodyText"/>
        <w:numPr>
          <w:ilvl w:val="2"/>
          <w:numId w:val="42"/>
        </w:numPr>
        <w:spacing w:after="120" w:line="23" w:lineRule="atLeast"/>
        <w:ind w:left="284"/>
        <w:jc w:val="both"/>
        <w:rPr>
          <w:rFonts w:ascii="Foundry Form Sans" w:hAnsi="Foundry Form Sans" w:cs="Arial"/>
          <w:lang w:eastAsia="en-GB"/>
        </w:rPr>
      </w:pPr>
      <w:r w:rsidRPr="004F316F">
        <w:rPr>
          <w:rFonts w:ascii="Foundry Form Sans" w:hAnsi="Foundry Form Sans" w:cs="Arial"/>
          <w:lang w:eastAsia="en-GB"/>
        </w:rPr>
        <w:t>The Core Strategy also requires improvements to the public realm and overall standard of design in the area, in addition to improvements to sustainability and efficiency though use of the Thames Gateway Heat Network.</w:t>
      </w:r>
    </w:p>
    <w:p w:rsidR="00A32BE0" w:rsidRPr="004F316F" w:rsidRDefault="00A32BE0" w:rsidP="009F133B">
      <w:pPr>
        <w:pStyle w:val="BodyText"/>
        <w:spacing w:after="120" w:line="23" w:lineRule="atLeast"/>
        <w:ind w:left="-436"/>
        <w:jc w:val="both"/>
        <w:rPr>
          <w:rFonts w:ascii="Foundry Form Sans" w:hAnsi="Foundry Form Sans" w:cs="Arial"/>
          <w:lang w:eastAsia="en-GB"/>
        </w:rPr>
      </w:pPr>
    </w:p>
    <w:p w:rsidR="00A32BE0" w:rsidRPr="00305CB6" w:rsidRDefault="00A32BE0" w:rsidP="009F133B">
      <w:pPr>
        <w:pStyle w:val="BodyText"/>
        <w:numPr>
          <w:ilvl w:val="2"/>
          <w:numId w:val="42"/>
        </w:numPr>
        <w:spacing w:after="120" w:line="23" w:lineRule="atLeast"/>
        <w:ind w:left="284"/>
        <w:jc w:val="both"/>
        <w:rPr>
          <w:rFonts w:ascii="Foundry Form Sans" w:hAnsi="Foundry Form Sans" w:cs="Arial"/>
          <w:lang w:eastAsia="en-GB"/>
        </w:rPr>
      </w:pPr>
      <w:r w:rsidRPr="00305CB6">
        <w:rPr>
          <w:rFonts w:ascii="Foundry Form Sans" w:hAnsi="Foundry Form Sans" w:cs="Arial"/>
          <w:lang w:eastAsia="en-GB"/>
        </w:rPr>
        <w:t xml:space="preserve">Further information can be viewed via the </w:t>
      </w:r>
      <w:r w:rsidR="00B63AF4">
        <w:rPr>
          <w:rFonts w:ascii="Foundry Form Sans" w:hAnsi="Foundry Form Sans" w:cs="Arial"/>
          <w:lang w:eastAsia="en-GB"/>
        </w:rPr>
        <w:t>LBN w</w:t>
      </w:r>
      <w:r w:rsidRPr="00305CB6">
        <w:rPr>
          <w:rFonts w:ascii="Foundry Form Sans" w:hAnsi="Foundry Form Sans" w:cs="Arial"/>
          <w:lang w:eastAsia="en-GB"/>
        </w:rPr>
        <w:t>ebsite:</w:t>
      </w:r>
    </w:p>
    <w:p w:rsidR="00156E46" w:rsidRDefault="009C6609" w:rsidP="00446F42">
      <w:pPr>
        <w:pStyle w:val="ListParagraph"/>
        <w:spacing w:before="20" w:after="20"/>
        <w:ind w:left="284" w:right="-22"/>
        <w:jc w:val="both"/>
        <w:rPr>
          <w:rStyle w:val="Hyperlink"/>
          <w:rFonts w:ascii="Foundry Form Sans" w:hAnsi="Foundry Form Sans" w:cs="Arial"/>
          <w:sz w:val="22"/>
          <w:szCs w:val="22"/>
          <w:lang w:val="en-GB" w:eastAsia="en-GB"/>
        </w:rPr>
      </w:pPr>
      <w:hyperlink r:id="rId14" w:history="1">
        <w:r w:rsidR="00A32BE0" w:rsidRPr="008A6D96">
          <w:rPr>
            <w:rStyle w:val="Hyperlink"/>
            <w:rFonts w:ascii="Foundry Form Sans" w:hAnsi="Foundry Form Sans" w:cs="Arial"/>
            <w:sz w:val="22"/>
            <w:szCs w:val="22"/>
          </w:rPr>
          <w:t>www.newham.gov.uk/Documents/Environment%20and%20planning/CoreStrategy2004-13.pdf</w:t>
        </w:r>
      </w:hyperlink>
    </w:p>
    <w:p w:rsidR="00ED2F03" w:rsidRDefault="00ED2F03" w:rsidP="00ED2417">
      <w:pPr>
        <w:pStyle w:val="ListParagraph"/>
        <w:spacing w:before="20" w:after="20"/>
        <w:ind w:left="284" w:right="-22"/>
        <w:jc w:val="both"/>
        <w:rPr>
          <w:rStyle w:val="Hyperlink"/>
          <w:rFonts w:ascii="Foundry Form Sans" w:hAnsi="Foundry Form Sans" w:cs="Arial"/>
          <w:sz w:val="22"/>
          <w:szCs w:val="22"/>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 xml:space="preserve">Other </w:t>
      </w:r>
      <w:r w:rsidR="00B63AF4">
        <w:rPr>
          <w:rFonts w:ascii="Foundry Form Sans" w:hAnsi="Foundry Form Sans" w:cs="Arial"/>
          <w:b/>
        </w:rPr>
        <w:t>r</w:t>
      </w:r>
      <w:r w:rsidRPr="00027DF3">
        <w:rPr>
          <w:rFonts w:ascii="Foundry Form Sans" w:hAnsi="Foundry Form Sans" w:cs="Arial"/>
          <w:b/>
        </w:rPr>
        <w:t xml:space="preserve">elevant </w:t>
      </w:r>
      <w:r w:rsidR="00B63AF4">
        <w:rPr>
          <w:rFonts w:ascii="Foundry Form Sans" w:hAnsi="Foundry Form Sans" w:cs="Arial"/>
          <w:b/>
        </w:rPr>
        <w:t>d</w:t>
      </w:r>
      <w:r w:rsidRPr="00027DF3">
        <w:rPr>
          <w:rFonts w:ascii="Foundry Form Sans" w:hAnsi="Foundry Form Sans" w:cs="Arial"/>
          <w:b/>
        </w:rPr>
        <w:t>ocuments</w:t>
      </w:r>
      <w:r w:rsidR="00226F43" w:rsidRPr="00027DF3">
        <w:rPr>
          <w:rFonts w:ascii="Foundry Form Sans" w:hAnsi="Foundry Form Sans" w:cs="Arial"/>
          <w:b/>
        </w:rPr>
        <w:t xml:space="preserve"> </w:t>
      </w:r>
    </w:p>
    <w:p w:rsidR="00226F43" w:rsidRPr="00027DF3" w:rsidRDefault="00226F43" w:rsidP="00446F42">
      <w:pPr>
        <w:ind w:left="284"/>
        <w:jc w:val="both"/>
        <w:rPr>
          <w:rFonts w:ascii="Foundry Form Sans" w:hAnsi="Foundry Form Sans" w:cs="Arial"/>
          <w:sz w:val="22"/>
          <w:szCs w:val="22"/>
        </w:rPr>
      </w:pP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rPr>
      </w:pPr>
      <w:r w:rsidRPr="00027DF3">
        <w:rPr>
          <w:rFonts w:ascii="Foundry Form Sans" w:hAnsi="Foundry Form Sans" w:cs="Arial"/>
        </w:rPr>
        <w:t>(The GLA and LBN’s) Royal Docks Parameters for Development:  This document published in 2011 sets out the principles for coordinated development across the region.  It notes that the objective for the area is to consolidate the existing community with further residential-led schemes.</w:t>
      </w:r>
    </w:p>
    <w:p w:rsidR="00A3335F" w:rsidRDefault="00A3335F" w:rsidP="00446F42">
      <w:pPr>
        <w:ind w:left="284"/>
        <w:jc w:val="both"/>
        <w:rPr>
          <w:rFonts w:ascii="Foundry Form Sans" w:hAnsi="Foundry Form Sans" w:cs="Arial"/>
          <w:b/>
          <w:sz w:val="22"/>
          <w:szCs w:val="22"/>
        </w:rPr>
      </w:pPr>
    </w:p>
    <w:p w:rsidR="00A3335F" w:rsidRPr="00027DF3" w:rsidRDefault="00A3335F"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 xml:space="preserve">Planning </w:t>
      </w:r>
      <w:r w:rsidR="00B63AF4">
        <w:rPr>
          <w:rFonts w:ascii="Foundry Form Sans" w:hAnsi="Foundry Form Sans" w:cs="Arial"/>
          <w:b/>
        </w:rPr>
        <w:t>c</w:t>
      </w:r>
      <w:r w:rsidRPr="00027DF3">
        <w:rPr>
          <w:rFonts w:ascii="Foundry Form Sans" w:hAnsi="Foundry Form Sans" w:cs="Arial"/>
          <w:b/>
        </w:rPr>
        <w:t xml:space="preserve">onsents on the </w:t>
      </w:r>
      <w:r w:rsidR="00514E0E">
        <w:rPr>
          <w:rFonts w:ascii="Foundry Form Sans" w:hAnsi="Foundry Form Sans" w:cs="Arial"/>
          <w:b/>
        </w:rPr>
        <w:t>Site</w:t>
      </w:r>
    </w:p>
    <w:p w:rsidR="00A3335F" w:rsidRPr="00027DF3" w:rsidRDefault="00A3335F" w:rsidP="009F133B">
      <w:pPr>
        <w:pStyle w:val="BodyText"/>
        <w:numPr>
          <w:ilvl w:val="2"/>
          <w:numId w:val="42"/>
        </w:numPr>
        <w:spacing w:after="120" w:line="23" w:lineRule="atLeast"/>
        <w:ind w:left="284"/>
        <w:jc w:val="both"/>
        <w:rPr>
          <w:rFonts w:ascii="Foundry Form Sans" w:hAnsi="Foundry Form Sans" w:cs="Arial"/>
        </w:rPr>
      </w:pPr>
      <w:r w:rsidRPr="00027DF3">
        <w:rPr>
          <w:rFonts w:ascii="Foundry Form Sans" w:hAnsi="Foundry Form Sans" w:cs="Arial"/>
        </w:rPr>
        <w:t xml:space="preserve">There are no </w:t>
      </w:r>
      <w:r w:rsidR="001240E5">
        <w:rPr>
          <w:rFonts w:ascii="Foundry Form Sans" w:hAnsi="Foundry Form Sans" w:cs="Arial"/>
        </w:rPr>
        <w:t>live</w:t>
      </w:r>
      <w:r w:rsidR="001240E5" w:rsidRPr="00027DF3">
        <w:rPr>
          <w:rFonts w:ascii="Foundry Form Sans" w:hAnsi="Foundry Form Sans" w:cs="Arial"/>
        </w:rPr>
        <w:t xml:space="preserve"> </w:t>
      </w:r>
      <w:r w:rsidRPr="00027DF3">
        <w:rPr>
          <w:rFonts w:ascii="Foundry Form Sans" w:hAnsi="Foundry Form Sans" w:cs="Arial"/>
        </w:rPr>
        <w:t xml:space="preserve">planning consents on the </w:t>
      </w:r>
      <w:r w:rsidR="00514E0E">
        <w:rPr>
          <w:rFonts w:ascii="Foundry Form Sans" w:hAnsi="Foundry Form Sans" w:cs="Arial"/>
        </w:rPr>
        <w:t>Site</w:t>
      </w:r>
      <w:r w:rsidR="00216D9C">
        <w:rPr>
          <w:rFonts w:ascii="Foundry Form Sans" w:hAnsi="Foundry Form Sans" w:cs="Arial"/>
        </w:rPr>
        <w:t xml:space="preserve"> that the GLA is aware of</w:t>
      </w:r>
      <w:r w:rsidRPr="00027DF3">
        <w:rPr>
          <w:rFonts w:ascii="Foundry Form Sans" w:hAnsi="Foundry Form Sans" w:cs="Arial"/>
        </w:rPr>
        <w:t>.</w:t>
      </w:r>
    </w:p>
    <w:p w:rsidR="00FC7EF0" w:rsidRDefault="00FC7EF0" w:rsidP="009F133B">
      <w:pPr>
        <w:spacing w:after="120" w:line="23" w:lineRule="atLeast"/>
        <w:ind w:left="284"/>
        <w:jc w:val="both"/>
        <w:rPr>
          <w:rFonts w:ascii="Foundry Form Sans" w:hAnsi="Foundry Form Sans" w:cs="Arial"/>
          <w:sz w:val="22"/>
          <w:szCs w:val="22"/>
          <w:lang w:eastAsia="en-GB"/>
        </w:rPr>
      </w:pPr>
    </w:p>
    <w:p w:rsidR="005B202A" w:rsidRPr="00027DF3" w:rsidRDefault="005B202A" w:rsidP="009F133B">
      <w:pPr>
        <w:pStyle w:val="BodyText"/>
        <w:numPr>
          <w:ilvl w:val="1"/>
          <w:numId w:val="42"/>
        </w:numPr>
        <w:spacing w:after="120" w:line="23" w:lineRule="atLeast"/>
        <w:ind w:left="284"/>
        <w:jc w:val="both"/>
        <w:rPr>
          <w:rFonts w:ascii="Foundry Form Sans" w:hAnsi="Foundry Form Sans" w:cs="ConduitITC-Light"/>
          <w:b/>
          <w:lang w:eastAsia="en-GB"/>
        </w:rPr>
      </w:pPr>
      <w:r w:rsidRPr="00027DF3">
        <w:rPr>
          <w:rFonts w:ascii="Foundry Form Sans" w:hAnsi="Foundry Form Sans" w:cs="ConduitITC-Light"/>
          <w:b/>
        </w:rPr>
        <w:t>The</w:t>
      </w:r>
      <w:r w:rsidRPr="00027DF3">
        <w:rPr>
          <w:rFonts w:ascii="Foundry Form Sans" w:hAnsi="Foundry Form Sans" w:cs="ConduitITC-Light"/>
          <w:b/>
          <w:lang w:eastAsia="en-GB"/>
        </w:rPr>
        <w:t xml:space="preserve"> East London Green Grid</w:t>
      </w:r>
    </w:p>
    <w:p w:rsidR="005B202A" w:rsidRPr="003B4569" w:rsidRDefault="005B202A" w:rsidP="009F133B">
      <w:pPr>
        <w:pStyle w:val="BodyText"/>
        <w:numPr>
          <w:ilvl w:val="2"/>
          <w:numId w:val="42"/>
        </w:numPr>
        <w:spacing w:after="120" w:line="23" w:lineRule="atLeast"/>
        <w:ind w:left="284"/>
        <w:jc w:val="both"/>
        <w:rPr>
          <w:rFonts w:ascii="Foundry Form Sans" w:hAnsi="Foundry Form Sans" w:cs="ConduitITC-Light"/>
          <w:lang w:eastAsia="en-GB"/>
        </w:rPr>
      </w:pPr>
      <w:r w:rsidRPr="003B4569">
        <w:rPr>
          <w:rFonts w:ascii="Foundry Form Sans" w:hAnsi="Foundry Form Sans" w:cs="ConduitITC-Light"/>
          <w:lang w:eastAsia="en-GB"/>
        </w:rPr>
        <w:t xml:space="preserve">The </w:t>
      </w:r>
      <w:r w:rsidR="00514E0E">
        <w:rPr>
          <w:rFonts w:ascii="Foundry Form Sans" w:hAnsi="Foundry Form Sans" w:cs="ConduitITC-Light"/>
          <w:lang w:eastAsia="en-GB"/>
        </w:rPr>
        <w:t>Site</w:t>
      </w:r>
      <w:r w:rsidRPr="003B4569">
        <w:rPr>
          <w:rFonts w:ascii="Foundry Form Sans" w:hAnsi="Foundry Form Sans" w:cs="ConduitITC-Light"/>
          <w:lang w:eastAsia="en-GB"/>
        </w:rPr>
        <w:t xml:space="preserve"> </w:t>
      </w:r>
      <w:r w:rsidR="00E91D2E">
        <w:rPr>
          <w:rFonts w:ascii="Foundry Form Sans" w:hAnsi="Foundry Form Sans" w:cs="ConduitITC-Light"/>
          <w:lang w:eastAsia="en-GB"/>
        </w:rPr>
        <w:t>is</w:t>
      </w:r>
      <w:r w:rsidRPr="003B4569">
        <w:rPr>
          <w:rFonts w:ascii="Foundry Form Sans" w:hAnsi="Foundry Form Sans" w:cs="ConduitITC-Light"/>
          <w:lang w:eastAsia="en-GB"/>
        </w:rPr>
        <w:t xml:space="preserve"> located </w:t>
      </w:r>
      <w:r w:rsidR="008F717E">
        <w:rPr>
          <w:rFonts w:ascii="Foundry Form Sans" w:hAnsi="Foundry Form Sans" w:cs="ConduitITC-Light"/>
          <w:lang w:eastAsia="en-GB"/>
        </w:rPr>
        <w:t>w</w:t>
      </w:r>
      <w:r w:rsidRPr="003B4569">
        <w:rPr>
          <w:rFonts w:ascii="Foundry Form Sans" w:hAnsi="Foundry Form Sans" w:cs="ConduitITC-Light"/>
          <w:lang w:eastAsia="en-GB"/>
        </w:rPr>
        <w:t>ithin one of 3 major projects in the east London Green Grid known as</w:t>
      </w:r>
      <w:r w:rsidR="006E378F">
        <w:rPr>
          <w:rFonts w:ascii="Foundry Form Sans" w:hAnsi="Foundry Form Sans" w:cs="ConduitITC-Light"/>
          <w:lang w:eastAsia="en-GB"/>
        </w:rPr>
        <w:t xml:space="preserve"> </w:t>
      </w:r>
      <w:r w:rsidRPr="003B4569">
        <w:rPr>
          <w:rFonts w:ascii="Foundry Form Sans" w:hAnsi="Foundry Form Sans" w:cs="ConduitITC-Light"/>
          <w:lang w:eastAsia="en-GB"/>
        </w:rPr>
        <w:t xml:space="preserve">the Cross River Park. This initiative </w:t>
      </w:r>
      <w:r w:rsidR="00B63AF4">
        <w:rPr>
          <w:rFonts w:ascii="Foundry Form Sans" w:hAnsi="Foundry Form Sans" w:cs="ConduitITC-Light"/>
          <w:lang w:eastAsia="en-GB"/>
        </w:rPr>
        <w:t>(</w:t>
      </w:r>
      <w:r w:rsidRPr="003B4569">
        <w:rPr>
          <w:rFonts w:ascii="Foundry Form Sans" w:hAnsi="Foundry Form Sans" w:cs="ConduitITC-Light"/>
          <w:lang w:eastAsia="en-GB"/>
        </w:rPr>
        <w:t>supported by several stakeholders including the Mayor</w:t>
      </w:r>
      <w:r w:rsidR="006E378F">
        <w:rPr>
          <w:rFonts w:ascii="Foundry Form Sans" w:hAnsi="Foundry Form Sans" w:cs="ConduitITC-Light"/>
          <w:lang w:eastAsia="en-GB"/>
        </w:rPr>
        <w:t xml:space="preserve"> </w:t>
      </w:r>
      <w:r w:rsidRPr="003B4569">
        <w:rPr>
          <w:rFonts w:ascii="Foundry Form Sans" w:hAnsi="Foundry Form Sans" w:cs="ConduitITC-Light"/>
          <w:lang w:eastAsia="en-GB"/>
        </w:rPr>
        <w:t>of London</w:t>
      </w:r>
      <w:r w:rsidR="00B63AF4">
        <w:rPr>
          <w:rFonts w:ascii="Foundry Form Sans" w:hAnsi="Foundry Form Sans" w:cs="ConduitITC-Light"/>
          <w:lang w:eastAsia="en-GB"/>
        </w:rPr>
        <w:t xml:space="preserve">, LBN and the London Borough of </w:t>
      </w:r>
      <w:r w:rsidRPr="003B4569">
        <w:rPr>
          <w:rFonts w:ascii="Foundry Form Sans" w:hAnsi="Foundry Form Sans" w:cs="ConduitITC-Light"/>
          <w:lang w:eastAsia="en-GB"/>
        </w:rPr>
        <w:t>Greenwich</w:t>
      </w:r>
      <w:r w:rsidR="00B63AF4">
        <w:rPr>
          <w:rFonts w:ascii="Foundry Form Sans" w:hAnsi="Foundry Form Sans" w:cs="ConduitITC-Light"/>
          <w:lang w:eastAsia="en-GB"/>
        </w:rPr>
        <w:t>)</w:t>
      </w:r>
      <w:r w:rsidRPr="003B4569">
        <w:rPr>
          <w:rFonts w:ascii="Foundry Form Sans" w:hAnsi="Foundry Form Sans" w:cs="ConduitITC-Light"/>
          <w:lang w:eastAsia="en-GB"/>
        </w:rPr>
        <w:t xml:space="preserve"> plans to provide an extensive</w:t>
      </w:r>
      <w:r w:rsidR="006E378F">
        <w:rPr>
          <w:rFonts w:ascii="Foundry Form Sans" w:hAnsi="Foundry Form Sans" w:cs="ConduitITC-Light"/>
          <w:lang w:eastAsia="en-GB"/>
        </w:rPr>
        <w:t xml:space="preserve"> </w:t>
      </w:r>
      <w:r w:rsidRPr="003B4569">
        <w:rPr>
          <w:rFonts w:ascii="Foundry Form Sans" w:hAnsi="Foundry Form Sans" w:cs="ConduitITC-Light"/>
          <w:lang w:eastAsia="en-GB"/>
        </w:rPr>
        <w:t>network of linked green spaces in an area of Metropolitan Park deficiency, safeguarding</w:t>
      </w:r>
      <w:r w:rsidR="006E378F">
        <w:rPr>
          <w:rFonts w:ascii="Foundry Form Sans" w:hAnsi="Foundry Form Sans" w:cs="ConduitITC-Light"/>
          <w:lang w:eastAsia="en-GB"/>
        </w:rPr>
        <w:t xml:space="preserve"> </w:t>
      </w:r>
      <w:r w:rsidRPr="003B4569">
        <w:rPr>
          <w:rFonts w:ascii="Foundry Form Sans" w:hAnsi="Foundry Form Sans" w:cs="ConduitITC-Light"/>
          <w:lang w:eastAsia="en-GB"/>
        </w:rPr>
        <w:t>open space as a public amenity. These green spaces are based around existing high quality</w:t>
      </w:r>
      <w:r w:rsidR="006E378F">
        <w:rPr>
          <w:rFonts w:ascii="Foundry Form Sans" w:hAnsi="Foundry Form Sans" w:cs="ConduitITC-Light"/>
          <w:lang w:eastAsia="en-GB"/>
        </w:rPr>
        <w:t xml:space="preserve"> </w:t>
      </w:r>
      <w:r w:rsidRPr="003B4569">
        <w:rPr>
          <w:rFonts w:ascii="Foundry Form Sans" w:hAnsi="Foundry Form Sans" w:cs="ConduitITC-Light"/>
          <w:lang w:eastAsia="en-GB"/>
        </w:rPr>
        <w:t>but marginal riverine landscapes on both sides of the river.</w:t>
      </w:r>
    </w:p>
    <w:p w:rsidR="005B202A" w:rsidRPr="003B4569" w:rsidRDefault="005B202A" w:rsidP="009F133B">
      <w:pPr>
        <w:autoSpaceDE w:val="0"/>
        <w:autoSpaceDN w:val="0"/>
        <w:adjustRightInd w:val="0"/>
        <w:ind w:left="284"/>
        <w:jc w:val="both"/>
        <w:rPr>
          <w:rFonts w:ascii="Foundry Form Sans" w:hAnsi="Foundry Form Sans" w:cs="ConduitITC-Light"/>
          <w:sz w:val="22"/>
          <w:szCs w:val="22"/>
          <w:lang w:eastAsia="en-GB"/>
        </w:rPr>
      </w:pPr>
    </w:p>
    <w:p w:rsidR="005B202A" w:rsidRDefault="005B202A" w:rsidP="009F133B">
      <w:pPr>
        <w:pStyle w:val="BodyText"/>
        <w:numPr>
          <w:ilvl w:val="2"/>
          <w:numId w:val="42"/>
        </w:numPr>
        <w:spacing w:after="120" w:line="23" w:lineRule="atLeast"/>
        <w:ind w:left="284"/>
        <w:jc w:val="both"/>
        <w:rPr>
          <w:rFonts w:ascii="Foundry Form Sans" w:hAnsi="Foundry Form Sans" w:cs="ConduitITC-Light"/>
          <w:lang w:eastAsia="en-GB"/>
        </w:rPr>
      </w:pPr>
      <w:r w:rsidRPr="003B4569">
        <w:rPr>
          <w:rFonts w:ascii="Foundry Form Sans" w:hAnsi="Foundry Form Sans" w:cs="ConduitITC-Light"/>
          <w:lang w:eastAsia="en-GB"/>
        </w:rPr>
        <w:t xml:space="preserve">Development of the </w:t>
      </w:r>
      <w:r w:rsidR="00514E0E">
        <w:rPr>
          <w:rFonts w:ascii="Foundry Form Sans" w:hAnsi="Foundry Form Sans" w:cs="ConduitITC-Light"/>
          <w:lang w:eastAsia="en-GB"/>
        </w:rPr>
        <w:t>Site</w:t>
      </w:r>
      <w:r w:rsidRPr="003B4569">
        <w:rPr>
          <w:rFonts w:ascii="Foundry Form Sans" w:hAnsi="Foundry Form Sans" w:cs="ConduitITC-Light"/>
          <w:lang w:eastAsia="en-GB"/>
        </w:rPr>
        <w:t xml:space="preserve"> should incorporate green infrastructure and act as an entry point into the northern Cross River Park network. Any public open spaces in the Royal Albert Basin should contribut</w:t>
      </w:r>
      <w:r w:rsidR="008F717E">
        <w:rPr>
          <w:rFonts w:ascii="Foundry Form Sans" w:hAnsi="Foundry Form Sans" w:cs="ConduitITC-Light"/>
          <w:lang w:eastAsia="en-GB"/>
        </w:rPr>
        <w:t xml:space="preserve">e </w:t>
      </w:r>
      <w:r w:rsidRPr="003B4569">
        <w:rPr>
          <w:rFonts w:ascii="Foundry Form Sans" w:hAnsi="Foundry Form Sans" w:cs="ConduitITC-Light"/>
          <w:lang w:eastAsia="en-GB"/>
        </w:rPr>
        <w:t>to and act as a gateway to Cross River Park, as well as deliver part of the riverside walk.</w:t>
      </w:r>
    </w:p>
    <w:p w:rsidR="005B202A" w:rsidRDefault="005B202A" w:rsidP="009F133B">
      <w:pPr>
        <w:spacing w:after="120" w:line="23" w:lineRule="atLeast"/>
        <w:ind w:left="284"/>
        <w:jc w:val="both"/>
        <w:rPr>
          <w:rFonts w:ascii="Foundry Form Sans" w:hAnsi="Foundry Form Sans" w:cs="Arial"/>
          <w:sz w:val="22"/>
          <w:szCs w:val="22"/>
          <w:lang w:eastAsia="en-GB"/>
        </w:rPr>
      </w:pPr>
    </w:p>
    <w:p w:rsidR="00E75CE9" w:rsidRPr="00027DF3" w:rsidRDefault="00E75CE9" w:rsidP="009F133B">
      <w:pPr>
        <w:pStyle w:val="BodyText"/>
        <w:numPr>
          <w:ilvl w:val="1"/>
          <w:numId w:val="42"/>
        </w:numPr>
        <w:spacing w:after="120" w:line="23" w:lineRule="atLeast"/>
        <w:ind w:left="284"/>
        <w:jc w:val="both"/>
        <w:rPr>
          <w:rFonts w:ascii="Foundry Form Sans" w:hAnsi="Foundry Form Sans" w:cs="Arial"/>
          <w:b/>
          <w:lang w:eastAsia="en-GB"/>
        </w:rPr>
      </w:pPr>
      <w:r w:rsidRPr="00027DF3">
        <w:rPr>
          <w:rFonts w:ascii="Foundry Form Sans" w:hAnsi="Foundry Form Sans" w:cs="ConduitITC-Light"/>
          <w:b/>
        </w:rPr>
        <w:t>Current</w:t>
      </w:r>
      <w:r w:rsidRPr="00027DF3">
        <w:rPr>
          <w:rFonts w:ascii="Foundry Form Sans" w:hAnsi="Foundry Form Sans" w:cs="Arial"/>
          <w:b/>
          <w:lang w:eastAsia="en-GB"/>
        </w:rPr>
        <w:t xml:space="preserve"> </w:t>
      </w:r>
      <w:r w:rsidR="006B2371">
        <w:rPr>
          <w:rFonts w:ascii="Foundry Form Sans" w:hAnsi="Foundry Form Sans" w:cs="Arial"/>
          <w:b/>
          <w:lang w:eastAsia="en-GB"/>
        </w:rPr>
        <w:t>d</w:t>
      </w:r>
      <w:r w:rsidRPr="00027DF3">
        <w:rPr>
          <w:rFonts w:ascii="Foundry Form Sans" w:hAnsi="Foundry Form Sans" w:cs="Arial"/>
          <w:b/>
          <w:lang w:eastAsia="en-GB"/>
        </w:rPr>
        <w:t xml:space="preserve">evelopment </w:t>
      </w:r>
      <w:r w:rsidR="006B2371">
        <w:rPr>
          <w:rFonts w:ascii="Foundry Form Sans" w:hAnsi="Foundry Form Sans" w:cs="Arial"/>
          <w:b/>
          <w:lang w:eastAsia="en-GB"/>
        </w:rPr>
        <w:t>s</w:t>
      </w:r>
      <w:r w:rsidR="00375338" w:rsidRPr="00027DF3">
        <w:rPr>
          <w:rFonts w:ascii="Foundry Form Sans" w:hAnsi="Foundry Form Sans" w:cs="Arial"/>
          <w:b/>
          <w:lang w:eastAsia="en-GB"/>
        </w:rPr>
        <w:t xml:space="preserve">chemes/ </w:t>
      </w:r>
      <w:r w:rsidR="006B2371">
        <w:rPr>
          <w:rFonts w:ascii="Foundry Form Sans" w:hAnsi="Foundry Form Sans" w:cs="Arial"/>
          <w:b/>
          <w:lang w:eastAsia="en-GB"/>
        </w:rPr>
        <w:t>p</w:t>
      </w:r>
      <w:r w:rsidR="00375338" w:rsidRPr="00027DF3">
        <w:rPr>
          <w:rFonts w:ascii="Foundry Form Sans" w:hAnsi="Foundry Form Sans" w:cs="Arial"/>
          <w:b/>
          <w:lang w:eastAsia="en-GB"/>
        </w:rPr>
        <w:t xml:space="preserve">rojects </w:t>
      </w:r>
      <w:r w:rsidRPr="00027DF3">
        <w:rPr>
          <w:rFonts w:ascii="Foundry Form Sans" w:hAnsi="Foundry Form Sans" w:cs="Arial"/>
          <w:b/>
          <w:lang w:eastAsia="en-GB"/>
        </w:rPr>
        <w:t xml:space="preserve">in the </w:t>
      </w:r>
      <w:r w:rsidR="006B2371">
        <w:rPr>
          <w:rFonts w:ascii="Foundry Form Sans" w:hAnsi="Foundry Form Sans" w:cs="Arial"/>
          <w:b/>
          <w:lang w:eastAsia="en-GB"/>
        </w:rPr>
        <w:t>a</w:t>
      </w:r>
      <w:r w:rsidRPr="00027DF3">
        <w:rPr>
          <w:rFonts w:ascii="Foundry Form Sans" w:hAnsi="Foundry Form Sans" w:cs="Arial"/>
          <w:b/>
          <w:lang w:eastAsia="en-GB"/>
        </w:rPr>
        <w:t>rea</w:t>
      </w:r>
    </w:p>
    <w:p w:rsidR="00F44AE7" w:rsidRPr="009F133B" w:rsidRDefault="00F44AE7" w:rsidP="00446F42">
      <w:pPr>
        <w:ind w:left="284"/>
        <w:jc w:val="both"/>
        <w:rPr>
          <w:rFonts w:ascii="Foundry Form Sans" w:hAnsi="Foundry Form Sans"/>
          <w:b/>
          <w:sz w:val="22"/>
          <w:szCs w:val="22"/>
        </w:rPr>
      </w:pPr>
      <w:r w:rsidRPr="009F133B">
        <w:rPr>
          <w:rFonts w:ascii="Foundry Form Sans" w:hAnsi="Foundry Form Sans"/>
          <w:b/>
          <w:sz w:val="22"/>
          <w:szCs w:val="22"/>
        </w:rPr>
        <w:t>Built:</w:t>
      </w:r>
    </w:p>
    <w:p w:rsidR="00F44AE7" w:rsidRPr="00027DF3" w:rsidRDefault="00F44AE7" w:rsidP="00ED2417">
      <w:pPr>
        <w:ind w:left="284"/>
        <w:jc w:val="both"/>
        <w:rPr>
          <w:rFonts w:ascii="Foundry Form Sans" w:hAnsi="Foundry Form Sans"/>
          <w:i/>
          <w:sz w:val="22"/>
          <w:szCs w:val="22"/>
          <w:u w:val="single"/>
        </w:rPr>
      </w:pPr>
    </w:p>
    <w:p w:rsidR="00F44AE7" w:rsidRPr="00027DF3" w:rsidRDefault="00F44AE7" w:rsidP="009F133B">
      <w:pPr>
        <w:pStyle w:val="BodyText"/>
        <w:numPr>
          <w:ilvl w:val="2"/>
          <w:numId w:val="42"/>
        </w:numPr>
        <w:spacing w:after="120" w:line="23" w:lineRule="atLeast"/>
        <w:ind w:left="284"/>
        <w:jc w:val="both"/>
        <w:rPr>
          <w:rFonts w:ascii="Foundry Form Sans" w:hAnsi="Foundry Form Sans"/>
          <w:b/>
          <w:i/>
          <w:u w:val="single"/>
        </w:rPr>
      </w:pPr>
      <w:r w:rsidRPr="00027DF3">
        <w:rPr>
          <w:rFonts w:ascii="Foundry Form Sans" w:hAnsi="Foundry Form Sans"/>
          <w:i/>
          <w:u w:val="single"/>
        </w:rPr>
        <w:t>Armada 1 and Gallions 3</w:t>
      </w:r>
    </w:p>
    <w:p w:rsidR="00F44AE7" w:rsidRPr="00027DF3" w:rsidRDefault="00F44AE7" w:rsidP="00446F42">
      <w:pPr>
        <w:ind w:left="284"/>
        <w:jc w:val="both"/>
        <w:rPr>
          <w:rFonts w:ascii="Foundry Form Sans" w:hAnsi="Foundry Form Sans"/>
          <w:sz w:val="22"/>
          <w:szCs w:val="22"/>
        </w:rPr>
      </w:pPr>
      <w:r w:rsidRPr="00027DF3">
        <w:rPr>
          <w:rFonts w:ascii="Foundry Form Sans" w:hAnsi="Foundry Form Sans"/>
          <w:sz w:val="22"/>
          <w:szCs w:val="22"/>
        </w:rPr>
        <w:t xml:space="preserve">The GLA has retained a residual interest in both sites following the relocation from the Olympic Park of Kessler and Buhler Sortex to newly constructed facilities on Armada 1 and Gallions 3.  </w:t>
      </w:r>
      <w:r w:rsidR="00161EB0" w:rsidRPr="00027DF3">
        <w:rPr>
          <w:rFonts w:ascii="Foundry Form Sans" w:hAnsi="Foundry Form Sans"/>
          <w:sz w:val="22"/>
          <w:szCs w:val="22"/>
        </w:rPr>
        <w:t xml:space="preserve">The facilities were constructed in </w:t>
      </w:r>
      <w:r w:rsidR="001E311B">
        <w:rPr>
          <w:rFonts w:ascii="Foundry Form Sans" w:hAnsi="Foundry Form Sans"/>
          <w:sz w:val="22"/>
          <w:szCs w:val="22"/>
        </w:rPr>
        <w:t>2010</w:t>
      </w:r>
      <w:r w:rsidR="001E311B" w:rsidRPr="00027DF3">
        <w:rPr>
          <w:rFonts w:ascii="Foundry Form Sans" w:hAnsi="Foundry Form Sans"/>
          <w:sz w:val="22"/>
          <w:szCs w:val="22"/>
        </w:rPr>
        <w:t xml:space="preserve"> </w:t>
      </w:r>
      <w:r w:rsidR="00161EB0" w:rsidRPr="00027DF3">
        <w:rPr>
          <w:rFonts w:ascii="Foundry Form Sans" w:hAnsi="Foundry Form Sans"/>
          <w:sz w:val="22"/>
          <w:szCs w:val="22"/>
        </w:rPr>
        <w:t>and t</w:t>
      </w:r>
      <w:r w:rsidR="00C12D26" w:rsidRPr="00027DF3">
        <w:rPr>
          <w:rFonts w:ascii="Foundry Form Sans" w:hAnsi="Foundry Form Sans"/>
          <w:sz w:val="22"/>
          <w:szCs w:val="22"/>
        </w:rPr>
        <w:t xml:space="preserve">ogether they </w:t>
      </w:r>
      <w:r w:rsidRPr="00027DF3">
        <w:rPr>
          <w:rFonts w:ascii="Foundry Form Sans" w:hAnsi="Foundry Form Sans"/>
          <w:sz w:val="22"/>
          <w:szCs w:val="22"/>
        </w:rPr>
        <w:t>employ over 100 people.</w:t>
      </w:r>
    </w:p>
    <w:p w:rsidR="00F44AE7" w:rsidRPr="00027DF3" w:rsidRDefault="00F44AE7" w:rsidP="00ED2417">
      <w:pPr>
        <w:ind w:left="284"/>
        <w:jc w:val="both"/>
        <w:rPr>
          <w:rFonts w:ascii="Foundry Form Sans" w:hAnsi="Foundry Form Sans"/>
          <w:b/>
          <w:sz w:val="22"/>
          <w:szCs w:val="22"/>
          <w:u w:val="single"/>
        </w:rPr>
      </w:pPr>
    </w:p>
    <w:p w:rsidR="00F44AE7" w:rsidRPr="00027DF3" w:rsidRDefault="00F44AE7" w:rsidP="009F133B">
      <w:pPr>
        <w:pStyle w:val="BodyText"/>
        <w:numPr>
          <w:ilvl w:val="2"/>
          <w:numId w:val="42"/>
        </w:numPr>
        <w:spacing w:after="120" w:line="23" w:lineRule="atLeast"/>
        <w:ind w:left="284"/>
        <w:jc w:val="both"/>
        <w:rPr>
          <w:rFonts w:ascii="Foundry Form Sans" w:hAnsi="Foundry Form Sans"/>
          <w:b/>
          <w:i/>
          <w:u w:val="single"/>
        </w:rPr>
      </w:pPr>
      <w:r w:rsidRPr="00027DF3">
        <w:rPr>
          <w:rFonts w:ascii="Foundry Form Sans" w:hAnsi="Foundry Form Sans"/>
          <w:i/>
          <w:u w:val="single"/>
        </w:rPr>
        <w:t>Gallions 1</w:t>
      </w:r>
    </w:p>
    <w:p w:rsidR="00F44AE7" w:rsidRPr="00027DF3" w:rsidRDefault="00F44AE7" w:rsidP="00446F42">
      <w:pPr>
        <w:ind w:left="284"/>
        <w:jc w:val="both"/>
        <w:rPr>
          <w:rFonts w:ascii="Foundry Form Sans" w:hAnsi="Foundry Form Sans"/>
          <w:sz w:val="22"/>
          <w:szCs w:val="22"/>
        </w:rPr>
      </w:pPr>
      <w:r w:rsidRPr="00027DF3">
        <w:rPr>
          <w:rFonts w:ascii="Foundry Form Sans" w:hAnsi="Foundry Form Sans"/>
          <w:sz w:val="22"/>
          <w:szCs w:val="22"/>
        </w:rPr>
        <w:t>This is a completed residential scheme of 447 units, completed in 2011 in which the GLA retains the residual freehold of a long lease to Gladedale.</w:t>
      </w:r>
    </w:p>
    <w:p w:rsidR="00F44AE7" w:rsidRPr="00027DF3" w:rsidRDefault="00F44AE7" w:rsidP="00ED2417">
      <w:pPr>
        <w:ind w:left="284"/>
        <w:jc w:val="both"/>
        <w:rPr>
          <w:rFonts w:ascii="Foundry Form Sans" w:hAnsi="Foundry Form Sans"/>
          <w:b/>
          <w:sz w:val="22"/>
          <w:szCs w:val="22"/>
          <w:u w:val="single"/>
        </w:rPr>
      </w:pPr>
    </w:p>
    <w:p w:rsidR="00F44AE7" w:rsidRPr="00027DF3" w:rsidRDefault="00F44AE7" w:rsidP="009F133B">
      <w:pPr>
        <w:pStyle w:val="BodyText"/>
        <w:numPr>
          <w:ilvl w:val="2"/>
          <w:numId w:val="42"/>
        </w:numPr>
        <w:spacing w:after="120" w:line="23" w:lineRule="atLeast"/>
        <w:ind w:left="284"/>
        <w:jc w:val="both"/>
        <w:rPr>
          <w:rFonts w:ascii="Foundry Form Sans" w:hAnsi="Foundry Form Sans"/>
          <w:b/>
          <w:i/>
          <w:u w:val="single"/>
        </w:rPr>
      </w:pPr>
      <w:r w:rsidRPr="00027DF3">
        <w:rPr>
          <w:rFonts w:ascii="Foundry Form Sans" w:hAnsi="Foundry Form Sans"/>
          <w:i/>
          <w:u w:val="single"/>
        </w:rPr>
        <w:t>Gallions Park</w:t>
      </w:r>
    </w:p>
    <w:p w:rsidR="00E75CE9" w:rsidRPr="00027DF3" w:rsidRDefault="00F44AE7" w:rsidP="009F133B">
      <w:pPr>
        <w:spacing w:after="120" w:line="23" w:lineRule="atLeast"/>
        <w:ind w:left="284"/>
        <w:jc w:val="both"/>
        <w:rPr>
          <w:rFonts w:ascii="Foundry Form Sans" w:hAnsi="Foundry Form Sans" w:cs="Arial"/>
          <w:sz w:val="22"/>
          <w:szCs w:val="22"/>
          <w:lang w:eastAsia="en-GB"/>
        </w:rPr>
      </w:pPr>
      <w:r w:rsidRPr="00027DF3">
        <w:rPr>
          <w:rFonts w:ascii="Foundry Form Sans" w:hAnsi="Foundry Form Sans"/>
          <w:sz w:val="22"/>
          <w:szCs w:val="22"/>
        </w:rPr>
        <w:t xml:space="preserve">This site has been disposed of on a freehold basis to Jardine Motor Group.  Construction of a Porsche garage is complete, which includes seven traineeships and around 65 jobs.  </w:t>
      </w:r>
    </w:p>
    <w:p w:rsidR="00F44AE7" w:rsidRPr="00E91D2E" w:rsidRDefault="00F44AE7" w:rsidP="009F133B">
      <w:pPr>
        <w:spacing w:after="120" w:line="23" w:lineRule="atLeast"/>
        <w:ind w:left="284"/>
        <w:jc w:val="both"/>
        <w:rPr>
          <w:rFonts w:ascii="Foundry Form Sans" w:hAnsi="Foundry Form Sans" w:cs="Arial"/>
          <w:b/>
          <w:sz w:val="22"/>
          <w:szCs w:val="22"/>
          <w:lang w:eastAsia="en-GB"/>
        </w:rPr>
      </w:pPr>
      <w:r w:rsidRPr="00446F42">
        <w:rPr>
          <w:rFonts w:ascii="Foundry Form Sans" w:hAnsi="Foundry Form Sans" w:cs="Arial"/>
          <w:b/>
          <w:sz w:val="22"/>
          <w:szCs w:val="22"/>
          <w:lang w:eastAsia="en-GB"/>
        </w:rPr>
        <w:t>Under Development</w:t>
      </w:r>
      <w:r w:rsidRPr="00E91D2E">
        <w:rPr>
          <w:rFonts w:ascii="Foundry Form Sans" w:hAnsi="Foundry Form Sans" w:cs="Arial"/>
          <w:b/>
          <w:sz w:val="22"/>
          <w:szCs w:val="22"/>
          <w:lang w:eastAsia="en-GB"/>
        </w:rPr>
        <w:t>:</w:t>
      </w:r>
    </w:p>
    <w:p w:rsidR="00F44AE7" w:rsidRPr="00027DF3" w:rsidRDefault="00F44AE7" w:rsidP="009F133B">
      <w:pPr>
        <w:pStyle w:val="BodyText"/>
        <w:spacing w:after="120" w:line="23" w:lineRule="atLeast"/>
        <w:ind w:left="284"/>
        <w:jc w:val="both"/>
        <w:rPr>
          <w:rFonts w:ascii="Foundry Form Sans" w:hAnsi="Foundry Form Sans"/>
          <w:i/>
          <w:u w:val="single"/>
        </w:rPr>
      </w:pPr>
      <w:r w:rsidRPr="00027DF3">
        <w:rPr>
          <w:rFonts w:ascii="Foundry Form Sans" w:hAnsi="Foundry Form Sans"/>
          <w:i/>
          <w:u w:val="single"/>
        </w:rPr>
        <w:t>Great Eastern Quays</w:t>
      </w:r>
    </w:p>
    <w:p w:rsidR="00F44AE7" w:rsidRPr="00027DF3" w:rsidRDefault="00F44AE7" w:rsidP="009F133B">
      <w:pPr>
        <w:pStyle w:val="BodyText"/>
        <w:numPr>
          <w:ilvl w:val="2"/>
          <w:numId w:val="42"/>
        </w:numPr>
        <w:spacing w:after="120" w:line="23" w:lineRule="atLeast"/>
        <w:ind w:left="284"/>
        <w:jc w:val="both"/>
        <w:rPr>
          <w:rFonts w:ascii="Foundry Form Sans" w:hAnsi="Foundry Form Sans"/>
        </w:rPr>
      </w:pPr>
      <w:r w:rsidRPr="00375528">
        <w:rPr>
          <w:rFonts w:ascii="Foundry Form Sans" w:hAnsi="Foundry Form Sans"/>
          <w:i/>
          <w:u w:val="single"/>
        </w:rPr>
        <w:t>This</w:t>
      </w:r>
      <w:r w:rsidRPr="00027DF3">
        <w:rPr>
          <w:rFonts w:ascii="Foundry Form Sans" w:hAnsi="Foundry Form Sans"/>
        </w:rPr>
        <w:t xml:space="preserve"> site of approximately 5.3 Ha is held on a residual freehold basis by the GLA and is </w:t>
      </w:r>
      <w:r w:rsidR="00B45E72">
        <w:rPr>
          <w:rFonts w:ascii="Foundry Form Sans" w:hAnsi="Foundry Form Sans"/>
        </w:rPr>
        <w:t xml:space="preserve">on a long lease </w:t>
      </w:r>
      <w:r w:rsidRPr="00027DF3">
        <w:rPr>
          <w:rFonts w:ascii="Foundry Form Sans" w:hAnsi="Foundry Form Sans"/>
        </w:rPr>
        <w:t xml:space="preserve"> to Notting Hill Housing (NHH)</w:t>
      </w:r>
      <w:r w:rsidR="00E503CD" w:rsidRPr="00027DF3">
        <w:rPr>
          <w:rFonts w:ascii="Foundry Form Sans" w:hAnsi="Foundry Form Sans"/>
        </w:rPr>
        <w:t>;</w:t>
      </w:r>
      <w:r w:rsidR="00E503CD" w:rsidRPr="009B440D">
        <w:rPr>
          <w:rFonts w:ascii="Foundry Form Sans" w:hAnsi="Foundry Form Sans"/>
        </w:rPr>
        <w:t xml:space="preserve"> architects Maccreanor Lavington</w:t>
      </w:r>
      <w:r w:rsidR="00151C2F">
        <w:rPr>
          <w:rFonts w:ascii="Foundry Form Sans" w:hAnsi="Foundry Form Sans"/>
        </w:rPr>
        <w:t>, phase 2 architects Fielden Clegg Bradley Studios</w:t>
      </w:r>
      <w:r w:rsidR="00346879">
        <w:rPr>
          <w:rFonts w:ascii="Foundry Form Sans" w:hAnsi="Foundry Form Sans"/>
        </w:rPr>
        <w:t>.</w:t>
      </w:r>
      <w:r w:rsidR="00E503CD" w:rsidRPr="00BC4DAC">
        <w:rPr>
          <w:rFonts w:ascii="Foundry Form Sans" w:hAnsi="Foundry Form Sans"/>
        </w:rPr>
        <w:t xml:space="preserve"> The hybrid planning permission (part outline and part full) was approved </w:t>
      </w:r>
      <w:r w:rsidR="006B2371">
        <w:rPr>
          <w:rFonts w:ascii="Foundry Form Sans" w:hAnsi="Foundry Form Sans"/>
        </w:rPr>
        <w:t xml:space="preserve">in </w:t>
      </w:r>
      <w:r w:rsidR="00E503CD" w:rsidRPr="00BC4DAC">
        <w:rPr>
          <w:rFonts w:ascii="Foundry Form Sans" w:hAnsi="Foundry Form Sans"/>
        </w:rPr>
        <w:t>December 2013</w:t>
      </w:r>
      <w:r w:rsidR="006B2371">
        <w:rPr>
          <w:rFonts w:ascii="Foundry Form Sans" w:hAnsi="Foundry Form Sans"/>
        </w:rPr>
        <w:t xml:space="preserve">. </w:t>
      </w:r>
      <w:r w:rsidR="00E503CD" w:rsidRPr="00BC4DAC">
        <w:rPr>
          <w:rFonts w:ascii="Foundry Form Sans" w:hAnsi="Foundry Form Sans"/>
        </w:rPr>
        <w:t xml:space="preserve"> Phase 1 </w:t>
      </w:r>
      <w:r w:rsidR="006B2371">
        <w:rPr>
          <w:rFonts w:ascii="Foundry Form Sans" w:hAnsi="Foundry Form Sans"/>
        </w:rPr>
        <w:t xml:space="preserve">is </w:t>
      </w:r>
      <w:r w:rsidR="00151C2F">
        <w:rPr>
          <w:rFonts w:ascii="Foundry Form Sans" w:hAnsi="Foundry Form Sans"/>
        </w:rPr>
        <w:t>near completion</w:t>
      </w:r>
      <w:r w:rsidRPr="00027DF3">
        <w:rPr>
          <w:rFonts w:ascii="Foundry Form Sans" w:hAnsi="Foundry Form Sans"/>
        </w:rPr>
        <w:t xml:space="preserve"> for 819 residential units with ancillary leisure and retail use.  </w:t>
      </w:r>
      <w:r w:rsidR="00151C2F">
        <w:rPr>
          <w:rFonts w:ascii="Foundry Form Sans" w:hAnsi="Foundry Form Sans"/>
        </w:rPr>
        <w:t xml:space="preserve">The scheme </w:t>
      </w:r>
      <w:r w:rsidRPr="00027DF3">
        <w:rPr>
          <w:rFonts w:ascii="Foundry Form Sans" w:hAnsi="Foundry Form Sans"/>
        </w:rPr>
        <w:t>has an estimated completion date of 2022.</w:t>
      </w:r>
    </w:p>
    <w:p w:rsidR="00161EB0" w:rsidRPr="00027DF3" w:rsidRDefault="00161EB0" w:rsidP="00446F42">
      <w:pPr>
        <w:ind w:left="284"/>
        <w:jc w:val="both"/>
        <w:rPr>
          <w:rFonts w:ascii="Foundry Form Sans" w:hAnsi="Foundry Form Sans"/>
          <w:sz w:val="22"/>
          <w:szCs w:val="22"/>
        </w:rPr>
      </w:pPr>
    </w:p>
    <w:p w:rsidR="00161EB0" w:rsidRPr="00027DF3" w:rsidRDefault="00161EB0" w:rsidP="009F133B">
      <w:pPr>
        <w:pStyle w:val="BodyText"/>
        <w:spacing w:after="120" w:line="23" w:lineRule="atLeast"/>
        <w:ind w:left="284"/>
        <w:jc w:val="both"/>
        <w:rPr>
          <w:rFonts w:ascii="Foundry Form Sans" w:hAnsi="Foundry Form Sans"/>
          <w:i/>
          <w:u w:val="single"/>
        </w:rPr>
      </w:pPr>
      <w:r w:rsidRPr="00027DF3">
        <w:rPr>
          <w:rFonts w:ascii="Foundry Form Sans" w:hAnsi="Foundry Form Sans"/>
          <w:i/>
          <w:u w:val="single"/>
        </w:rPr>
        <w:t>Gallions Quarter</w:t>
      </w:r>
    </w:p>
    <w:p w:rsidR="00161EB0" w:rsidRPr="00027DF3" w:rsidRDefault="00161EB0" w:rsidP="009F133B">
      <w:pPr>
        <w:pStyle w:val="BodyText"/>
        <w:numPr>
          <w:ilvl w:val="2"/>
          <w:numId w:val="42"/>
        </w:numPr>
        <w:spacing w:after="120" w:line="23" w:lineRule="atLeast"/>
        <w:ind w:left="284"/>
        <w:jc w:val="both"/>
        <w:rPr>
          <w:rFonts w:ascii="Foundry Form Sans" w:hAnsi="Foundry Form Sans"/>
        </w:rPr>
      </w:pPr>
      <w:r w:rsidRPr="009F133B">
        <w:rPr>
          <w:rFonts w:ascii="Foundry Form Sans" w:hAnsi="Foundry Form Sans"/>
        </w:rPr>
        <w:t>The</w:t>
      </w:r>
      <w:r w:rsidRPr="00027DF3">
        <w:rPr>
          <w:rFonts w:ascii="Foundry Form Sans" w:hAnsi="Foundry Form Sans"/>
        </w:rPr>
        <w:t xml:space="preserve"> site of approximately 3.4 Ha is </w:t>
      </w:r>
      <w:r w:rsidR="006B2371">
        <w:rPr>
          <w:rFonts w:ascii="Foundry Form Sans" w:hAnsi="Foundry Form Sans"/>
        </w:rPr>
        <w:t xml:space="preserve">subject to </w:t>
      </w:r>
      <w:r w:rsidRPr="00027DF3">
        <w:rPr>
          <w:rFonts w:ascii="Foundry Form Sans" w:hAnsi="Foundry Form Sans"/>
        </w:rPr>
        <w:t>a development agreement to NHH</w:t>
      </w:r>
      <w:r w:rsidR="00E503CD">
        <w:rPr>
          <w:rFonts w:ascii="Foundry Form Sans" w:hAnsi="Foundry Form Sans"/>
        </w:rPr>
        <w:t>;</w:t>
      </w:r>
      <w:r w:rsidR="00E503CD" w:rsidRPr="003B4569">
        <w:rPr>
          <w:rFonts w:ascii="Foundry Form Sans" w:hAnsi="Foundry Form Sans"/>
        </w:rPr>
        <w:t xml:space="preserve"> </w:t>
      </w:r>
      <w:r w:rsidR="00E503CD">
        <w:rPr>
          <w:rFonts w:ascii="Foundry Form Sans" w:hAnsi="Foundry Form Sans"/>
        </w:rPr>
        <w:t>architects Maccreanor Lavington.</w:t>
      </w:r>
      <w:r w:rsidR="00E503CD" w:rsidRPr="003B4569">
        <w:rPr>
          <w:rFonts w:ascii="Foundry Form Sans" w:hAnsi="Foundry Form Sans"/>
        </w:rPr>
        <w:t xml:space="preserve"> The hybrid planning permission (part outline and part full) cur</w:t>
      </w:r>
      <w:r w:rsidR="00226F43">
        <w:rPr>
          <w:rFonts w:ascii="Foundry Form Sans" w:hAnsi="Foundry Form Sans"/>
        </w:rPr>
        <w:t xml:space="preserve">rently </w:t>
      </w:r>
      <w:r w:rsidR="00226F43" w:rsidRPr="009B440D">
        <w:rPr>
          <w:rFonts w:ascii="Foundry Form Sans" w:hAnsi="Foundry Form Sans"/>
        </w:rPr>
        <w:t>with resolution to grant</w:t>
      </w:r>
      <w:r w:rsidR="00E503CD" w:rsidRPr="00027DF3">
        <w:rPr>
          <w:rFonts w:ascii="Foundry Form Sans" w:hAnsi="Foundry Form Sans"/>
        </w:rPr>
        <w:t>,</w:t>
      </w:r>
      <w:r w:rsidR="00226F43" w:rsidRPr="00027DF3">
        <w:rPr>
          <w:rFonts w:ascii="Foundry Form Sans" w:hAnsi="Foundry Form Sans"/>
        </w:rPr>
        <w:t xml:space="preserve"> </w:t>
      </w:r>
      <w:r w:rsidRPr="00027DF3">
        <w:rPr>
          <w:rFonts w:ascii="Foundry Form Sans" w:hAnsi="Foundry Form Sans"/>
        </w:rPr>
        <w:t xml:space="preserve">secured planning for 292 units in phase 1 with proposals for 447 in later phases. It </w:t>
      </w:r>
      <w:r w:rsidR="00F901B4">
        <w:rPr>
          <w:rFonts w:ascii="Foundry Form Sans" w:hAnsi="Foundry Form Sans"/>
        </w:rPr>
        <w:t xml:space="preserve">is due to start on site in </w:t>
      </w:r>
      <w:r w:rsidR="00E8476B">
        <w:rPr>
          <w:rFonts w:ascii="Foundry Form Sans" w:hAnsi="Foundry Form Sans"/>
        </w:rPr>
        <w:t xml:space="preserve">May 2017 </w:t>
      </w:r>
      <w:r w:rsidR="00F901B4">
        <w:rPr>
          <w:rFonts w:ascii="Foundry Form Sans" w:hAnsi="Foundry Form Sans"/>
        </w:rPr>
        <w:t xml:space="preserve">and </w:t>
      </w:r>
      <w:r w:rsidRPr="00027DF3">
        <w:rPr>
          <w:rFonts w:ascii="Foundry Form Sans" w:hAnsi="Foundry Form Sans"/>
        </w:rPr>
        <w:t>has an estimated completion date of 2021.</w:t>
      </w:r>
    </w:p>
    <w:p w:rsidR="00161EB0" w:rsidRPr="00027DF3" w:rsidRDefault="00161EB0" w:rsidP="00446F42">
      <w:pPr>
        <w:ind w:left="284"/>
        <w:jc w:val="both"/>
        <w:rPr>
          <w:rFonts w:ascii="Foundry Form Sans" w:hAnsi="Foundry Form Sans"/>
          <w:sz w:val="22"/>
          <w:szCs w:val="22"/>
        </w:rPr>
      </w:pPr>
    </w:p>
    <w:p w:rsidR="00161EB0" w:rsidRPr="00027DF3" w:rsidRDefault="00161EB0" w:rsidP="009F133B">
      <w:pPr>
        <w:pStyle w:val="BodyText"/>
        <w:spacing w:after="120" w:line="23" w:lineRule="atLeast"/>
        <w:ind w:left="284"/>
        <w:jc w:val="both"/>
        <w:rPr>
          <w:rFonts w:ascii="Foundry Form Sans" w:hAnsi="Foundry Form Sans"/>
          <w:i/>
          <w:u w:val="single"/>
        </w:rPr>
      </w:pPr>
      <w:r w:rsidRPr="00027DF3">
        <w:rPr>
          <w:rFonts w:ascii="Foundry Form Sans" w:hAnsi="Foundry Form Sans"/>
          <w:i/>
          <w:u w:val="single"/>
        </w:rPr>
        <w:t>Gallions 3a</w:t>
      </w:r>
    </w:p>
    <w:p w:rsidR="00161EB0" w:rsidRDefault="00161EB0" w:rsidP="009F133B">
      <w:pPr>
        <w:pStyle w:val="BodyText"/>
        <w:numPr>
          <w:ilvl w:val="2"/>
          <w:numId w:val="42"/>
        </w:numPr>
        <w:spacing w:after="120" w:line="23" w:lineRule="atLeast"/>
        <w:ind w:left="284"/>
        <w:jc w:val="both"/>
        <w:rPr>
          <w:rFonts w:ascii="Foundry Form Sans" w:hAnsi="Foundry Form Sans"/>
        </w:rPr>
      </w:pPr>
      <w:r w:rsidRPr="00027DF3">
        <w:rPr>
          <w:rFonts w:ascii="Foundry Form Sans" w:hAnsi="Foundry Form Sans"/>
        </w:rPr>
        <w:t xml:space="preserve">One Housing Group was granted planning permission in </w:t>
      </w:r>
      <w:r w:rsidR="00E503CD" w:rsidRPr="00027DF3">
        <w:rPr>
          <w:rFonts w:ascii="Foundry Form Sans" w:hAnsi="Foundry Form Sans"/>
        </w:rPr>
        <w:t xml:space="preserve">December </w:t>
      </w:r>
      <w:r w:rsidRPr="00027DF3">
        <w:rPr>
          <w:rFonts w:ascii="Foundry Form Sans" w:hAnsi="Foundry Form Sans"/>
        </w:rPr>
        <w:t>2012 for 89 units on the site</w:t>
      </w:r>
      <w:r w:rsidR="00F616FC">
        <w:rPr>
          <w:rFonts w:ascii="Foundry Form Sans" w:hAnsi="Foundry Form Sans"/>
        </w:rPr>
        <w:t>, and is near completion</w:t>
      </w:r>
      <w:r w:rsidR="006D5A03" w:rsidRPr="009B440D">
        <w:rPr>
          <w:rFonts w:ascii="Foundry Form Sans" w:hAnsi="Foundry Form Sans"/>
        </w:rPr>
        <w:t>.</w:t>
      </w:r>
    </w:p>
    <w:p w:rsidR="004266FF" w:rsidRDefault="004266FF" w:rsidP="00446F42">
      <w:pPr>
        <w:ind w:left="284"/>
        <w:jc w:val="both"/>
        <w:rPr>
          <w:rFonts w:ascii="Foundry Form Sans" w:hAnsi="Foundry Form Sans"/>
          <w:sz w:val="22"/>
          <w:szCs w:val="22"/>
        </w:rPr>
      </w:pPr>
    </w:p>
    <w:p w:rsidR="007B7A81" w:rsidRPr="00052B7D" w:rsidRDefault="007B7A81" w:rsidP="009F133B">
      <w:pPr>
        <w:pStyle w:val="BodyText"/>
        <w:spacing w:after="120" w:line="23" w:lineRule="atLeast"/>
        <w:ind w:left="284"/>
        <w:jc w:val="both"/>
        <w:rPr>
          <w:rFonts w:ascii="Foundry Form Sans" w:hAnsi="Foundry Form Sans"/>
          <w:i/>
          <w:color w:val="FF0000"/>
          <w:u w:val="single"/>
        </w:rPr>
      </w:pPr>
      <w:r w:rsidRPr="00052B7D">
        <w:rPr>
          <w:rFonts w:ascii="Foundry Form Sans" w:hAnsi="Foundry Form Sans"/>
          <w:i/>
          <w:u w:val="single"/>
        </w:rPr>
        <w:t>National Grid site</w:t>
      </w:r>
      <w:r w:rsidR="00FB7B6C" w:rsidRPr="00052B7D">
        <w:rPr>
          <w:rFonts w:ascii="Foundry Form Sans" w:hAnsi="Foundry Form Sans"/>
          <w:i/>
          <w:u w:val="single"/>
        </w:rPr>
        <w:t xml:space="preserve"> </w:t>
      </w:r>
    </w:p>
    <w:p w:rsidR="007B7A81" w:rsidRPr="00027DF3" w:rsidRDefault="007B7A81" w:rsidP="009F133B">
      <w:pPr>
        <w:pStyle w:val="BodyText"/>
        <w:numPr>
          <w:ilvl w:val="2"/>
          <w:numId w:val="42"/>
        </w:numPr>
        <w:spacing w:after="120" w:line="23" w:lineRule="atLeast"/>
        <w:ind w:left="284"/>
        <w:jc w:val="both"/>
        <w:rPr>
          <w:rFonts w:ascii="Foundry Form Sans" w:hAnsi="Foundry Form Sans"/>
        </w:rPr>
      </w:pPr>
      <w:r w:rsidRPr="00052B7D">
        <w:rPr>
          <w:rFonts w:ascii="Foundry Form Sans" w:hAnsi="Foundry Form Sans"/>
        </w:rPr>
        <w:t>TfL ha</w:t>
      </w:r>
      <w:r w:rsidR="006B2371">
        <w:rPr>
          <w:rFonts w:ascii="Foundry Form Sans" w:hAnsi="Foundry Form Sans"/>
        </w:rPr>
        <w:t>s</w:t>
      </w:r>
      <w:r w:rsidRPr="00052B7D">
        <w:rPr>
          <w:rFonts w:ascii="Foundry Form Sans" w:hAnsi="Foundry Form Sans"/>
        </w:rPr>
        <w:t xml:space="preserve"> recently purchased </w:t>
      </w:r>
      <w:r w:rsidR="00FF3A4F" w:rsidRPr="00052B7D">
        <w:rPr>
          <w:rFonts w:ascii="Foundry Form Sans" w:hAnsi="Foundry Form Sans"/>
        </w:rPr>
        <w:t xml:space="preserve">part of </w:t>
      </w:r>
      <w:r w:rsidRPr="00052B7D">
        <w:rPr>
          <w:rFonts w:ascii="Foundry Form Sans" w:hAnsi="Foundry Form Sans"/>
        </w:rPr>
        <w:t xml:space="preserve">the former National Grid site to the north of Gallions Reach station and the Armada 2 site. This </w:t>
      </w:r>
      <w:r w:rsidR="00241552" w:rsidRPr="00052B7D">
        <w:rPr>
          <w:rFonts w:ascii="Foundry Form Sans" w:hAnsi="Foundry Form Sans"/>
        </w:rPr>
        <w:t xml:space="preserve">is for the </w:t>
      </w:r>
      <w:r w:rsidR="00EA3EE3" w:rsidRPr="00052B7D">
        <w:rPr>
          <w:rFonts w:ascii="Foundry Form Sans" w:hAnsi="Foundry Form Sans"/>
        </w:rPr>
        <w:t xml:space="preserve">potential </w:t>
      </w:r>
      <w:r w:rsidRPr="00052B7D">
        <w:rPr>
          <w:rFonts w:ascii="Foundry Form Sans" w:hAnsi="Foundry Form Sans"/>
        </w:rPr>
        <w:t>expan</w:t>
      </w:r>
      <w:r w:rsidR="00241552" w:rsidRPr="00052B7D">
        <w:rPr>
          <w:rFonts w:ascii="Foundry Form Sans" w:hAnsi="Foundry Form Sans"/>
        </w:rPr>
        <w:t>sion of the</w:t>
      </w:r>
      <w:r w:rsidRPr="00052B7D">
        <w:rPr>
          <w:rFonts w:ascii="Foundry Form Sans" w:hAnsi="Foundry Form Sans"/>
        </w:rPr>
        <w:t xml:space="preserve"> DLR depot</w:t>
      </w:r>
      <w:r w:rsidR="00241552" w:rsidRPr="00052B7D">
        <w:rPr>
          <w:rFonts w:ascii="Foundry Form Sans" w:hAnsi="Foundry Form Sans"/>
        </w:rPr>
        <w:t>.</w:t>
      </w:r>
      <w:r w:rsidRPr="00052B7D">
        <w:rPr>
          <w:rFonts w:ascii="Foundry Form Sans" w:hAnsi="Foundry Form Sans"/>
        </w:rPr>
        <w:t xml:space="preserve"> </w:t>
      </w:r>
    </w:p>
    <w:p w:rsidR="00F91D52" w:rsidRPr="00146B8E" w:rsidRDefault="00F91D52" w:rsidP="009F133B">
      <w:pPr>
        <w:pStyle w:val="BodyText"/>
        <w:numPr>
          <w:ilvl w:val="2"/>
          <w:numId w:val="42"/>
        </w:numPr>
        <w:spacing w:after="120" w:line="23" w:lineRule="atLeast"/>
        <w:ind w:left="284"/>
        <w:jc w:val="both"/>
        <w:rPr>
          <w:rFonts w:ascii="Foundry Form Sans" w:hAnsi="Foundry Form Sans" w:cs="ConduitITC-Light"/>
          <w:lang w:eastAsia="en-GB"/>
        </w:rPr>
      </w:pPr>
      <w:r>
        <w:rPr>
          <w:rFonts w:ascii="Foundry Form Sans" w:hAnsi="Foundry Form Sans" w:cs="ConduitITC-Light"/>
          <w:lang w:eastAsia="en-GB"/>
        </w:rPr>
        <w:t xml:space="preserve">More detail on the surrounding development sites can </w:t>
      </w:r>
      <w:r w:rsidR="00FB7B6C">
        <w:rPr>
          <w:rFonts w:ascii="Foundry Form Sans" w:hAnsi="Foundry Form Sans" w:cs="ConduitITC-Light"/>
          <w:lang w:eastAsia="en-GB"/>
        </w:rPr>
        <w:t xml:space="preserve">be found on page 28 of Annex </w:t>
      </w:r>
      <w:r w:rsidR="00114894">
        <w:rPr>
          <w:rFonts w:ascii="Foundry Form Sans" w:hAnsi="Foundry Form Sans" w:cs="ConduitITC-Light"/>
          <w:lang w:eastAsia="en-GB"/>
        </w:rPr>
        <w:t>B</w:t>
      </w:r>
      <w:r w:rsidR="002126D9">
        <w:rPr>
          <w:rFonts w:ascii="Foundry Form Sans" w:hAnsi="Foundry Form Sans" w:cs="ConduitITC-Light"/>
          <w:lang w:eastAsia="en-GB"/>
        </w:rPr>
        <w:t>3</w:t>
      </w:r>
      <w:r>
        <w:rPr>
          <w:rFonts w:ascii="Foundry Form Sans" w:hAnsi="Foundry Form Sans" w:cs="ConduitITC-Light"/>
          <w:lang w:eastAsia="en-GB"/>
        </w:rPr>
        <w:t>.</w:t>
      </w:r>
    </w:p>
    <w:p w:rsidR="00ED79FA" w:rsidRPr="00FA5840" w:rsidRDefault="00ED79FA" w:rsidP="009F133B">
      <w:pPr>
        <w:spacing w:after="120" w:line="23" w:lineRule="atLeast"/>
        <w:ind w:left="284"/>
        <w:jc w:val="both"/>
        <w:rPr>
          <w:rFonts w:ascii="Foundry Form Sans" w:hAnsi="Foundry Form Sans" w:cs="Arial"/>
          <w:sz w:val="20"/>
          <w:szCs w:val="20"/>
          <w:u w:val="single"/>
        </w:rPr>
      </w:pPr>
    </w:p>
    <w:p w:rsidR="00ED79FA" w:rsidRPr="00C73A02" w:rsidRDefault="00ED79FA" w:rsidP="009F133B">
      <w:pPr>
        <w:pStyle w:val="BodyText"/>
        <w:numPr>
          <w:ilvl w:val="1"/>
          <w:numId w:val="42"/>
        </w:numPr>
        <w:spacing w:after="120" w:line="23" w:lineRule="atLeast"/>
        <w:ind w:left="284"/>
        <w:jc w:val="both"/>
        <w:rPr>
          <w:rFonts w:ascii="Foundry Form Sans" w:hAnsi="Foundry Form Sans" w:cs="Arial"/>
          <w:b/>
        </w:rPr>
      </w:pPr>
      <w:r w:rsidRPr="00C73A02">
        <w:rPr>
          <w:rFonts w:ascii="Foundry Form Sans" w:hAnsi="Foundry Form Sans" w:cs="Arial"/>
          <w:b/>
        </w:rPr>
        <w:t>Key</w:t>
      </w:r>
      <w:r w:rsidR="00601500">
        <w:rPr>
          <w:rFonts w:ascii="Foundry Form Sans" w:hAnsi="Foundry Form Sans" w:cs="Arial"/>
          <w:b/>
        </w:rPr>
        <w:t xml:space="preserve"> Planning</w:t>
      </w:r>
      <w:r w:rsidRPr="00C73A02">
        <w:rPr>
          <w:rFonts w:ascii="Foundry Form Sans" w:hAnsi="Foundry Form Sans" w:cs="Arial"/>
          <w:b/>
        </w:rPr>
        <w:t xml:space="preserve"> Principles</w:t>
      </w:r>
    </w:p>
    <w:p w:rsidR="00A32BE0" w:rsidRPr="007F20B6" w:rsidRDefault="00A32BE0" w:rsidP="009F133B">
      <w:pPr>
        <w:numPr>
          <w:ilvl w:val="0"/>
          <w:numId w:val="19"/>
        </w:numPr>
        <w:spacing w:after="120" w:line="23" w:lineRule="atLeast"/>
        <w:ind w:left="284" w:hanging="284"/>
        <w:jc w:val="both"/>
        <w:rPr>
          <w:rFonts w:ascii="Foundry Form Sans" w:hAnsi="Foundry Form Sans" w:cs="Arial"/>
          <w:sz w:val="22"/>
          <w:szCs w:val="22"/>
        </w:rPr>
      </w:pPr>
      <w:r w:rsidRPr="007F20B6">
        <w:rPr>
          <w:rFonts w:ascii="Foundry Form Sans" w:hAnsi="Foundry Form Sans" w:cs="Arial"/>
          <w:sz w:val="22"/>
          <w:szCs w:val="22"/>
        </w:rPr>
        <w:t xml:space="preserve">The developer is required to </w:t>
      </w:r>
      <w:r>
        <w:rPr>
          <w:rFonts w:ascii="Foundry Form Sans" w:hAnsi="Foundry Form Sans" w:cs="Arial"/>
          <w:sz w:val="22"/>
          <w:szCs w:val="22"/>
        </w:rPr>
        <w:t>engage in discussions</w:t>
      </w:r>
      <w:r w:rsidRPr="007F20B6">
        <w:rPr>
          <w:rFonts w:ascii="Foundry Form Sans" w:hAnsi="Foundry Form Sans" w:cs="Arial"/>
          <w:sz w:val="22"/>
          <w:szCs w:val="22"/>
        </w:rPr>
        <w:t xml:space="preserve"> with the Local Authority, specifying pre-application consultation </w:t>
      </w:r>
      <w:r w:rsidR="00ED2F03">
        <w:rPr>
          <w:rFonts w:ascii="Foundry Form Sans" w:hAnsi="Foundry Form Sans" w:cs="Arial"/>
          <w:sz w:val="22"/>
          <w:szCs w:val="22"/>
        </w:rPr>
        <w:t xml:space="preserve">(by entering into a PPPA) </w:t>
      </w:r>
      <w:r w:rsidRPr="007F20B6">
        <w:rPr>
          <w:rFonts w:ascii="Foundry Form Sans" w:hAnsi="Foundry Form Sans" w:cs="Arial"/>
          <w:sz w:val="22"/>
          <w:szCs w:val="22"/>
        </w:rPr>
        <w:t>and determination processes.</w:t>
      </w:r>
    </w:p>
    <w:p w:rsidR="00A32BE0" w:rsidRPr="007F20B6" w:rsidRDefault="00A32BE0" w:rsidP="009F133B">
      <w:pPr>
        <w:numPr>
          <w:ilvl w:val="0"/>
          <w:numId w:val="19"/>
        </w:numPr>
        <w:spacing w:after="120" w:line="23" w:lineRule="atLeast"/>
        <w:ind w:left="284" w:hanging="284"/>
        <w:jc w:val="both"/>
        <w:rPr>
          <w:rFonts w:ascii="Foundry Form Sans" w:hAnsi="Foundry Form Sans" w:cs="Arial"/>
          <w:sz w:val="22"/>
          <w:szCs w:val="22"/>
        </w:rPr>
      </w:pPr>
      <w:r w:rsidRPr="007F20B6">
        <w:rPr>
          <w:rFonts w:ascii="Foundry Form Sans" w:hAnsi="Foundry Form Sans" w:cs="Arial"/>
          <w:sz w:val="22"/>
          <w:szCs w:val="22"/>
        </w:rPr>
        <w:t xml:space="preserve">The developer will be expected to partake in design reviews involving the GLA and </w:t>
      </w:r>
      <w:r w:rsidR="00AE4A35">
        <w:rPr>
          <w:rFonts w:ascii="Foundry Form Sans" w:hAnsi="Foundry Form Sans" w:cs="Arial"/>
          <w:sz w:val="22"/>
          <w:szCs w:val="22"/>
        </w:rPr>
        <w:t>LBN</w:t>
      </w:r>
      <w:r w:rsidRPr="007F20B6">
        <w:rPr>
          <w:rFonts w:ascii="Foundry Form Sans" w:hAnsi="Foundry Form Sans" w:cs="Arial"/>
          <w:sz w:val="22"/>
          <w:szCs w:val="22"/>
        </w:rPr>
        <w:t xml:space="preserve"> at both concept and detailed planning stages including engaging with </w:t>
      </w:r>
      <w:r w:rsidR="00AE4A35">
        <w:rPr>
          <w:rFonts w:ascii="Foundry Form Sans" w:hAnsi="Foundry Form Sans" w:cs="Arial"/>
          <w:sz w:val="22"/>
          <w:szCs w:val="22"/>
        </w:rPr>
        <w:t>LBN</w:t>
      </w:r>
      <w:r w:rsidRPr="007F20B6">
        <w:rPr>
          <w:rFonts w:ascii="Foundry Form Sans" w:hAnsi="Foundry Form Sans" w:cs="Arial"/>
          <w:sz w:val="22"/>
          <w:szCs w:val="22"/>
        </w:rPr>
        <w:t>’s Design Review Panel</w:t>
      </w:r>
      <w:r w:rsidR="00ED2F03">
        <w:rPr>
          <w:rFonts w:ascii="Foundry Form Sans" w:hAnsi="Foundry Form Sans" w:cs="Arial"/>
          <w:sz w:val="22"/>
          <w:szCs w:val="22"/>
        </w:rPr>
        <w:t xml:space="preserve"> and engage with Members Forum at an early stage of the process</w:t>
      </w:r>
      <w:r w:rsidRPr="007F20B6">
        <w:rPr>
          <w:rFonts w:ascii="Foundry Form Sans" w:hAnsi="Foundry Form Sans" w:cs="Arial"/>
          <w:sz w:val="22"/>
          <w:szCs w:val="22"/>
        </w:rPr>
        <w:t>.</w:t>
      </w:r>
    </w:p>
    <w:p w:rsidR="000B3B46" w:rsidRPr="003060EA" w:rsidRDefault="00ED79FA" w:rsidP="009F133B">
      <w:pPr>
        <w:pStyle w:val="ListParagraph"/>
        <w:numPr>
          <w:ilvl w:val="0"/>
          <w:numId w:val="19"/>
        </w:numPr>
        <w:ind w:left="284" w:hanging="284"/>
        <w:jc w:val="both"/>
        <w:rPr>
          <w:rFonts w:ascii="Foundry Form Sans" w:hAnsi="Foundry Form Sans"/>
          <w:sz w:val="22"/>
          <w:szCs w:val="22"/>
        </w:rPr>
      </w:pPr>
      <w:r w:rsidRPr="003060EA">
        <w:rPr>
          <w:rStyle w:val="StyleArial10pt"/>
          <w:rFonts w:ascii="Foundry Form Sans" w:hAnsi="Foundry Form Sans"/>
          <w:sz w:val="22"/>
          <w:szCs w:val="22"/>
        </w:rPr>
        <w:t xml:space="preserve">The Core Strategy and initial discussions with </w:t>
      </w:r>
      <w:r w:rsidR="00AE4A35" w:rsidRPr="003060EA">
        <w:rPr>
          <w:rStyle w:val="StyleArial10pt"/>
          <w:rFonts w:ascii="Foundry Form Sans" w:hAnsi="Foundry Form Sans"/>
          <w:sz w:val="22"/>
          <w:szCs w:val="22"/>
        </w:rPr>
        <w:t>LBN</w:t>
      </w:r>
      <w:r w:rsidRPr="003060EA">
        <w:rPr>
          <w:rStyle w:val="StyleArial10pt"/>
          <w:rFonts w:ascii="Foundry Form Sans" w:hAnsi="Foundry Form Sans"/>
          <w:sz w:val="22"/>
          <w:szCs w:val="22"/>
        </w:rPr>
        <w:t xml:space="preserve"> Planning ha</w:t>
      </w:r>
      <w:r w:rsidR="00156E46" w:rsidRPr="003060EA">
        <w:rPr>
          <w:rStyle w:val="StyleArial10pt"/>
          <w:rFonts w:ascii="Foundry Form Sans" w:hAnsi="Foundry Form Sans"/>
          <w:sz w:val="22"/>
          <w:szCs w:val="22"/>
        </w:rPr>
        <w:t>ve</w:t>
      </w:r>
      <w:r w:rsidRPr="003060EA">
        <w:rPr>
          <w:rStyle w:val="StyleArial10pt"/>
          <w:rFonts w:ascii="Foundry Form Sans" w:hAnsi="Foundry Form Sans"/>
          <w:sz w:val="22"/>
          <w:szCs w:val="22"/>
        </w:rPr>
        <w:t xml:space="preserve"> outlined </w:t>
      </w:r>
      <w:r w:rsidR="00156E46" w:rsidRPr="003060EA">
        <w:rPr>
          <w:rStyle w:val="StyleArial10pt"/>
          <w:rFonts w:ascii="Foundry Form Sans" w:hAnsi="Foundry Form Sans"/>
          <w:sz w:val="22"/>
          <w:szCs w:val="22"/>
        </w:rPr>
        <w:t xml:space="preserve">a list of </w:t>
      </w:r>
      <w:r w:rsidRPr="003060EA">
        <w:rPr>
          <w:rStyle w:val="StyleArial10pt"/>
          <w:rFonts w:ascii="Foundry Form Sans" w:hAnsi="Foundry Form Sans"/>
          <w:sz w:val="22"/>
          <w:szCs w:val="22"/>
        </w:rPr>
        <w:t xml:space="preserve">key issues and principles for the </w:t>
      </w:r>
      <w:r w:rsidR="007D7DDA" w:rsidRPr="003060EA">
        <w:rPr>
          <w:rStyle w:val="StyleArial10pt"/>
          <w:rFonts w:ascii="Foundry Form Sans" w:hAnsi="Foundry Form Sans"/>
          <w:sz w:val="22"/>
          <w:szCs w:val="22"/>
        </w:rPr>
        <w:t xml:space="preserve">two </w:t>
      </w:r>
      <w:r w:rsidR="00226F43" w:rsidRPr="003060EA">
        <w:rPr>
          <w:rStyle w:val="StyleArial10pt"/>
          <w:rFonts w:ascii="Foundry Form Sans" w:hAnsi="Foundry Form Sans"/>
          <w:sz w:val="22"/>
          <w:szCs w:val="22"/>
        </w:rPr>
        <w:t>sites</w:t>
      </w:r>
      <w:r w:rsidR="00156E46" w:rsidRPr="003060EA">
        <w:rPr>
          <w:rStyle w:val="StyleArial10pt"/>
          <w:rFonts w:ascii="Foundry Form Sans" w:hAnsi="Foundry Form Sans"/>
          <w:sz w:val="22"/>
          <w:szCs w:val="22"/>
        </w:rPr>
        <w:t xml:space="preserve">, which are included in </w:t>
      </w:r>
      <w:r w:rsidR="002126D9" w:rsidRPr="003060EA">
        <w:rPr>
          <w:rStyle w:val="StyleArial10pt"/>
          <w:rFonts w:ascii="Foundry Form Sans" w:hAnsi="Foundry Form Sans"/>
          <w:sz w:val="22"/>
          <w:szCs w:val="22"/>
          <w:shd w:val="clear" w:color="auto" w:fill="FFFF00"/>
        </w:rPr>
        <w:t>A</w:t>
      </w:r>
      <w:r w:rsidR="00FE5B74" w:rsidRPr="003060EA">
        <w:rPr>
          <w:rStyle w:val="StyleArial10pt"/>
          <w:rFonts w:ascii="Foundry Form Sans" w:hAnsi="Foundry Form Sans"/>
          <w:sz w:val="22"/>
          <w:szCs w:val="22"/>
          <w:shd w:val="clear" w:color="auto" w:fill="FFFF00"/>
        </w:rPr>
        <w:t xml:space="preserve">nnex </w:t>
      </w:r>
      <w:r w:rsidR="00114894" w:rsidRPr="003060EA">
        <w:rPr>
          <w:rStyle w:val="StyleArial10pt"/>
          <w:rFonts w:ascii="Foundry Form Sans" w:hAnsi="Foundry Form Sans"/>
          <w:sz w:val="22"/>
          <w:szCs w:val="22"/>
          <w:shd w:val="clear" w:color="auto" w:fill="FFFF00"/>
        </w:rPr>
        <w:t>B</w:t>
      </w:r>
      <w:r w:rsidR="002126D9" w:rsidRPr="003060EA">
        <w:rPr>
          <w:rStyle w:val="StyleArial10pt"/>
          <w:rFonts w:ascii="Foundry Form Sans" w:hAnsi="Foundry Form Sans"/>
          <w:sz w:val="22"/>
          <w:szCs w:val="22"/>
          <w:shd w:val="clear" w:color="auto" w:fill="FFFF00"/>
        </w:rPr>
        <w:t>7</w:t>
      </w:r>
      <w:r w:rsidR="00ED2F03" w:rsidRPr="003060EA">
        <w:rPr>
          <w:rStyle w:val="StyleArial10pt"/>
          <w:rFonts w:ascii="Foundry Form Sans" w:hAnsi="Foundry Form Sans"/>
          <w:sz w:val="22"/>
          <w:szCs w:val="22"/>
        </w:rPr>
        <w:t>.</w:t>
      </w:r>
      <w:r w:rsidR="006D5A03" w:rsidRPr="003060EA">
        <w:rPr>
          <w:rStyle w:val="StyleArial10pt"/>
          <w:rFonts w:ascii="Foundry Form Sans" w:hAnsi="Foundry Form Sans"/>
          <w:sz w:val="22"/>
          <w:szCs w:val="22"/>
        </w:rPr>
        <w:t xml:space="preserve"> </w:t>
      </w:r>
    </w:p>
    <w:p w:rsidR="00EB4FAE" w:rsidRPr="00D40323" w:rsidRDefault="00EB4FAE" w:rsidP="009F133B">
      <w:pPr>
        <w:spacing w:after="120" w:line="23" w:lineRule="atLeast"/>
        <w:ind w:left="284"/>
        <w:jc w:val="both"/>
        <w:rPr>
          <w:rFonts w:ascii="Foundry Form Sans" w:hAnsi="Foundry Form Sans" w:cs="Arial"/>
          <w:sz w:val="22"/>
          <w:szCs w:val="22"/>
          <w:lang w:eastAsia="en-GB"/>
        </w:rPr>
      </w:pPr>
    </w:p>
    <w:p w:rsidR="00855D93" w:rsidRPr="00D40323" w:rsidRDefault="00855D93" w:rsidP="009F133B">
      <w:pPr>
        <w:pStyle w:val="BodyText"/>
        <w:numPr>
          <w:ilvl w:val="1"/>
          <w:numId w:val="42"/>
        </w:numPr>
        <w:spacing w:after="120" w:line="23" w:lineRule="atLeast"/>
        <w:ind w:left="284"/>
        <w:jc w:val="both"/>
        <w:rPr>
          <w:rFonts w:ascii="Foundry Form Sans" w:hAnsi="Foundry Form Sans" w:cs="Arial"/>
          <w:b/>
          <w:lang w:eastAsia="en-GB"/>
        </w:rPr>
      </w:pPr>
      <w:r w:rsidRPr="00D40323">
        <w:rPr>
          <w:rFonts w:ascii="Foundry Form Sans" w:hAnsi="Foundry Form Sans" w:cs="Arial"/>
          <w:b/>
          <w:lang w:eastAsia="en-GB"/>
        </w:rPr>
        <w:t>Community Infrastructure Levy (CIL)</w:t>
      </w:r>
    </w:p>
    <w:p w:rsidR="00D15B83" w:rsidRPr="00D40323" w:rsidRDefault="00855D93" w:rsidP="009F133B">
      <w:pPr>
        <w:pStyle w:val="BodyText"/>
        <w:numPr>
          <w:ilvl w:val="2"/>
          <w:numId w:val="42"/>
        </w:numPr>
        <w:spacing w:after="120" w:line="23" w:lineRule="atLeast"/>
        <w:jc w:val="both"/>
        <w:rPr>
          <w:rFonts w:ascii="Foundry Form Sans" w:hAnsi="Foundry Form Sans" w:cs="Arial"/>
          <w:lang w:eastAsia="en-GB"/>
        </w:rPr>
      </w:pPr>
      <w:r w:rsidRPr="00D40323">
        <w:rPr>
          <w:rFonts w:ascii="Foundry Form Sans" w:hAnsi="Foundry Form Sans" w:cs="Arial"/>
          <w:lang w:eastAsia="en-GB"/>
        </w:rPr>
        <w:t xml:space="preserve">The Mayor of London’s CIL Charging Schedule has been in operation from 1 April 2012. This CIL is intended to raise £300 million for the delivery of Crossrail. The Charging Schedule prescribes a charge of £20 per square metre for Newham.  Furthermore, </w:t>
      </w:r>
      <w:r w:rsidR="00664CB4" w:rsidRPr="00D40323">
        <w:rPr>
          <w:rFonts w:ascii="Foundry Form Sans" w:hAnsi="Foundry Form Sans" w:cs="Arial"/>
          <w:lang w:eastAsia="en-GB"/>
        </w:rPr>
        <w:t xml:space="preserve">development on the </w:t>
      </w:r>
      <w:r w:rsidR="00514E0E">
        <w:rPr>
          <w:rFonts w:ascii="Foundry Form Sans" w:hAnsi="Foundry Form Sans" w:cs="Arial"/>
          <w:lang w:eastAsia="en-GB"/>
        </w:rPr>
        <w:t>Site</w:t>
      </w:r>
      <w:r w:rsidR="00664CB4" w:rsidRPr="00D40323">
        <w:rPr>
          <w:rFonts w:ascii="Foundry Form Sans" w:hAnsi="Foundry Form Sans" w:cs="Arial"/>
          <w:lang w:eastAsia="en-GB"/>
        </w:rPr>
        <w:t xml:space="preserve"> will trigger </w:t>
      </w:r>
      <w:r w:rsidRPr="00D40323">
        <w:rPr>
          <w:rFonts w:ascii="Foundry Form Sans" w:hAnsi="Foundry Form Sans" w:cs="Arial"/>
          <w:lang w:eastAsia="en-GB"/>
        </w:rPr>
        <w:t>Newham Council’s own CIL which was formally introduced from the 1st January 2014</w:t>
      </w:r>
      <w:r w:rsidR="00664CB4" w:rsidRPr="00D40323">
        <w:rPr>
          <w:rFonts w:ascii="Foundry Form Sans" w:hAnsi="Foundry Form Sans" w:cs="Arial"/>
          <w:lang w:eastAsia="en-GB"/>
        </w:rPr>
        <w:t xml:space="preserve">. Bidders should have regard to the </w:t>
      </w:r>
      <w:r w:rsidR="00216D9C" w:rsidRPr="00D40323">
        <w:rPr>
          <w:rFonts w:ascii="Foundry Form Sans" w:hAnsi="Foundry Form Sans" w:cs="Arial"/>
          <w:lang w:eastAsia="en-GB"/>
        </w:rPr>
        <w:t xml:space="preserve">CIL </w:t>
      </w:r>
      <w:r w:rsidR="00664CB4" w:rsidRPr="00D40323">
        <w:rPr>
          <w:rFonts w:ascii="Foundry Form Sans" w:hAnsi="Foundry Form Sans" w:cs="Arial"/>
          <w:lang w:eastAsia="en-GB"/>
        </w:rPr>
        <w:t xml:space="preserve">charging schedules </w:t>
      </w:r>
      <w:r w:rsidR="00216D9C" w:rsidRPr="00D40323">
        <w:rPr>
          <w:rFonts w:ascii="Foundry Form Sans" w:hAnsi="Foundry Form Sans" w:cs="Arial"/>
          <w:lang w:eastAsia="en-GB"/>
        </w:rPr>
        <w:t>of both London Borough of</w:t>
      </w:r>
      <w:r w:rsidR="00664CB4" w:rsidRPr="00D40323">
        <w:rPr>
          <w:rFonts w:ascii="Foundry Form Sans" w:hAnsi="Foundry Form Sans" w:cs="Arial"/>
          <w:lang w:eastAsia="en-GB"/>
        </w:rPr>
        <w:t xml:space="preserve"> Newham</w:t>
      </w:r>
      <w:r w:rsidR="00216D9C" w:rsidRPr="00D40323">
        <w:rPr>
          <w:rFonts w:ascii="Foundry Form Sans" w:hAnsi="Foundry Form Sans" w:cs="Arial"/>
          <w:lang w:eastAsia="en-GB"/>
        </w:rPr>
        <w:t xml:space="preserve"> and the Mayor of London</w:t>
      </w:r>
      <w:r w:rsidR="00B30157" w:rsidRPr="00D40323">
        <w:rPr>
          <w:rFonts w:ascii="Foundry Form Sans" w:hAnsi="Foundry Form Sans" w:cs="Arial"/>
          <w:lang w:eastAsia="en-GB"/>
        </w:rPr>
        <w:t>.</w:t>
      </w:r>
    </w:p>
    <w:p w:rsidR="00162B0E" w:rsidRPr="00D40323" w:rsidRDefault="00162B0E" w:rsidP="009F133B">
      <w:pPr>
        <w:spacing w:after="120" w:line="23" w:lineRule="atLeast"/>
        <w:ind w:left="284"/>
        <w:jc w:val="both"/>
        <w:rPr>
          <w:rFonts w:ascii="Foundry Form Sans" w:hAnsi="Foundry Form Sans" w:cs="Arial"/>
          <w:sz w:val="22"/>
          <w:szCs w:val="22"/>
          <w:lang w:eastAsia="en-GB"/>
        </w:rPr>
      </w:pPr>
    </w:p>
    <w:p w:rsidR="00162B0E" w:rsidRPr="00D40323" w:rsidRDefault="00162B0E" w:rsidP="009F133B">
      <w:pPr>
        <w:spacing w:after="120" w:line="23" w:lineRule="atLeast"/>
        <w:ind w:left="284"/>
        <w:jc w:val="both"/>
        <w:rPr>
          <w:rFonts w:ascii="Foundry Form Sans" w:hAnsi="Foundry Form Sans" w:cs="Arial"/>
          <w:sz w:val="22"/>
          <w:szCs w:val="22"/>
          <w:lang w:eastAsia="en-GB"/>
        </w:rPr>
      </w:pPr>
    </w:p>
    <w:p w:rsidR="009E0877" w:rsidRPr="00D40323" w:rsidRDefault="00242FB4" w:rsidP="009F133B">
      <w:pPr>
        <w:pStyle w:val="Heading1"/>
        <w:numPr>
          <w:ilvl w:val="0"/>
          <w:numId w:val="42"/>
        </w:numPr>
        <w:pBdr>
          <w:bottom w:val="single" w:sz="4" w:space="1" w:color="auto"/>
        </w:pBdr>
        <w:ind w:left="284"/>
        <w:jc w:val="both"/>
        <w:rPr>
          <w:sz w:val="28"/>
          <w:szCs w:val="28"/>
        </w:rPr>
      </w:pPr>
      <w:bookmarkStart w:id="10" w:name="_Toc441674207"/>
      <w:r w:rsidRPr="00D40323">
        <w:rPr>
          <w:sz w:val="28"/>
          <w:szCs w:val="28"/>
        </w:rPr>
        <w:t>General site constraints and considerations</w:t>
      </w:r>
      <w:bookmarkEnd w:id="10"/>
    </w:p>
    <w:p w:rsidR="00FB7B6C" w:rsidRPr="00D40323" w:rsidRDefault="00FB7B6C" w:rsidP="009F133B">
      <w:pPr>
        <w:ind w:left="284"/>
        <w:jc w:val="both"/>
      </w:pPr>
    </w:p>
    <w:p w:rsidR="00B271DA" w:rsidRPr="00D40323" w:rsidRDefault="00B271DA" w:rsidP="009F133B">
      <w:pPr>
        <w:pStyle w:val="BodyText"/>
        <w:numPr>
          <w:ilvl w:val="2"/>
          <w:numId w:val="42"/>
        </w:numPr>
        <w:spacing w:after="120" w:line="23" w:lineRule="atLeast"/>
        <w:ind w:left="284"/>
        <w:jc w:val="both"/>
        <w:rPr>
          <w:rFonts w:ascii="Foundry Form Sans" w:hAnsi="Foundry Form Sans" w:cs="Arial"/>
        </w:rPr>
      </w:pPr>
      <w:r w:rsidRPr="00D40323">
        <w:rPr>
          <w:rFonts w:ascii="Foundry Form Sans" w:hAnsi="Foundry Form Sans" w:cs="Arial"/>
        </w:rPr>
        <w:t xml:space="preserve">The </w:t>
      </w:r>
      <w:r w:rsidR="00514E0E">
        <w:rPr>
          <w:rFonts w:ascii="Foundry Form Sans" w:hAnsi="Foundry Form Sans" w:cs="Arial"/>
        </w:rPr>
        <w:t>Site</w:t>
      </w:r>
      <w:r w:rsidRPr="00D40323">
        <w:rPr>
          <w:rFonts w:ascii="Foundry Form Sans" w:hAnsi="Foundry Form Sans" w:cs="Arial"/>
        </w:rPr>
        <w:t xml:space="preserve"> </w:t>
      </w:r>
      <w:r w:rsidR="00F27BF8" w:rsidRPr="00D40323">
        <w:rPr>
          <w:rFonts w:ascii="Foundry Form Sans" w:hAnsi="Foundry Form Sans" w:cs="Arial"/>
        </w:rPr>
        <w:t>has a number of constraining factors that should be taken into consideration when designing the scheme</w:t>
      </w:r>
      <w:r w:rsidR="00D4064D" w:rsidRPr="00D40323">
        <w:rPr>
          <w:rFonts w:ascii="Foundry Form Sans" w:hAnsi="Foundry Form Sans" w:cs="Arial"/>
        </w:rPr>
        <w:t xml:space="preserve"> and the below informati</w:t>
      </w:r>
      <w:r w:rsidR="00D71996" w:rsidRPr="00D40323">
        <w:rPr>
          <w:rFonts w:ascii="Foundry Form Sans" w:hAnsi="Foundry Form Sans" w:cs="Arial"/>
        </w:rPr>
        <w:t>o</w:t>
      </w:r>
      <w:r w:rsidR="00D4064D" w:rsidRPr="00D40323">
        <w:rPr>
          <w:rFonts w:ascii="Foundry Form Sans" w:hAnsi="Foundry Form Sans" w:cs="Arial"/>
        </w:rPr>
        <w:t>n is not exhaustive</w:t>
      </w:r>
      <w:r w:rsidR="00F27BF8" w:rsidRPr="00D40323">
        <w:rPr>
          <w:rFonts w:ascii="Foundry Form Sans" w:hAnsi="Foundry Form Sans" w:cs="Arial"/>
        </w:rPr>
        <w:t xml:space="preserve">. </w:t>
      </w:r>
      <w:r w:rsidR="00D4064D" w:rsidRPr="00D40323">
        <w:rPr>
          <w:rFonts w:ascii="Foundry Form Sans" w:hAnsi="Foundry Form Sans" w:cs="Arial"/>
        </w:rPr>
        <w:t xml:space="preserve">Constraints </w:t>
      </w:r>
      <w:r w:rsidR="00F27BF8" w:rsidRPr="00D40323">
        <w:rPr>
          <w:rFonts w:ascii="Foundry Form Sans" w:hAnsi="Foundry Form Sans" w:cs="Arial"/>
        </w:rPr>
        <w:t>in</w:t>
      </w:r>
      <w:r w:rsidRPr="00D40323">
        <w:rPr>
          <w:rFonts w:ascii="Foundry Form Sans" w:hAnsi="Foundry Form Sans" w:cs="Arial"/>
        </w:rPr>
        <w:t>clud</w:t>
      </w:r>
      <w:r w:rsidR="00F27BF8" w:rsidRPr="00D40323">
        <w:rPr>
          <w:rFonts w:ascii="Foundry Form Sans" w:hAnsi="Foundry Form Sans" w:cs="Arial"/>
        </w:rPr>
        <w:t>e</w:t>
      </w:r>
      <w:r w:rsidRPr="00D40323">
        <w:rPr>
          <w:rFonts w:ascii="Foundry Form Sans" w:hAnsi="Foundry Form Sans" w:cs="Arial"/>
        </w:rPr>
        <w:t xml:space="preserve"> the safeguarded zone for a potential Gallions Reach River Crossing and below ground services. The GLA will be looking for an innovative approach to the proposed massing</w:t>
      </w:r>
      <w:r w:rsidR="0026027A" w:rsidRPr="00D40323">
        <w:rPr>
          <w:rFonts w:ascii="Foundry Form Sans" w:hAnsi="Foundry Form Sans" w:cs="Arial"/>
        </w:rPr>
        <w:t xml:space="preserve">, maximising the development opportunity </w:t>
      </w:r>
      <w:r w:rsidRPr="00D40323">
        <w:rPr>
          <w:rFonts w:ascii="Foundry Form Sans" w:hAnsi="Foundry Form Sans" w:cs="Arial"/>
        </w:rPr>
        <w:t xml:space="preserve">in response to these constraints. The Maccreanor Lavington Capacity Study gives more detail and includes a number of plan drawings to illustrate </w:t>
      </w:r>
      <w:r w:rsidR="00D4064D" w:rsidRPr="00D40323">
        <w:rPr>
          <w:rFonts w:ascii="Foundry Form Sans" w:hAnsi="Foundry Form Sans" w:cs="Arial"/>
        </w:rPr>
        <w:t xml:space="preserve">site </w:t>
      </w:r>
      <w:r w:rsidRPr="00D40323">
        <w:rPr>
          <w:rFonts w:ascii="Foundry Form Sans" w:hAnsi="Foundry Form Sans" w:cs="Arial"/>
        </w:rPr>
        <w:t>constraints (Annex</w:t>
      </w:r>
      <w:r w:rsidR="006F061D" w:rsidRPr="00D40323">
        <w:rPr>
          <w:rFonts w:ascii="Foundry Form Sans" w:hAnsi="Foundry Form Sans" w:cs="Arial"/>
        </w:rPr>
        <w:t xml:space="preserve"> </w:t>
      </w:r>
      <w:r w:rsidR="00114894">
        <w:rPr>
          <w:rFonts w:ascii="Foundry Form Sans" w:hAnsi="Foundry Form Sans" w:cs="Arial"/>
        </w:rPr>
        <w:t>B</w:t>
      </w:r>
      <w:r w:rsidR="002126D9" w:rsidRPr="00D40323">
        <w:rPr>
          <w:rFonts w:ascii="Foundry Form Sans" w:hAnsi="Foundry Form Sans" w:cs="Arial"/>
        </w:rPr>
        <w:t>3</w:t>
      </w:r>
      <w:r w:rsidRPr="00D40323">
        <w:rPr>
          <w:rFonts w:ascii="Foundry Form Sans" w:hAnsi="Foundry Form Sans" w:cs="Arial"/>
        </w:rPr>
        <w:t>)</w:t>
      </w:r>
      <w:r w:rsidR="00D71996" w:rsidRPr="00D40323">
        <w:rPr>
          <w:rFonts w:ascii="Foundry Form Sans" w:hAnsi="Foundry Form Sans" w:cs="Arial"/>
        </w:rPr>
        <w:t>, though again, this is not exhaustive</w:t>
      </w:r>
      <w:r w:rsidRPr="00D40323">
        <w:rPr>
          <w:rFonts w:ascii="Foundry Form Sans" w:hAnsi="Foundry Form Sans" w:cs="Arial"/>
        </w:rPr>
        <w:t xml:space="preserve">. </w:t>
      </w:r>
    </w:p>
    <w:p w:rsidR="00B26247" w:rsidRPr="00D40323" w:rsidRDefault="00B26247" w:rsidP="009F133B">
      <w:pPr>
        <w:pStyle w:val="BodyText"/>
        <w:numPr>
          <w:ilvl w:val="2"/>
          <w:numId w:val="42"/>
        </w:numPr>
        <w:spacing w:after="120" w:line="23" w:lineRule="atLeast"/>
        <w:ind w:left="284"/>
        <w:jc w:val="both"/>
        <w:rPr>
          <w:rFonts w:ascii="Foundry Form Sans" w:hAnsi="Foundry Form Sans" w:cs="Arial"/>
        </w:rPr>
      </w:pPr>
      <w:r w:rsidRPr="00D40323">
        <w:rPr>
          <w:rFonts w:ascii="Foundry Form Sans" w:hAnsi="Foundry Form Sans" w:cs="Arial"/>
        </w:rPr>
        <w:t xml:space="preserve">Bidders are expected to review the title information </w:t>
      </w:r>
      <w:r w:rsidR="00114894">
        <w:rPr>
          <w:rFonts w:ascii="Foundry Form Sans" w:hAnsi="Foundry Form Sans" w:cs="Arial"/>
        </w:rPr>
        <w:t>included at Annex B</w:t>
      </w:r>
      <w:r w:rsidR="00E8476B" w:rsidRPr="00D40323">
        <w:rPr>
          <w:rFonts w:ascii="Foundry Form Sans" w:hAnsi="Foundry Form Sans" w:cs="Arial"/>
        </w:rPr>
        <w:t xml:space="preserve">2 </w:t>
      </w:r>
      <w:r w:rsidRPr="00D40323">
        <w:rPr>
          <w:rFonts w:ascii="Foundry Form Sans" w:hAnsi="Foundry Form Sans" w:cs="Arial"/>
        </w:rPr>
        <w:t xml:space="preserve">and adequately </w:t>
      </w:r>
      <w:r w:rsidR="009612CA" w:rsidRPr="00D40323">
        <w:rPr>
          <w:rFonts w:ascii="Foundry Form Sans" w:hAnsi="Foundry Form Sans" w:cs="Arial"/>
        </w:rPr>
        <w:t>satisfy themselves as to any possible risks.</w:t>
      </w:r>
    </w:p>
    <w:p w:rsidR="00B271DA" w:rsidRPr="007F1A91" w:rsidRDefault="00B271DA" w:rsidP="009F133B">
      <w:pPr>
        <w:spacing w:after="120" w:line="23" w:lineRule="atLeast"/>
        <w:ind w:left="284"/>
        <w:jc w:val="both"/>
        <w:rPr>
          <w:rFonts w:ascii="Foundry Form Sans" w:hAnsi="Foundry Form Sans" w:cs="Arial"/>
          <w:sz w:val="22"/>
          <w:szCs w:val="22"/>
        </w:rPr>
      </w:pPr>
    </w:p>
    <w:p w:rsidR="00B271DA" w:rsidRPr="00027DF3" w:rsidRDefault="00B271DA"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lang w:eastAsia="en-GB"/>
        </w:rPr>
        <w:t>TfL</w:t>
      </w:r>
      <w:r w:rsidRPr="00027DF3">
        <w:rPr>
          <w:rFonts w:ascii="Foundry Form Sans" w:hAnsi="Foundry Form Sans" w:cs="Arial"/>
          <w:b/>
        </w:rPr>
        <w:t xml:space="preserve"> Safeguarding for the Gallions </w:t>
      </w:r>
      <w:r>
        <w:rPr>
          <w:rFonts w:ascii="Foundry Form Sans" w:hAnsi="Foundry Form Sans" w:cs="Arial"/>
          <w:b/>
        </w:rPr>
        <w:t xml:space="preserve">Reach River </w:t>
      </w:r>
      <w:r w:rsidRPr="00027DF3">
        <w:rPr>
          <w:rFonts w:ascii="Foundry Form Sans" w:hAnsi="Foundry Form Sans" w:cs="Arial"/>
          <w:b/>
        </w:rPr>
        <w:t>Crossing</w:t>
      </w:r>
    </w:p>
    <w:p w:rsidR="00B271DA" w:rsidRPr="007F1A91" w:rsidRDefault="00B271DA" w:rsidP="009F133B">
      <w:pPr>
        <w:pStyle w:val="BodyText"/>
        <w:numPr>
          <w:ilvl w:val="2"/>
          <w:numId w:val="42"/>
        </w:numPr>
        <w:spacing w:after="120" w:line="23" w:lineRule="atLeast"/>
        <w:ind w:left="284"/>
        <w:jc w:val="both"/>
        <w:rPr>
          <w:rFonts w:ascii="Foundry Form Sans" w:hAnsi="Foundry Form Sans" w:cs="Arial"/>
        </w:rPr>
      </w:pPr>
      <w:r w:rsidRPr="007F1A91">
        <w:rPr>
          <w:rFonts w:ascii="Foundry Form Sans" w:hAnsi="Foundry Form Sans" w:cs="Arial"/>
        </w:rPr>
        <w:t>A significant amount of land to the north of the Royal Albert Basin is currently safeguarded for the proposed Gallions</w:t>
      </w:r>
      <w:r w:rsidR="00446F42">
        <w:rPr>
          <w:rFonts w:ascii="Foundry Form Sans" w:hAnsi="Foundry Form Sans" w:cs="Arial"/>
        </w:rPr>
        <w:t xml:space="preserve"> Reach</w:t>
      </w:r>
      <w:r w:rsidRPr="007F1A91">
        <w:rPr>
          <w:rFonts w:ascii="Foundry Form Sans" w:hAnsi="Foundry Form Sans" w:cs="Arial"/>
        </w:rPr>
        <w:t xml:space="preserve"> River Crossing. This proposal, to form a significant strategic crossing from Beckton to Thamesmead, is indicated on drawings in various forms as early as the 1980s. The crossing would connect the north and south of the river to improve access and opportunities for business and residents in east London. Consultation for this crossing </w:t>
      </w:r>
      <w:r w:rsidR="00E8476B" w:rsidRPr="007F1A91">
        <w:rPr>
          <w:rFonts w:ascii="Foundry Form Sans" w:hAnsi="Foundry Form Sans" w:cs="Arial"/>
        </w:rPr>
        <w:t xml:space="preserve">ran from </w:t>
      </w:r>
      <w:r w:rsidRPr="007F1A91">
        <w:rPr>
          <w:rFonts w:ascii="Foundry Form Sans" w:hAnsi="Foundry Form Sans" w:cs="Arial"/>
        </w:rPr>
        <w:t xml:space="preserve">December 2015 </w:t>
      </w:r>
      <w:r w:rsidR="00E8476B" w:rsidRPr="007F1A91">
        <w:rPr>
          <w:rFonts w:ascii="Foundry Form Sans" w:hAnsi="Foundry Form Sans" w:cs="Arial"/>
        </w:rPr>
        <w:t>u</w:t>
      </w:r>
      <w:r w:rsidRPr="007F1A91">
        <w:rPr>
          <w:rFonts w:ascii="Foundry Form Sans" w:hAnsi="Foundry Form Sans" w:cs="Arial"/>
        </w:rPr>
        <w:t xml:space="preserve">ntil March 2016. </w:t>
      </w:r>
    </w:p>
    <w:p w:rsidR="00B271DA" w:rsidRPr="007F1A91" w:rsidRDefault="00B271DA" w:rsidP="009F133B">
      <w:pPr>
        <w:pStyle w:val="BodyText"/>
        <w:numPr>
          <w:ilvl w:val="2"/>
          <w:numId w:val="42"/>
        </w:numPr>
        <w:spacing w:after="120" w:line="23" w:lineRule="atLeast"/>
        <w:ind w:left="284"/>
        <w:jc w:val="both"/>
        <w:rPr>
          <w:rFonts w:ascii="Foundry Form Sans" w:hAnsi="Foundry Form Sans" w:cs="Arial"/>
        </w:rPr>
      </w:pPr>
      <w:r w:rsidRPr="007F1A91">
        <w:rPr>
          <w:rFonts w:ascii="Foundry Form Sans" w:hAnsi="Foundry Form Sans" w:cs="Arial"/>
        </w:rPr>
        <w:t xml:space="preserve">The proposed crossing is currently indicated to the north </w:t>
      </w:r>
      <w:r w:rsidR="00D4064D" w:rsidRPr="007F1A91">
        <w:rPr>
          <w:rFonts w:ascii="Foundry Form Sans" w:hAnsi="Foundry Form Sans" w:cs="Arial"/>
        </w:rPr>
        <w:t>of</w:t>
      </w:r>
      <w:r w:rsidR="00F27BF8" w:rsidRPr="007F1A91">
        <w:rPr>
          <w:rFonts w:ascii="Foundry Form Sans" w:hAnsi="Foundry Form Sans" w:cs="Arial"/>
        </w:rPr>
        <w:t xml:space="preserve"> Gallions 3B</w:t>
      </w:r>
      <w:r w:rsidRPr="007F1A91">
        <w:rPr>
          <w:rFonts w:ascii="Foundry Form Sans" w:hAnsi="Foundry Form Sans" w:cs="Arial"/>
        </w:rPr>
        <w:t xml:space="preserve">, </w:t>
      </w:r>
      <w:r w:rsidR="00C25AEE" w:rsidRPr="007F1A91">
        <w:rPr>
          <w:rFonts w:ascii="Foundry Form Sans" w:hAnsi="Foundry Form Sans" w:cs="Arial"/>
        </w:rPr>
        <w:t xml:space="preserve">with an </w:t>
      </w:r>
      <w:r w:rsidRPr="007F1A91">
        <w:rPr>
          <w:rFonts w:ascii="Foundry Form Sans" w:hAnsi="Foundry Form Sans" w:cs="Arial"/>
        </w:rPr>
        <w:t xml:space="preserve">associated zone also </w:t>
      </w:r>
      <w:r w:rsidR="00C25AEE" w:rsidRPr="007F1A91">
        <w:rPr>
          <w:rFonts w:ascii="Foundry Form Sans" w:hAnsi="Foundry Form Sans" w:cs="Arial"/>
        </w:rPr>
        <w:t xml:space="preserve">safeguarded </w:t>
      </w:r>
      <w:r w:rsidRPr="007F1A91">
        <w:rPr>
          <w:rFonts w:ascii="Foundry Form Sans" w:hAnsi="Foundry Form Sans" w:cs="Arial"/>
        </w:rPr>
        <w:t>for construction compounds. This zone is based on the LB</w:t>
      </w:r>
      <w:r w:rsidR="00AE4A35" w:rsidRPr="007F1A91">
        <w:rPr>
          <w:rFonts w:ascii="Foundry Form Sans" w:hAnsi="Foundry Form Sans" w:cs="Arial"/>
        </w:rPr>
        <w:t>N's</w:t>
      </w:r>
      <w:r w:rsidRPr="007F1A91">
        <w:rPr>
          <w:rFonts w:ascii="Foundry Form Sans" w:hAnsi="Foundry Form Sans" w:cs="Arial"/>
        </w:rPr>
        <w:t xml:space="preserve"> Core Strategy Proposals Map of October 2012. See page 44-45 in Annex</w:t>
      </w:r>
      <w:r w:rsidR="006F061D" w:rsidRPr="007F1A91">
        <w:rPr>
          <w:rFonts w:ascii="Foundry Form Sans" w:hAnsi="Foundry Form Sans" w:cs="Arial"/>
        </w:rPr>
        <w:t xml:space="preserve"> </w:t>
      </w:r>
      <w:r w:rsidR="00114894">
        <w:rPr>
          <w:rFonts w:ascii="Foundry Form Sans" w:hAnsi="Foundry Form Sans" w:cs="Arial"/>
        </w:rPr>
        <w:t>B</w:t>
      </w:r>
      <w:r w:rsidR="002126D9" w:rsidRPr="007F1A91">
        <w:rPr>
          <w:rFonts w:ascii="Foundry Form Sans" w:hAnsi="Foundry Form Sans" w:cs="Arial"/>
        </w:rPr>
        <w:t>3</w:t>
      </w:r>
      <w:r w:rsidRPr="007F1A91">
        <w:rPr>
          <w:rFonts w:ascii="Foundry Form Sans" w:hAnsi="Foundry Form Sans" w:cs="Arial"/>
        </w:rPr>
        <w:t>.</w:t>
      </w:r>
    </w:p>
    <w:p w:rsidR="00E8476B" w:rsidRPr="007F1A91" w:rsidRDefault="00B271DA" w:rsidP="009F133B">
      <w:pPr>
        <w:pStyle w:val="BodyText"/>
        <w:numPr>
          <w:ilvl w:val="2"/>
          <w:numId w:val="42"/>
        </w:numPr>
        <w:spacing w:after="120" w:line="23" w:lineRule="atLeast"/>
        <w:ind w:left="284"/>
        <w:jc w:val="both"/>
        <w:rPr>
          <w:rFonts w:ascii="Foundry Form Sans" w:hAnsi="Foundry Form Sans" w:cs="Arial"/>
        </w:rPr>
      </w:pPr>
      <w:r w:rsidRPr="007F1A91">
        <w:rPr>
          <w:rFonts w:ascii="Foundry Form Sans" w:hAnsi="Foundry Form Sans" w:cs="Arial"/>
        </w:rPr>
        <w:t xml:space="preserve">Proposals for the </w:t>
      </w:r>
      <w:r w:rsidR="00514E0E">
        <w:rPr>
          <w:rFonts w:ascii="Foundry Form Sans" w:hAnsi="Foundry Form Sans" w:cs="Arial"/>
        </w:rPr>
        <w:t>Site</w:t>
      </w:r>
      <w:r w:rsidRPr="007F1A91">
        <w:rPr>
          <w:rFonts w:ascii="Foundry Form Sans" w:hAnsi="Foundry Form Sans" w:cs="Arial"/>
        </w:rPr>
        <w:t xml:space="preserve"> will need to demonstrate a clear understanding of future requirements to the safeguarded area, and consideration given to the scale of the potential crossing including the visual, noise, vibration, ground movement and traffic impacts than can reasonably be expected. </w:t>
      </w:r>
    </w:p>
    <w:p w:rsidR="00F95B89" w:rsidRPr="007F1A91" w:rsidRDefault="00E8476B" w:rsidP="009F133B">
      <w:pPr>
        <w:pStyle w:val="BodyText"/>
        <w:numPr>
          <w:ilvl w:val="2"/>
          <w:numId w:val="42"/>
        </w:numPr>
        <w:spacing w:after="120" w:line="23" w:lineRule="atLeast"/>
        <w:ind w:left="284"/>
        <w:jc w:val="both"/>
        <w:rPr>
          <w:rFonts w:ascii="Foundry Form Sans" w:hAnsi="Foundry Form Sans" w:cs="Arial"/>
        </w:rPr>
      </w:pPr>
      <w:r w:rsidRPr="007F1A91">
        <w:rPr>
          <w:rFonts w:ascii="Foundry Form Sans" w:hAnsi="Foundry Form Sans" w:cs="Arial"/>
        </w:rPr>
        <w:t xml:space="preserve">The inclusion of Armada Green will result in a net loss of amenity space in the area. Bidders should outline how they would mitigate this through </w:t>
      </w:r>
      <w:r w:rsidR="00511995" w:rsidRPr="007F1A91">
        <w:rPr>
          <w:rFonts w:ascii="Foundry Form Sans" w:hAnsi="Foundry Form Sans" w:cs="Arial"/>
        </w:rPr>
        <w:t>temporary</w:t>
      </w:r>
      <w:r w:rsidRPr="007F1A91">
        <w:rPr>
          <w:rFonts w:ascii="Foundry Form Sans" w:hAnsi="Foundry Form Sans" w:cs="Arial"/>
        </w:rPr>
        <w:t xml:space="preserve"> </w:t>
      </w:r>
      <w:r w:rsidR="00CA1EBA" w:rsidRPr="007F1A91">
        <w:rPr>
          <w:rFonts w:ascii="Foundry Form Sans" w:hAnsi="Foundry Form Sans" w:cs="Arial"/>
        </w:rPr>
        <w:t>landscaping</w:t>
      </w:r>
      <w:r w:rsidRPr="007F1A91">
        <w:rPr>
          <w:rFonts w:ascii="Foundry Form Sans" w:hAnsi="Foundry Form Sans" w:cs="Arial"/>
        </w:rPr>
        <w:t xml:space="preserve"> of the </w:t>
      </w:r>
      <w:r w:rsidR="00F56F19">
        <w:rPr>
          <w:rFonts w:ascii="Foundry Form Sans" w:hAnsi="Foundry Form Sans" w:cs="Arial"/>
        </w:rPr>
        <w:t>Temporary Open Space Land</w:t>
      </w:r>
      <w:r w:rsidRPr="007F1A91">
        <w:rPr>
          <w:rFonts w:ascii="Foundry Form Sans" w:hAnsi="Foundry Form Sans" w:cs="Arial"/>
        </w:rPr>
        <w:t xml:space="preserve">. Since </w:t>
      </w:r>
      <w:r w:rsidR="00105BB4" w:rsidRPr="007F1A91">
        <w:rPr>
          <w:rFonts w:ascii="Foundry Form Sans" w:hAnsi="Foundry Form Sans" w:cs="Arial"/>
        </w:rPr>
        <w:t>this area is safeguarded</w:t>
      </w:r>
      <w:r w:rsidR="009D6FF5">
        <w:rPr>
          <w:rFonts w:ascii="Foundry Form Sans" w:hAnsi="Foundry Form Sans" w:cs="Arial"/>
        </w:rPr>
        <w:t xml:space="preserve"> it</w:t>
      </w:r>
      <w:r w:rsidRPr="007F1A91">
        <w:rPr>
          <w:rFonts w:ascii="Foundry Form Sans" w:hAnsi="Foundry Form Sans" w:cs="Arial"/>
        </w:rPr>
        <w:t xml:space="preserve"> will be </w:t>
      </w:r>
      <w:r w:rsidR="00F56F19">
        <w:rPr>
          <w:rFonts w:ascii="Foundry Form Sans" w:hAnsi="Foundry Form Sans" w:cs="Arial"/>
        </w:rPr>
        <w:t xml:space="preserve">leased </w:t>
      </w:r>
      <w:r w:rsidRPr="007F1A91">
        <w:rPr>
          <w:rFonts w:ascii="Foundry Form Sans" w:hAnsi="Foundry Form Sans" w:cs="Arial"/>
        </w:rPr>
        <w:t>on a short term basis</w:t>
      </w:r>
      <w:r w:rsidR="009D6FF5">
        <w:rPr>
          <w:rFonts w:ascii="Foundry Form Sans" w:hAnsi="Foundry Form Sans" w:cs="Arial"/>
        </w:rPr>
        <w:t>;</w:t>
      </w:r>
      <w:r w:rsidRPr="007F1A91">
        <w:rPr>
          <w:rFonts w:ascii="Foundry Form Sans" w:hAnsi="Foundry Form Sans" w:cs="Arial"/>
        </w:rPr>
        <w:t xml:space="preserve"> this aspect cannot</w:t>
      </w:r>
      <w:r w:rsidR="009D6FF5">
        <w:rPr>
          <w:rFonts w:ascii="Foundry Form Sans" w:hAnsi="Foundry Form Sans" w:cs="Arial"/>
        </w:rPr>
        <w:t xml:space="preserve"> therefore</w:t>
      </w:r>
      <w:r w:rsidRPr="007F1A91">
        <w:rPr>
          <w:rFonts w:ascii="Foundry Form Sans" w:hAnsi="Foundry Form Sans" w:cs="Arial"/>
        </w:rPr>
        <w:t xml:space="preserve"> fo</w:t>
      </w:r>
      <w:r w:rsidR="00F34088" w:rsidRPr="007F1A91">
        <w:rPr>
          <w:rFonts w:ascii="Foundry Form Sans" w:hAnsi="Foundry Form Sans" w:cs="Arial"/>
        </w:rPr>
        <w:t>r</w:t>
      </w:r>
      <w:r w:rsidRPr="007F1A91">
        <w:rPr>
          <w:rFonts w:ascii="Foundry Form Sans" w:hAnsi="Foundry Form Sans" w:cs="Arial"/>
        </w:rPr>
        <w:t>m the permanent open space provision for the proposed permanent scheme.</w:t>
      </w:r>
      <w:r w:rsidR="00511995" w:rsidRPr="007F1A91">
        <w:rPr>
          <w:rFonts w:ascii="Foundry Form Sans" w:hAnsi="Foundry Form Sans" w:cs="Arial"/>
        </w:rPr>
        <w:t xml:space="preserve"> The level of investment</w:t>
      </w:r>
      <w:r w:rsidR="009D6FF5">
        <w:rPr>
          <w:rFonts w:ascii="Foundry Form Sans" w:hAnsi="Foundry Form Sans" w:cs="Arial"/>
        </w:rPr>
        <w:t xml:space="preserve"> in the landscaping</w:t>
      </w:r>
      <w:r w:rsidR="00511995" w:rsidRPr="007F1A91">
        <w:rPr>
          <w:rFonts w:ascii="Foundry Form Sans" w:hAnsi="Foundry Form Sans" w:cs="Arial"/>
        </w:rPr>
        <w:t xml:space="preserve"> should reflect </w:t>
      </w:r>
      <w:r w:rsidR="009D6FF5">
        <w:rPr>
          <w:rFonts w:ascii="Foundry Form Sans" w:hAnsi="Foundry Form Sans" w:cs="Arial"/>
        </w:rPr>
        <w:t>its temporary nature</w:t>
      </w:r>
      <w:r w:rsidR="00511995" w:rsidRPr="007F1A91">
        <w:rPr>
          <w:rFonts w:ascii="Foundry Form Sans" w:hAnsi="Foundry Form Sans" w:cs="Arial"/>
        </w:rPr>
        <w:t>.</w:t>
      </w:r>
      <w:r w:rsidR="00F34088" w:rsidRPr="007F1A91">
        <w:rPr>
          <w:rFonts w:ascii="Foundry Form Sans" w:hAnsi="Foundry Form Sans" w:cs="Arial"/>
        </w:rPr>
        <w:t xml:space="preserve"> </w:t>
      </w:r>
      <w:r w:rsidRPr="007F1A91">
        <w:rPr>
          <w:rFonts w:ascii="Foundry Form Sans" w:hAnsi="Foundry Form Sans" w:cs="Arial"/>
        </w:rPr>
        <w:t xml:space="preserve"> </w:t>
      </w:r>
      <w:r w:rsidR="00CA1EBA" w:rsidRPr="007F1A91">
        <w:rPr>
          <w:rFonts w:ascii="Foundry Form Sans" w:hAnsi="Foundry Form Sans" w:cs="Arial"/>
        </w:rPr>
        <w:t xml:space="preserve"> </w:t>
      </w:r>
    </w:p>
    <w:p w:rsidR="00005854" w:rsidRPr="007F1A91" w:rsidRDefault="00F95B89" w:rsidP="009F133B">
      <w:pPr>
        <w:pStyle w:val="BodyText"/>
        <w:numPr>
          <w:ilvl w:val="2"/>
          <w:numId w:val="42"/>
        </w:numPr>
        <w:spacing w:after="120" w:line="23" w:lineRule="atLeast"/>
        <w:ind w:left="284"/>
        <w:jc w:val="both"/>
        <w:rPr>
          <w:rFonts w:ascii="Foundry Form Sans" w:hAnsi="Foundry Form Sans" w:cs="Arial"/>
        </w:rPr>
      </w:pPr>
      <w:r w:rsidRPr="007F1A91">
        <w:rPr>
          <w:rFonts w:ascii="Foundry Form Sans" w:hAnsi="Foundry Form Sans" w:cs="Arial"/>
        </w:rPr>
        <w:t xml:space="preserve">We anticipate offering the preferred development partner a leasehold interest in the </w:t>
      </w:r>
      <w:r w:rsidR="00F56F19">
        <w:rPr>
          <w:rFonts w:ascii="Foundry Form Sans" w:hAnsi="Foundry Form Sans" w:cs="Arial"/>
        </w:rPr>
        <w:t xml:space="preserve">Temporary Open Space Land </w:t>
      </w:r>
      <w:r w:rsidRPr="007F1A91">
        <w:rPr>
          <w:rFonts w:ascii="Foundry Form Sans" w:hAnsi="Foundry Form Sans" w:cs="Arial"/>
        </w:rPr>
        <w:t xml:space="preserve">for a term of </w:t>
      </w:r>
      <w:r w:rsidR="00511995" w:rsidRPr="007F1A91">
        <w:rPr>
          <w:rFonts w:ascii="Foundry Form Sans" w:hAnsi="Foundry Form Sans" w:cs="Arial"/>
        </w:rPr>
        <w:t>15</w:t>
      </w:r>
      <w:r w:rsidR="00446F42">
        <w:rPr>
          <w:rFonts w:ascii="Foundry Form Sans" w:hAnsi="Foundry Form Sans" w:cs="Arial"/>
        </w:rPr>
        <w:t xml:space="preserve"> </w:t>
      </w:r>
      <w:r w:rsidRPr="007F1A91">
        <w:rPr>
          <w:rFonts w:ascii="Foundry Form Sans" w:hAnsi="Foundry Form Sans" w:cs="Arial"/>
        </w:rPr>
        <w:t>years, terminable in the event of either grant of planning for a bridge crossing, or the release of the safeguarded area.</w:t>
      </w:r>
    </w:p>
    <w:p w:rsidR="00005854" w:rsidRDefault="00005854" w:rsidP="009F133B">
      <w:pPr>
        <w:autoSpaceDE w:val="0"/>
        <w:autoSpaceDN w:val="0"/>
        <w:adjustRightInd w:val="0"/>
        <w:ind w:left="284"/>
        <w:jc w:val="both"/>
        <w:rPr>
          <w:rFonts w:ascii="Foundry Form Sans" w:hAnsi="Foundry Form Sans" w:cs="Arial"/>
          <w:sz w:val="22"/>
          <w:szCs w:val="22"/>
          <w:highlight w:val="yellow"/>
        </w:rPr>
      </w:pPr>
    </w:p>
    <w:p w:rsidR="00C30A28" w:rsidRPr="00027DF3" w:rsidRDefault="00C30A28" w:rsidP="009F133B">
      <w:pPr>
        <w:pStyle w:val="BodyText"/>
        <w:numPr>
          <w:ilvl w:val="1"/>
          <w:numId w:val="42"/>
        </w:numPr>
        <w:spacing w:after="120" w:line="23" w:lineRule="atLeast"/>
        <w:ind w:left="284"/>
        <w:jc w:val="both"/>
        <w:rPr>
          <w:rFonts w:ascii="Foundry Form Sans" w:hAnsi="Foundry Form Sans" w:cs="Arial"/>
          <w:b/>
          <w:color w:val="000000" w:themeColor="text1"/>
        </w:rPr>
      </w:pPr>
      <w:r w:rsidRPr="00027DF3">
        <w:rPr>
          <w:rFonts w:ascii="Foundry Form Sans" w:hAnsi="Foundry Form Sans" w:cs="Arial"/>
          <w:b/>
          <w:color w:val="000000" w:themeColor="text1"/>
          <w:lang w:eastAsia="en-GB"/>
        </w:rPr>
        <w:t>Underground</w:t>
      </w:r>
      <w:r w:rsidRPr="00027DF3">
        <w:rPr>
          <w:rFonts w:ascii="Foundry Form Sans" w:hAnsi="Foundry Form Sans" w:cs="Arial"/>
          <w:b/>
          <w:color w:val="000000" w:themeColor="text1"/>
        </w:rPr>
        <w:t xml:space="preserve"> </w:t>
      </w:r>
      <w:r w:rsidR="00AE4A35">
        <w:rPr>
          <w:rFonts w:ascii="Foundry Form Sans" w:hAnsi="Foundry Form Sans" w:cs="Arial"/>
          <w:b/>
          <w:color w:val="000000" w:themeColor="text1"/>
        </w:rPr>
        <w:t>s</w:t>
      </w:r>
      <w:r w:rsidRPr="00027DF3">
        <w:rPr>
          <w:rFonts w:ascii="Foundry Form Sans" w:hAnsi="Foundry Form Sans" w:cs="Arial"/>
          <w:b/>
          <w:color w:val="000000" w:themeColor="text1"/>
        </w:rPr>
        <w:t>ervicing and drainage</w:t>
      </w:r>
    </w:p>
    <w:p w:rsidR="008E5C33" w:rsidRPr="009F133B" w:rsidRDefault="00C30A28" w:rsidP="009F133B">
      <w:pPr>
        <w:pStyle w:val="BodyText"/>
        <w:numPr>
          <w:ilvl w:val="2"/>
          <w:numId w:val="42"/>
        </w:numPr>
        <w:shd w:val="clear" w:color="auto" w:fill="C0C0C0" w:themeFill="background1"/>
        <w:spacing w:after="120" w:line="23" w:lineRule="atLeast"/>
        <w:ind w:left="284"/>
        <w:jc w:val="both"/>
        <w:rPr>
          <w:rFonts w:ascii="Foundry Form Sans" w:hAnsi="Foundry Form Sans"/>
        </w:rPr>
      </w:pPr>
      <w:r w:rsidRPr="0042695E">
        <w:rPr>
          <w:rStyle w:val="A5"/>
          <w:rFonts w:ascii="Foundry Form Sans" w:hAnsi="Foundry Form Sans"/>
          <w:color w:val="auto"/>
        </w:rPr>
        <w:t xml:space="preserve">The extent of below ground services </w:t>
      </w:r>
      <w:r w:rsidR="00C25AEE" w:rsidRPr="0042695E">
        <w:rPr>
          <w:rStyle w:val="A5"/>
          <w:rFonts w:ascii="Foundry Form Sans" w:hAnsi="Foundry Form Sans"/>
          <w:color w:val="auto"/>
        </w:rPr>
        <w:t xml:space="preserve">is indicated in the constraints plan </w:t>
      </w:r>
      <w:r w:rsidR="00C25AEE" w:rsidRPr="009F133B">
        <w:rPr>
          <w:rStyle w:val="A5"/>
          <w:rFonts w:ascii="Foundry Form Sans" w:hAnsi="Foundry Form Sans"/>
          <w:color w:val="auto"/>
        </w:rPr>
        <w:t xml:space="preserve">(page58 Annex </w:t>
      </w:r>
      <w:r w:rsidR="00114894">
        <w:rPr>
          <w:rStyle w:val="A5"/>
          <w:rFonts w:ascii="Foundry Form Sans" w:hAnsi="Foundry Form Sans"/>
          <w:color w:val="auto"/>
        </w:rPr>
        <w:t>B</w:t>
      </w:r>
      <w:r w:rsidR="002126D9" w:rsidRPr="009F133B">
        <w:rPr>
          <w:rStyle w:val="A5"/>
          <w:rFonts w:ascii="Foundry Form Sans" w:hAnsi="Foundry Form Sans"/>
          <w:color w:val="auto"/>
        </w:rPr>
        <w:t>3</w:t>
      </w:r>
      <w:r w:rsidR="00C25AEE" w:rsidRPr="009F133B">
        <w:rPr>
          <w:rStyle w:val="A5"/>
          <w:rFonts w:ascii="Foundry Form Sans" w:hAnsi="Foundry Form Sans"/>
          <w:color w:val="auto"/>
        </w:rPr>
        <w:t xml:space="preserve">) </w:t>
      </w:r>
    </w:p>
    <w:p w:rsidR="008E5C33" w:rsidRPr="00503B0A" w:rsidRDefault="008E5C33" w:rsidP="009F133B">
      <w:pPr>
        <w:pStyle w:val="BodyText"/>
        <w:numPr>
          <w:ilvl w:val="2"/>
          <w:numId w:val="42"/>
        </w:numPr>
        <w:spacing w:after="120" w:line="23" w:lineRule="atLeast"/>
        <w:ind w:left="284"/>
        <w:jc w:val="both"/>
        <w:rPr>
          <w:rStyle w:val="A5"/>
          <w:color w:val="auto"/>
        </w:rPr>
      </w:pPr>
      <w:r w:rsidRPr="0042695E">
        <w:rPr>
          <w:rStyle w:val="A5"/>
          <w:rFonts w:ascii="Foundry Form Sans" w:hAnsi="Foundry Form Sans"/>
          <w:color w:val="auto"/>
        </w:rPr>
        <w:t xml:space="preserve">A rising main runs north/south </w:t>
      </w:r>
      <w:r w:rsidR="00F27BF8">
        <w:rPr>
          <w:rStyle w:val="A5"/>
          <w:rFonts w:ascii="Foundry Form Sans" w:hAnsi="Foundry Form Sans"/>
          <w:color w:val="auto"/>
        </w:rPr>
        <w:t>under</w:t>
      </w:r>
      <w:r w:rsidR="00F27BF8" w:rsidRPr="0042695E">
        <w:rPr>
          <w:rStyle w:val="A5"/>
          <w:rFonts w:ascii="Foundry Form Sans" w:hAnsi="Foundry Form Sans"/>
          <w:color w:val="auto"/>
        </w:rPr>
        <w:t xml:space="preserve"> </w:t>
      </w:r>
      <w:r w:rsidRPr="0042695E">
        <w:rPr>
          <w:rStyle w:val="A5"/>
          <w:rFonts w:ascii="Foundry Form Sans" w:hAnsi="Foundry Form Sans"/>
          <w:color w:val="auto"/>
        </w:rPr>
        <w:t xml:space="preserve">Gallions 3B, across the western side of the </w:t>
      </w:r>
      <w:r w:rsidR="00514E0E">
        <w:rPr>
          <w:rStyle w:val="A5"/>
          <w:rFonts w:ascii="Foundry Form Sans" w:hAnsi="Foundry Form Sans"/>
          <w:color w:val="auto"/>
        </w:rPr>
        <w:t>Site</w:t>
      </w:r>
      <w:r w:rsidRPr="0042695E">
        <w:rPr>
          <w:rStyle w:val="A5"/>
          <w:rFonts w:ascii="Foundry Form Sans" w:hAnsi="Foundry Form Sans"/>
          <w:color w:val="auto"/>
        </w:rPr>
        <w:t>. A number of services including HV electricity cable, water main and BT cable run in the footway of Mag</w:t>
      </w:r>
      <w:r w:rsidR="00052B7D">
        <w:rPr>
          <w:rStyle w:val="A5"/>
          <w:rFonts w:ascii="Foundry Form Sans" w:hAnsi="Foundry Form Sans"/>
          <w:color w:val="auto"/>
        </w:rPr>
        <w:t>e</w:t>
      </w:r>
      <w:r w:rsidRPr="0042695E">
        <w:rPr>
          <w:rStyle w:val="A5"/>
          <w:rFonts w:ascii="Foundry Form Sans" w:hAnsi="Foundry Form Sans"/>
          <w:color w:val="auto"/>
        </w:rPr>
        <w:t>ll</w:t>
      </w:r>
      <w:r w:rsidR="00052B7D">
        <w:rPr>
          <w:rStyle w:val="A5"/>
          <w:rFonts w:ascii="Foundry Form Sans" w:hAnsi="Foundry Form Sans"/>
          <w:color w:val="auto"/>
        </w:rPr>
        <w:t>a</w:t>
      </w:r>
      <w:r w:rsidRPr="0042695E">
        <w:rPr>
          <w:rStyle w:val="A5"/>
          <w:rFonts w:ascii="Foundry Form Sans" w:hAnsi="Foundry Form Sans"/>
          <w:color w:val="auto"/>
        </w:rPr>
        <w:t>n Boulevard along the western edge of Gallions 3B</w:t>
      </w:r>
      <w:r w:rsidR="0057669B">
        <w:rPr>
          <w:rStyle w:val="A5"/>
          <w:rFonts w:ascii="Foundry Form Sans" w:hAnsi="Foundry Form Sans"/>
          <w:color w:val="auto"/>
        </w:rPr>
        <w:t xml:space="preserve">, and there are further </w:t>
      </w:r>
      <w:r w:rsidR="00C119FC">
        <w:rPr>
          <w:rStyle w:val="A5"/>
          <w:rFonts w:ascii="Foundry Form Sans" w:hAnsi="Foundry Form Sans"/>
          <w:color w:val="auto"/>
        </w:rPr>
        <w:t xml:space="preserve">services (including a storm water drain) </w:t>
      </w:r>
      <w:r w:rsidR="0057669B">
        <w:rPr>
          <w:rStyle w:val="A5"/>
          <w:rFonts w:ascii="Foundry Form Sans" w:hAnsi="Foundry Form Sans"/>
          <w:color w:val="auto"/>
        </w:rPr>
        <w:t xml:space="preserve">running east-west at the north of the </w:t>
      </w:r>
      <w:r w:rsidR="00514E0E">
        <w:rPr>
          <w:rStyle w:val="A5"/>
          <w:rFonts w:ascii="Foundry Form Sans" w:hAnsi="Foundry Form Sans"/>
          <w:color w:val="auto"/>
        </w:rPr>
        <w:t>Site</w:t>
      </w:r>
      <w:r w:rsidR="0057669B">
        <w:rPr>
          <w:rStyle w:val="A5"/>
          <w:rFonts w:ascii="Foundry Form Sans" w:hAnsi="Foundry Form Sans"/>
          <w:color w:val="auto"/>
        </w:rPr>
        <w:t>.</w:t>
      </w:r>
    </w:p>
    <w:p w:rsidR="007D7DDA" w:rsidRPr="00E91D2E" w:rsidRDefault="00C25AEE" w:rsidP="009F133B">
      <w:pPr>
        <w:pStyle w:val="BodyText"/>
        <w:numPr>
          <w:ilvl w:val="2"/>
          <w:numId w:val="42"/>
        </w:numPr>
        <w:spacing w:after="120" w:line="23" w:lineRule="atLeast"/>
        <w:ind w:left="284"/>
        <w:jc w:val="both"/>
        <w:rPr>
          <w:rStyle w:val="A5"/>
          <w:rFonts w:ascii="Foundry Form Sans" w:hAnsi="Foundry Form Sans" w:cs="Arial"/>
          <w:b/>
          <w:color w:val="auto"/>
        </w:rPr>
      </w:pPr>
      <w:r w:rsidRPr="00503B0A">
        <w:rPr>
          <w:rStyle w:val="A5"/>
          <w:rFonts w:ascii="Foundry Form Sans" w:hAnsi="Foundry Form Sans"/>
          <w:color w:val="auto"/>
        </w:rPr>
        <w:t>D</w:t>
      </w:r>
      <w:r w:rsidR="00330548" w:rsidRPr="00C25AEE">
        <w:rPr>
          <w:rStyle w:val="A5"/>
          <w:rFonts w:ascii="Foundry Form Sans" w:hAnsi="Foundry Form Sans"/>
          <w:color w:val="000000" w:themeColor="text1"/>
        </w:rPr>
        <w:t xml:space="preserve">evelopers will need to </w:t>
      </w:r>
      <w:r w:rsidRPr="00C25AEE">
        <w:rPr>
          <w:rStyle w:val="A5"/>
          <w:rFonts w:ascii="Foundry Form Sans" w:hAnsi="Foundry Form Sans"/>
          <w:color w:val="000000" w:themeColor="text1"/>
        </w:rPr>
        <w:t xml:space="preserve">pay regards to their positioning when setting out their proposals for the </w:t>
      </w:r>
      <w:r w:rsidR="00514E0E">
        <w:rPr>
          <w:rStyle w:val="A5"/>
          <w:rFonts w:ascii="Foundry Form Sans" w:hAnsi="Foundry Form Sans"/>
          <w:color w:val="000000" w:themeColor="text1"/>
        </w:rPr>
        <w:t>Site</w:t>
      </w:r>
      <w:r w:rsidRPr="00C25AEE">
        <w:rPr>
          <w:rStyle w:val="A5"/>
          <w:rFonts w:ascii="Foundry Form Sans" w:hAnsi="Foundry Form Sans"/>
          <w:color w:val="000000" w:themeColor="text1"/>
        </w:rPr>
        <w:t>.</w:t>
      </w:r>
      <w:r w:rsidR="00330548" w:rsidRPr="00C25AEE">
        <w:rPr>
          <w:rStyle w:val="A5"/>
          <w:rFonts w:ascii="Foundry Form Sans" w:hAnsi="Foundry Form Sans"/>
          <w:color w:val="000000" w:themeColor="text1"/>
        </w:rPr>
        <w:t xml:space="preserve"> </w:t>
      </w:r>
    </w:p>
    <w:p w:rsidR="00E91D2E" w:rsidRDefault="00E91D2E" w:rsidP="009F133B">
      <w:pPr>
        <w:pStyle w:val="BodyText"/>
        <w:spacing w:after="120" w:line="23" w:lineRule="atLeast"/>
        <w:ind w:left="284"/>
        <w:jc w:val="both"/>
        <w:rPr>
          <w:rFonts w:ascii="Foundry Form Sans" w:hAnsi="Foundry Form Sans" w:cs="Arial"/>
          <w:b/>
        </w:rPr>
      </w:pPr>
    </w:p>
    <w:p w:rsidR="002644C5" w:rsidRPr="00027DF3" w:rsidRDefault="002644C5" w:rsidP="009F133B">
      <w:pPr>
        <w:pStyle w:val="BodyText"/>
        <w:numPr>
          <w:ilvl w:val="1"/>
          <w:numId w:val="42"/>
        </w:numPr>
        <w:spacing w:after="120" w:line="23" w:lineRule="atLeast"/>
        <w:ind w:left="284"/>
        <w:jc w:val="both"/>
        <w:rPr>
          <w:rFonts w:ascii="Foundry Form Sans" w:hAnsi="Foundry Form Sans" w:cs="Arial"/>
          <w:b/>
        </w:rPr>
      </w:pPr>
      <w:r w:rsidRPr="00F27EDC">
        <w:rPr>
          <w:rFonts w:ascii="Foundry Form Sans" w:hAnsi="Foundry Form Sans" w:cs="Arial"/>
          <w:b/>
          <w:color w:val="000000" w:themeColor="text1"/>
          <w:lang w:eastAsia="en-GB"/>
        </w:rPr>
        <w:t>Noise</w:t>
      </w:r>
    </w:p>
    <w:p w:rsidR="002644C5" w:rsidRPr="00027DF3" w:rsidRDefault="002644C5" w:rsidP="009F133B">
      <w:pPr>
        <w:pStyle w:val="BodyText"/>
        <w:numPr>
          <w:ilvl w:val="2"/>
          <w:numId w:val="42"/>
        </w:numPr>
        <w:spacing w:after="120" w:line="23" w:lineRule="atLeast"/>
        <w:ind w:left="284"/>
        <w:jc w:val="both"/>
        <w:rPr>
          <w:rStyle w:val="A5"/>
          <w:rFonts w:ascii="Foundry Form Sans" w:hAnsi="Foundry Form Sans"/>
          <w:color w:val="auto"/>
        </w:rPr>
      </w:pPr>
      <w:r w:rsidRPr="00027DF3">
        <w:rPr>
          <w:rStyle w:val="A5"/>
          <w:rFonts w:ascii="Foundry Form Sans" w:hAnsi="Foundry Form Sans"/>
          <w:color w:val="auto"/>
        </w:rPr>
        <w:t xml:space="preserve">The area is in close proximity to London City Airport. Noise resulting from aircraft movement will be a consideration for any proposed development. Although the flight path to the runway passes to the south of the </w:t>
      </w:r>
      <w:r w:rsidR="00514E0E">
        <w:rPr>
          <w:rStyle w:val="A5"/>
          <w:rFonts w:ascii="Foundry Form Sans" w:hAnsi="Foundry Form Sans"/>
          <w:color w:val="auto"/>
        </w:rPr>
        <w:t>Site,</w:t>
      </w:r>
      <w:r w:rsidRPr="00027DF3">
        <w:rPr>
          <w:rStyle w:val="A5"/>
          <w:rFonts w:ascii="Foundry Form Sans" w:hAnsi="Foundry Form Sans"/>
          <w:color w:val="auto"/>
        </w:rPr>
        <w:t xml:space="preserve"> the majority of take-offs from London City Airport are in a westerly direction (away from the area) which reduces the noise levels on site. </w:t>
      </w:r>
    </w:p>
    <w:p w:rsidR="00856BF4" w:rsidRPr="00856BF4" w:rsidRDefault="00856BF4" w:rsidP="009F133B">
      <w:pPr>
        <w:pStyle w:val="ListParagraph"/>
        <w:autoSpaceDE w:val="0"/>
        <w:autoSpaceDN w:val="0"/>
        <w:adjustRightInd w:val="0"/>
        <w:ind w:left="284"/>
        <w:jc w:val="both"/>
        <w:rPr>
          <w:rFonts w:ascii="Foundry Form Sans" w:hAnsi="Foundry Form Sans" w:cs="Arial"/>
          <w:b/>
          <w:sz w:val="22"/>
          <w:szCs w:val="22"/>
        </w:rPr>
      </w:pPr>
    </w:p>
    <w:p w:rsidR="005215A8" w:rsidRDefault="00856BF4" w:rsidP="009F133B">
      <w:pPr>
        <w:pStyle w:val="BodyText"/>
        <w:numPr>
          <w:ilvl w:val="1"/>
          <w:numId w:val="42"/>
        </w:numPr>
        <w:spacing w:after="120" w:line="23" w:lineRule="atLeast"/>
        <w:ind w:left="284"/>
        <w:jc w:val="both"/>
        <w:rPr>
          <w:rFonts w:ascii="Foundry Form Sans" w:hAnsi="Foundry Form Sans" w:cs="Arial"/>
        </w:rPr>
      </w:pPr>
      <w:r w:rsidRPr="00856BF4">
        <w:rPr>
          <w:rFonts w:ascii="Foundry Form Sans" w:hAnsi="Foundry Form Sans" w:cs="Arial"/>
          <w:b/>
        </w:rPr>
        <w:t>Riverside Safeguarding</w:t>
      </w:r>
      <w:r>
        <w:rPr>
          <w:rFonts w:ascii="Foundry Form Sans" w:hAnsi="Foundry Form Sans" w:cs="Arial"/>
          <w:b/>
        </w:rPr>
        <w:t xml:space="preserve"> Zone</w:t>
      </w:r>
    </w:p>
    <w:p w:rsidR="00437026" w:rsidRDefault="00437026" w:rsidP="009F133B">
      <w:pPr>
        <w:autoSpaceDE w:val="0"/>
        <w:autoSpaceDN w:val="0"/>
        <w:adjustRightInd w:val="0"/>
        <w:ind w:left="284"/>
        <w:jc w:val="both"/>
        <w:rPr>
          <w:rFonts w:ascii="Foundry Form Sans" w:hAnsi="Foundry Form Sans" w:cs="Arial"/>
          <w:sz w:val="22"/>
          <w:szCs w:val="22"/>
        </w:rPr>
      </w:pPr>
    </w:p>
    <w:p w:rsidR="00437026" w:rsidRDefault="00AA1411" w:rsidP="009F133B">
      <w:pPr>
        <w:pStyle w:val="BodyText"/>
        <w:numPr>
          <w:ilvl w:val="2"/>
          <w:numId w:val="42"/>
        </w:numPr>
        <w:spacing w:after="120" w:line="23" w:lineRule="atLeast"/>
        <w:ind w:left="284"/>
        <w:jc w:val="both"/>
        <w:rPr>
          <w:rFonts w:ascii="Foundry Form Sans" w:hAnsi="Foundry Form Sans" w:cs="Arial"/>
          <w:lang w:eastAsia="en-GB"/>
        </w:rPr>
      </w:pPr>
      <w:r>
        <w:rPr>
          <w:rFonts w:ascii="Foundry Form Sans" w:hAnsi="Foundry Form Sans" w:cs="Arial"/>
          <w:lang w:eastAsia="en-GB"/>
        </w:rPr>
        <w:t>T</w:t>
      </w:r>
      <w:r w:rsidR="00437026" w:rsidRPr="00146B8E">
        <w:rPr>
          <w:rFonts w:ascii="Foundry Form Sans" w:hAnsi="Foundry Form Sans" w:cs="Arial"/>
          <w:lang w:eastAsia="en-GB"/>
        </w:rPr>
        <w:t>here is a</w:t>
      </w:r>
      <w:r>
        <w:rPr>
          <w:rFonts w:ascii="Foundry Form Sans" w:hAnsi="Foundry Form Sans" w:cs="Arial"/>
          <w:lang w:eastAsia="en-GB"/>
        </w:rPr>
        <w:t xml:space="preserve"> </w:t>
      </w:r>
      <w:r w:rsidR="00437026" w:rsidRPr="00146B8E">
        <w:rPr>
          <w:rFonts w:ascii="Foundry Form Sans" w:hAnsi="Foundry Form Sans" w:cs="Arial"/>
          <w:lang w:eastAsia="en-GB"/>
        </w:rPr>
        <w:t>Riverside safeguarding zone along the eastern boundary</w:t>
      </w:r>
      <w:r w:rsidR="00F91D52">
        <w:rPr>
          <w:rFonts w:ascii="Foundry Form Sans" w:hAnsi="Foundry Form Sans" w:cs="Arial"/>
          <w:lang w:eastAsia="en-GB"/>
        </w:rPr>
        <w:t xml:space="preserve"> of Gallions 3</w:t>
      </w:r>
      <w:r w:rsidR="00F27BF8">
        <w:rPr>
          <w:rFonts w:ascii="Foundry Form Sans" w:hAnsi="Foundry Form Sans" w:cs="Arial"/>
          <w:lang w:eastAsia="en-GB"/>
        </w:rPr>
        <w:t>B</w:t>
      </w:r>
      <w:r w:rsidR="00437026" w:rsidRPr="00146B8E">
        <w:rPr>
          <w:rFonts w:ascii="Foundry Form Sans" w:hAnsi="Foundry Form Sans" w:cs="Arial"/>
          <w:lang w:eastAsia="en-GB"/>
        </w:rPr>
        <w:t>. This means that access to the river wall is</w:t>
      </w:r>
      <w:r>
        <w:rPr>
          <w:rFonts w:ascii="Foundry Form Sans" w:hAnsi="Foundry Form Sans" w:cs="Arial"/>
          <w:lang w:eastAsia="en-GB"/>
        </w:rPr>
        <w:t xml:space="preserve"> </w:t>
      </w:r>
      <w:r w:rsidR="00437026" w:rsidRPr="00146B8E">
        <w:rPr>
          <w:rFonts w:ascii="Foundry Form Sans" w:hAnsi="Foundry Form Sans" w:cs="Arial"/>
          <w:lang w:eastAsia="en-GB"/>
        </w:rPr>
        <w:t xml:space="preserve">required at all times for </w:t>
      </w:r>
      <w:r w:rsidR="0057669B">
        <w:rPr>
          <w:rFonts w:ascii="Foundry Form Sans" w:hAnsi="Foundry Form Sans" w:cs="Arial"/>
          <w:lang w:eastAsia="en-GB"/>
        </w:rPr>
        <w:t xml:space="preserve">large </w:t>
      </w:r>
      <w:r w:rsidR="00437026" w:rsidRPr="00146B8E">
        <w:rPr>
          <w:rFonts w:ascii="Foundry Form Sans" w:hAnsi="Foundry Form Sans" w:cs="Arial"/>
          <w:lang w:eastAsia="en-GB"/>
        </w:rPr>
        <w:t>maintenance vehicles by the Environment Agency (EA)</w:t>
      </w:r>
      <w:r w:rsidR="0057669B">
        <w:rPr>
          <w:rFonts w:ascii="Foundry Form Sans" w:hAnsi="Foundry Form Sans" w:cs="Arial"/>
          <w:lang w:eastAsia="en-GB"/>
        </w:rPr>
        <w:t xml:space="preserve"> (see capacity study)</w:t>
      </w:r>
      <w:r w:rsidR="00446F42">
        <w:rPr>
          <w:rFonts w:ascii="Foundry Form Sans" w:hAnsi="Foundry Form Sans" w:cs="Arial"/>
          <w:lang w:eastAsia="en-GB"/>
        </w:rPr>
        <w:t>.</w:t>
      </w:r>
    </w:p>
    <w:p w:rsidR="00D7603D" w:rsidRPr="00ED2F03" w:rsidRDefault="002644C5" w:rsidP="009F133B">
      <w:pPr>
        <w:pStyle w:val="BodyText"/>
        <w:numPr>
          <w:ilvl w:val="1"/>
          <w:numId w:val="42"/>
        </w:numPr>
        <w:spacing w:after="120" w:line="23" w:lineRule="atLeast"/>
        <w:ind w:left="284"/>
        <w:jc w:val="both"/>
        <w:rPr>
          <w:rFonts w:ascii="Foundry Form Sans" w:hAnsi="Foundry Form Sans" w:cs="Arial"/>
          <w:b/>
        </w:rPr>
      </w:pPr>
      <w:r w:rsidRPr="00ED2F03">
        <w:rPr>
          <w:rFonts w:ascii="Foundry Form Sans" w:hAnsi="Foundry Form Sans" w:cs="Arial"/>
          <w:b/>
        </w:rPr>
        <w:t>Floo</w:t>
      </w:r>
      <w:r w:rsidR="007647CF" w:rsidRPr="00ED2F03">
        <w:rPr>
          <w:rFonts w:ascii="Foundry Form Sans" w:hAnsi="Foundry Form Sans" w:cs="Arial"/>
          <w:b/>
        </w:rPr>
        <w:t>d</w:t>
      </w:r>
      <w:r w:rsidRPr="00ED2F03">
        <w:rPr>
          <w:rFonts w:ascii="Foundry Form Sans" w:hAnsi="Foundry Form Sans" w:cs="Arial"/>
          <w:b/>
        </w:rPr>
        <w:t xml:space="preserve"> Risk </w:t>
      </w:r>
    </w:p>
    <w:p w:rsidR="00D7603D" w:rsidRPr="00F27EDC" w:rsidRDefault="00D7603D" w:rsidP="009F133B">
      <w:pPr>
        <w:pStyle w:val="BodyText"/>
        <w:numPr>
          <w:ilvl w:val="2"/>
          <w:numId w:val="42"/>
        </w:numPr>
        <w:spacing w:after="120" w:line="23" w:lineRule="atLeast"/>
        <w:ind w:left="284"/>
        <w:jc w:val="both"/>
        <w:rPr>
          <w:rStyle w:val="A5"/>
          <w:rFonts w:ascii="Foundry Form Sans" w:hAnsi="Foundry Form Sans"/>
          <w:strike/>
          <w:color w:val="auto"/>
        </w:rPr>
      </w:pPr>
      <w:r w:rsidRPr="00F27EDC">
        <w:rPr>
          <w:rStyle w:val="A5"/>
          <w:rFonts w:ascii="Foundry Form Sans" w:hAnsi="Foundry Form Sans"/>
          <w:color w:val="auto"/>
        </w:rPr>
        <w:t xml:space="preserve">The </w:t>
      </w:r>
      <w:r w:rsidR="00514E0E">
        <w:rPr>
          <w:rStyle w:val="A5"/>
          <w:rFonts w:ascii="Foundry Form Sans" w:hAnsi="Foundry Form Sans"/>
          <w:color w:val="auto"/>
        </w:rPr>
        <w:t>Site</w:t>
      </w:r>
      <w:r w:rsidRPr="00F27EDC">
        <w:rPr>
          <w:rStyle w:val="A5"/>
          <w:rFonts w:ascii="Foundry Form Sans" w:hAnsi="Foundry Form Sans"/>
          <w:color w:val="auto"/>
        </w:rPr>
        <w:t xml:space="preserve"> sit</w:t>
      </w:r>
      <w:r w:rsidR="00F27BF8">
        <w:rPr>
          <w:rStyle w:val="A5"/>
          <w:rFonts w:ascii="Foundry Form Sans" w:hAnsi="Foundry Form Sans"/>
          <w:color w:val="auto"/>
        </w:rPr>
        <w:t>s</w:t>
      </w:r>
      <w:r w:rsidRPr="00F27EDC">
        <w:rPr>
          <w:rStyle w:val="A5"/>
          <w:rFonts w:ascii="Foundry Form Sans" w:hAnsi="Foundry Form Sans"/>
          <w:color w:val="auto"/>
        </w:rPr>
        <w:t xml:space="preserve"> within the Environment Agency’s ‘Flood Zone 3’, and the EA has confirmed that the </w:t>
      </w:r>
      <w:r w:rsidR="00514E0E">
        <w:rPr>
          <w:rStyle w:val="A5"/>
          <w:rFonts w:ascii="Foundry Form Sans" w:hAnsi="Foundry Form Sans"/>
          <w:color w:val="auto"/>
        </w:rPr>
        <w:t>Site</w:t>
      </w:r>
      <w:r w:rsidRPr="00F27EDC">
        <w:rPr>
          <w:rStyle w:val="A5"/>
          <w:rFonts w:ascii="Foundry Form Sans" w:hAnsi="Foundry Form Sans"/>
          <w:color w:val="auto"/>
        </w:rPr>
        <w:t xml:space="preserve"> </w:t>
      </w:r>
      <w:r w:rsidR="00F27BF8">
        <w:rPr>
          <w:rStyle w:val="A5"/>
          <w:rFonts w:ascii="Foundry Form Sans" w:hAnsi="Foundry Form Sans"/>
          <w:color w:val="auto"/>
        </w:rPr>
        <w:t xml:space="preserve">is </w:t>
      </w:r>
      <w:r w:rsidRPr="00F27EDC">
        <w:rPr>
          <w:rStyle w:val="A5"/>
          <w:rFonts w:ascii="Foundry Form Sans" w:hAnsi="Foundry Form Sans"/>
          <w:color w:val="auto"/>
        </w:rPr>
        <w:t xml:space="preserve">considered to be protected by the existing tidal flood defences along the line of the riverbank (see </w:t>
      </w:r>
      <w:r w:rsidRPr="00F27EDC">
        <w:rPr>
          <w:rStyle w:val="A5"/>
          <w:rFonts w:ascii="Foundry Form Sans" w:hAnsi="Foundry Form Sans"/>
          <w:color w:val="auto"/>
        </w:rPr>
        <w:lastRenderedPageBreak/>
        <w:t xml:space="preserve">plan on pg 51 of Annex </w:t>
      </w:r>
      <w:r w:rsidR="00114894">
        <w:rPr>
          <w:rStyle w:val="A5"/>
          <w:rFonts w:ascii="Foundry Form Sans" w:hAnsi="Foundry Form Sans"/>
          <w:color w:val="auto"/>
        </w:rPr>
        <w:t>B</w:t>
      </w:r>
      <w:r w:rsidR="002126D9">
        <w:rPr>
          <w:rStyle w:val="A5"/>
          <w:rFonts w:ascii="Foundry Form Sans" w:hAnsi="Foundry Form Sans"/>
          <w:color w:val="auto"/>
        </w:rPr>
        <w:t>3</w:t>
      </w:r>
      <w:r w:rsidRPr="00F27EDC">
        <w:rPr>
          <w:rStyle w:val="A5"/>
          <w:rFonts w:ascii="Foundry Form Sans" w:hAnsi="Foundry Form Sans"/>
          <w:color w:val="auto"/>
        </w:rPr>
        <w:t xml:space="preserve">). Furthermore the EA has in place the Thames Estuary 2100 plan to maintain flood protection through the rest of this century.  As with any defended site, there remains a small risk of overtopping or breach in the tidal defences and the Flood Risk Assessments which will be required for </w:t>
      </w:r>
      <w:r w:rsidR="00F27BF8">
        <w:rPr>
          <w:rStyle w:val="A5"/>
          <w:rFonts w:ascii="Foundry Form Sans" w:hAnsi="Foundry Form Sans"/>
          <w:color w:val="auto"/>
        </w:rPr>
        <w:t>the</w:t>
      </w:r>
      <w:r w:rsidR="00F27BF8" w:rsidRPr="00F27EDC">
        <w:rPr>
          <w:rStyle w:val="A5"/>
          <w:rFonts w:ascii="Foundry Form Sans" w:hAnsi="Foundry Form Sans"/>
          <w:color w:val="auto"/>
        </w:rPr>
        <w:t xml:space="preserve"> </w:t>
      </w:r>
      <w:r w:rsidR="00514E0E">
        <w:rPr>
          <w:rStyle w:val="A5"/>
          <w:rFonts w:ascii="Foundry Form Sans" w:hAnsi="Foundry Form Sans"/>
          <w:color w:val="auto"/>
        </w:rPr>
        <w:t>Site</w:t>
      </w:r>
      <w:r w:rsidRPr="00F27EDC">
        <w:rPr>
          <w:rStyle w:val="A5"/>
          <w:rFonts w:ascii="Foundry Form Sans" w:hAnsi="Foundry Form Sans"/>
          <w:color w:val="auto"/>
        </w:rPr>
        <w:t xml:space="preserve"> should assess the risk of a breach/overtopping and include any measures needed to mitigate the impacts of such an event.  This requirement is common practice for development sites within the defended Thames </w:t>
      </w:r>
      <w:r w:rsidR="00F56F19">
        <w:rPr>
          <w:rStyle w:val="A5"/>
          <w:rFonts w:ascii="Foundry Form Sans" w:hAnsi="Foundry Form Sans"/>
          <w:color w:val="auto"/>
        </w:rPr>
        <w:t>t</w:t>
      </w:r>
      <w:r w:rsidRPr="00F27EDC">
        <w:rPr>
          <w:rStyle w:val="A5"/>
          <w:rFonts w:ascii="Foundry Form Sans" w:hAnsi="Foundry Form Sans"/>
          <w:color w:val="auto"/>
        </w:rPr>
        <w:t xml:space="preserve">idal </w:t>
      </w:r>
      <w:r w:rsidR="00F56F19">
        <w:rPr>
          <w:rStyle w:val="A5"/>
          <w:rFonts w:ascii="Foundry Form Sans" w:hAnsi="Foundry Form Sans"/>
          <w:color w:val="auto"/>
        </w:rPr>
        <w:t>f</w:t>
      </w:r>
      <w:r w:rsidRPr="00F27EDC">
        <w:rPr>
          <w:rStyle w:val="A5"/>
          <w:rFonts w:ascii="Foundry Form Sans" w:hAnsi="Foundry Form Sans"/>
          <w:color w:val="auto"/>
        </w:rPr>
        <w:t>loodplain</w:t>
      </w:r>
      <w:r w:rsidR="00F56F19">
        <w:rPr>
          <w:rStyle w:val="A5"/>
          <w:rFonts w:ascii="Foundry Form Sans" w:hAnsi="Foundry Form Sans"/>
          <w:color w:val="auto"/>
        </w:rPr>
        <w:t>.</w:t>
      </w:r>
      <w:r w:rsidRPr="00F27EDC">
        <w:rPr>
          <w:rStyle w:val="A5"/>
          <w:rFonts w:ascii="Foundry Form Sans" w:hAnsi="Foundry Form Sans"/>
          <w:strike/>
          <w:color w:val="auto"/>
        </w:rPr>
        <w:t xml:space="preserve"> </w:t>
      </w:r>
    </w:p>
    <w:p w:rsidR="00D7603D" w:rsidRPr="00F27EDC" w:rsidRDefault="00D7603D" w:rsidP="009F133B">
      <w:pPr>
        <w:pStyle w:val="ListParagraph"/>
        <w:ind w:left="284"/>
        <w:jc w:val="both"/>
        <w:rPr>
          <w:sz w:val="22"/>
          <w:szCs w:val="22"/>
          <w:lang w:eastAsia="en-GB"/>
        </w:rPr>
      </w:pPr>
    </w:p>
    <w:p w:rsidR="00D7603D" w:rsidRPr="00F27EDC" w:rsidRDefault="00D7603D" w:rsidP="009F133B">
      <w:pPr>
        <w:pStyle w:val="BodyText"/>
        <w:numPr>
          <w:ilvl w:val="2"/>
          <w:numId w:val="42"/>
        </w:numPr>
        <w:spacing w:after="120" w:line="23" w:lineRule="atLeast"/>
        <w:ind w:left="284"/>
        <w:jc w:val="both"/>
        <w:rPr>
          <w:rStyle w:val="A5"/>
          <w:rFonts w:ascii="Foundry Form Sans" w:hAnsi="Foundry Form Sans"/>
          <w:color w:val="auto"/>
          <w:lang w:eastAsia="en-GB"/>
        </w:rPr>
      </w:pPr>
      <w:r w:rsidRPr="00F27EDC">
        <w:rPr>
          <w:rStyle w:val="A5"/>
          <w:rFonts w:ascii="Foundry Form Sans" w:hAnsi="Foundry Form Sans"/>
          <w:color w:val="auto"/>
        </w:rPr>
        <w:t xml:space="preserve">Although the flood risk is considered to be well managed, any proposed development within the Royal Albert Basin area should be designed to ensure the minimum impact to the </w:t>
      </w:r>
      <w:r w:rsidR="00514E0E">
        <w:rPr>
          <w:rStyle w:val="A5"/>
          <w:rFonts w:ascii="Foundry Form Sans" w:hAnsi="Foundry Form Sans"/>
          <w:color w:val="auto"/>
        </w:rPr>
        <w:t>Site</w:t>
      </w:r>
      <w:r w:rsidRPr="00F27EDC">
        <w:rPr>
          <w:rStyle w:val="A5"/>
          <w:rFonts w:ascii="Foundry Form Sans" w:hAnsi="Foundry Form Sans"/>
          <w:color w:val="auto"/>
        </w:rPr>
        <w:t xml:space="preserve"> during any event including the residual breach of defences. All development is therefore to be set at a minimum level of 4.05m AOD, with all habitable areas at a minimum of 7.37 AOD (to ensure all sleeping areas etc. are 300mm above the 1 in 200 year plus climate change event). Flood resilient construction techniques should be considered for the ground floor and any basement areas will require careful design to ensure their safety and ease of recovery after any flood event, again these are common practice requirements for sites within the defended Thames tidal floodplain.</w:t>
      </w:r>
    </w:p>
    <w:p w:rsidR="00F91D52" w:rsidRPr="00027DF3" w:rsidRDefault="00F91D52" w:rsidP="009F133B">
      <w:pPr>
        <w:pStyle w:val="BodyText"/>
        <w:numPr>
          <w:ilvl w:val="1"/>
          <w:numId w:val="42"/>
        </w:numPr>
        <w:spacing w:after="120" w:line="23" w:lineRule="atLeast"/>
        <w:ind w:left="284"/>
        <w:jc w:val="both"/>
        <w:rPr>
          <w:rFonts w:ascii="Foundry Form Sans" w:hAnsi="Foundry Form Sans" w:cs="Arial"/>
          <w:b/>
        </w:rPr>
      </w:pPr>
      <w:r w:rsidRPr="00027DF3">
        <w:rPr>
          <w:rFonts w:ascii="Foundry Form Sans" w:hAnsi="Foundry Form Sans" w:cs="Arial"/>
          <w:b/>
        </w:rPr>
        <w:t>Radar Mast</w:t>
      </w:r>
    </w:p>
    <w:p w:rsidR="00F91D52" w:rsidRPr="00027DF3" w:rsidRDefault="00F91D52" w:rsidP="009F133B">
      <w:pPr>
        <w:pStyle w:val="BodyText"/>
        <w:numPr>
          <w:ilvl w:val="2"/>
          <w:numId w:val="42"/>
        </w:numPr>
        <w:spacing w:after="120" w:line="23" w:lineRule="atLeast"/>
        <w:ind w:left="284"/>
        <w:jc w:val="both"/>
        <w:rPr>
          <w:rStyle w:val="A5"/>
          <w:rFonts w:ascii="Foundry Form Sans" w:hAnsi="Foundry Form Sans"/>
          <w:color w:val="000000" w:themeColor="text1"/>
        </w:rPr>
      </w:pPr>
      <w:r w:rsidRPr="009B440D">
        <w:rPr>
          <w:rStyle w:val="A5"/>
          <w:rFonts w:ascii="Foundry Form Sans" w:hAnsi="Foundry Form Sans"/>
          <w:color w:val="000000" w:themeColor="text1"/>
        </w:rPr>
        <w:t xml:space="preserve">An existing radar mast is located </w:t>
      </w:r>
      <w:r w:rsidR="00D4064D" w:rsidRPr="002A6358">
        <w:rPr>
          <w:rStyle w:val="A5"/>
          <w:rFonts w:ascii="Foundry Form Sans" w:hAnsi="Foundry Form Sans"/>
          <w:color w:val="000000" w:themeColor="text1"/>
        </w:rPr>
        <w:t xml:space="preserve">at the north-eastern corner of the </w:t>
      </w:r>
      <w:r w:rsidR="00514E0E">
        <w:rPr>
          <w:rStyle w:val="A5"/>
          <w:rFonts w:ascii="Foundry Form Sans" w:hAnsi="Foundry Form Sans"/>
          <w:color w:val="000000" w:themeColor="text1"/>
        </w:rPr>
        <w:t>Site</w:t>
      </w:r>
      <w:r w:rsidR="00E8476B">
        <w:rPr>
          <w:rFonts w:cs="Arial"/>
        </w:rPr>
        <w:t xml:space="preserve">, </w:t>
      </w:r>
      <w:r w:rsidR="00E8476B" w:rsidRPr="005C01D5">
        <w:rPr>
          <w:rStyle w:val="A5"/>
          <w:rFonts w:ascii="Foundry Form Sans" w:hAnsi="Foundry Form Sans"/>
          <w:color w:val="000000" w:themeColor="text1"/>
        </w:rPr>
        <w:t>on the Armada Green portion,</w:t>
      </w:r>
      <w:r w:rsidR="00E8476B">
        <w:rPr>
          <w:rFonts w:cs="Arial"/>
        </w:rPr>
        <w:t xml:space="preserve"> </w:t>
      </w:r>
      <w:r w:rsidRPr="009B440D">
        <w:rPr>
          <w:rStyle w:val="A5"/>
          <w:rFonts w:ascii="Foundry Form Sans" w:hAnsi="Foundry Form Sans"/>
          <w:color w:val="000000" w:themeColor="text1"/>
        </w:rPr>
        <w:t>along the Thames river edge. This facility, a Port of London Au</w:t>
      </w:r>
      <w:r w:rsidR="007647CF">
        <w:rPr>
          <w:rStyle w:val="A5"/>
          <w:rFonts w:ascii="Foundry Form Sans" w:hAnsi="Foundry Form Sans"/>
          <w:color w:val="000000" w:themeColor="text1"/>
        </w:rPr>
        <w:t>thority (PLA) asset, provides a</w:t>
      </w:r>
      <w:r w:rsidRPr="009B440D">
        <w:rPr>
          <w:rStyle w:val="A5"/>
          <w:rFonts w:ascii="Foundry Form Sans" w:hAnsi="Foundry Form Sans"/>
          <w:color w:val="000000" w:themeColor="text1"/>
        </w:rPr>
        <w:t xml:space="preserve"> link for data back to the PLA Thames Barrier Navigation Centre which coordinates the navigation of vessels through the Thames Barrier. </w:t>
      </w:r>
      <w:r w:rsidR="00952192">
        <w:rPr>
          <w:rStyle w:val="A5"/>
          <w:rFonts w:ascii="Foundry Form Sans" w:hAnsi="Foundry Form Sans"/>
          <w:color w:val="000000" w:themeColor="text1"/>
        </w:rPr>
        <w:t xml:space="preserve">The </w:t>
      </w:r>
      <w:r w:rsidR="00C119FC">
        <w:rPr>
          <w:rStyle w:val="A5"/>
          <w:rFonts w:ascii="Foundry Form Sans" w:hAnsi="Foundry Form Sans"/>
          <w:color w:val="000000" w:themeColor="text1"/>
        </w:rPr>
        <w:t xml:space="preserve">title information </w:t>
      </w:r>
      <w:r w:rsidR="00952192">
        <w:rPr>
          <w:rStyle w:val="A5"/>
          <w:rFonts w:ascii="Foundry Form Sans" w:hAnsi="Foundry Form Sans"/>
          <w:color w:val="000000" w:themeColor="text1"/>
        </w:rPr>
        <w:t xml:space="preserve">at </w:t>
      </w:r>
      <w:r w:rsidR="00C43F1B">
        <w:rPr>
          <w:rStyle w:val="A5"/>
          <w:rFonts w:ascii="Foundry Form Sans" w:hAnsi="Foundry Form Sans"/>
          <w:color w:val="000000" w:themeColor="text1"/>
        </w:rPr>
        <w:t>Annex</w:t>
      </w:r>
      <w:r w:rsidR="00114894">
        <w:rPr>
          <w:rStyle w:val="A5"/>
          <w:rFonts w:ascii="Foundry Form Sans" w:hAnsi="Foundry Form Sans"/>
          <w:color w:val="000000" w:themeColor="text1"/>
        </w:rPr>
        <w:t xml:space="preserve"> B</w:t>
      </w:r>
      <w:r w:rsidR="00952192">
        <w:rPr>
          <w:rStyle w:val="A5"/>
          <w:rFonts w:ascii="Foundry Form Sans" w:hAnsi="Foundry Form Sans"/>
          <w:color w:val="000000" w:themeColor="text1"/>
        </w:rPr>
        <w:t xml:space="preserve">2 does not identify any formal rights to the PLA, however, the PLA require </w:t>
      </w:r>
      <w:r w:rsidR="00E1777C">
        <w:rPr>
          <w:rStyle w:val="A5"/>
          <w:rFonts w:ascii="Foundry Form Sans" w:hAnsi="Foundry Form Sans"/>
          <w:color w:val="000000" w:themeColor="text1"/>
        </w:rPr>
        <w:t xml:space="preserve">access the </w:t>
      </w:r>
      <w:r w:rsidR="00514E0E">
        <w:rPr>
          <w:rStyle w:val="A5"/>
          <w:rFonts w:ascii="Foundry Form Sans" w:hAnsi="Foundry Form Sans"/>
          <w:color w:val="000000" w:themeColor="text1"/>
        </w:rPr>
        <w:t>Site</w:t>
      </w:r>
      <w:r w:rsidR="00E1777C">
        <w:rPr>
          <w:rStyle w:val="A5"/>
          <w:rFonts w:ascii="Foundry Form Sans" w:hAnsi="Foundry Form Sans"/>
          <w:color w:val="000000" w:themeColor="text1"/>
        </w:rPr>
        <w:t xml:space="preserve"> on a regular basis for maintenance purposes</w:t>
      </w:r>
      <w:r w:rsidR="00F34088">
        <w:rPr>
          <w:rStyle w:val="A5"/>
          <w:rFonts w:ascii="Foundry Form Sans" w:hAnsi="Foundry Form Sans"/>
          <w:color w:val="000000" w:themeColor="text1"/>
        </w:rPr>
        <w:t xml:space="preserve"> and</w:t>
      </w:r>
      <w:r w:rsidR="00E1777C">
        <w:rPr>
          <w:rStyle w:val="A5"/>
          <w:rFonts w:ascii="Foundry Form Sans" w:hAnsi="Foundry Form Sans"/>
          <w:color w:val="000000" w:themeColor="text1"/>
        </w:rPr>
        <w:t xml:space="preserve"> this access would need to be maintained as part of the permanent development.</w:t>
      </w:r>
    </w:p>
    <w:p w:rsidR="00F91D52" w:rsidRPr="00027DF3" w:rsidRDefault="00F91D52" w:rsidP="009F133B">
      <w:pPr>
        <w:pStyle w:val="BodyText"/>
        <w:numPr>
          <w:ilvl w:val="2"/>
          <w:numId w:val="42"/>
        </w:numPr>
        <w:spacing w:after="120" w:line="23" w:lineRule="atLeast"/>
        <w:ind w:left="284"/>
        <w:jc w:val="both"/>
        <w:rPr>
          <w:rFonts w:ascii="Foundry Form Sans" w:hAnsi="Foundry Form Sans" w:cs="Arial"/>
          <w:color w:val="000000" w:themeColor="text1"/>
          <w:u w:val="single"/>
        </w:rPr>
      </w:pPr>
      <w:r w:rsidRPr="00027DF3">
        <w:rPr>
          <w:rStyle w:val="A5"/>
          <w:rFonts w:ascii="Foundry Form Sans" w:hAnsi="Foundry Form Sans"/>
          <w:color w:val="000000" w:themeColor="text1"/>
        </w:rPr>
        <w:t>Information received from the PLA has confirmed that th</w:t>
      </w:r>
      <w:r w:rsidR="00E82042">
        <w:rPr>
          <w:rStyle w:val="A5"/>
          <w:rFonts w:ascii="Foundry Form Sans" w:hAnsi="Foundry Form Sans"/>
          <w:color w:val="000000" w:themeColor="text1"/>
        </w:rPr>
        <w:t>e</w:t>
      </w:r>
      <w:r w:rsidRPr="00027DF3">
        <w:rPr>
          <w:rStyle w:val="A5"/>
          <w:rFonts w:ascii="Foundry Form Sans" w:hAnsi="Foundry Form Sans"/>
          <w:color w:val="000000" w:themeColor="text1"/>
        </w:rPr>
        <w:t xml:space="preserve"> link has been raised to a height of 60m, following planning approval of the Great Eastern Quays </w:t>
      </w:r>
      <w:r w:rsidR="00D4064D">
        <w:rPr>
          <w:rStyle w:val="A5"/>
          <w:rFonts w:ascii="Foundry Form Sans" w:hAnsi="Foundry Form Sans"/>
          <w:color w:val="000000" w:themeColor="text1"/>
        </w:rPr>
        <w:t>development</w:t>
      </w:r>
      <w:r w:rsidRPr="00027DF3">
        <w:rPr>
          <w:rStyle w:val="A5"/>
          <w:rFonts w:ascii="Foundry Form Sans" w:hAnsi="Foundry Form Sans"/>
          <w:color w:val="000000" w:themeColor="text1"/>
        </w:rPr>
        <w:t>. An 8m buffer zone is required around th</w:t>
      </w:r>
      <w:r w:rsidR="00AE4A35">
        <w:rPr>
          <w:rStyle w:val="A5"/>
          <w:rFonts w:ascii="Foundry Form Sans" w:hAnsi="Foundry Form Sans"/>
          <w:color w:val="000000" w:themeColor="text1"/>
        </w:rPr>
        <w:t>e radar mast site</w:t>
      </w:r>
      <w:r w:rsidRPr="00027DF3">
        <w:rPr>
          <w:rStyle w:val="A5"/>
          <w:rFonts w:ascii="Foundry Form Sans" w:hAnsi="Foundry Form Sans"/>
          <w:color w:val="000000" w:themeColor="text1"/>
        </w:rPr>
        <w:t>. The radar mast should therefore not impose any additional height restrictions on development at Gallions 3B</w:t>
      </w:r>
      <w:r w:rsidR="00CB4422">
        <w:rPr>
          <w:rStyle w:val="A5"/>
          <w:rFonts w:ascii="Foundry Form Sans" w:hAnsi="Foundry Form Sans"/>
          <w:color w:val="000000" w:themeColor="text1"/>
        </w:rPr>
        <w:t xml:space="preserve"> beyond those imposed on the adjoining developments</w:t>
      </w:r>
      <w:r w:rsidRPr="00027DF3">
        <w:rPr>
          <w:rStyle w:val="A5"/>
          <w:rFonts w:ascii="Foundry Form Sans" w:hAnsi="Foundry Form Sans"/>
          <w:color w:val="000000" w:themeColor="text1"/>
        </w:rPr>
        <w:t>.</w:t>
      </w:r>
    </w:p>
    <w:p w:rsidR="00C30A28" w:rsidRPr="00027DF3" w:rsidRDefault="00C30A28" w:rsidP="009F133B">
      <w:pPr>
        <w:pStyle w:val="BodyText"/>
        <w:numPr>
          <w:ilvl w:val="1"/>
          <w:numId w:val="42"/>
        </w:numPr>
        <w:spacing w:after="120" w:line="23" w:lineRule="atLeast"/>
        <w:ind w:left="284"/>
        <w:jc w:val="both"/>
        <w:rPr>
          <w:rFonts w:ascii="Foundry Form Sans" w:hAnsi="Foundry Form Sans" w:cs="Adobe Garamond Pro Bold"/>
          <w:b/>
          <w:bCs/>
          <w:lang w:eastAsia="en-GB"/>
        </w:rPr>
      </w:pPr>
      <w:r w:rsidRPr="00027DF3">
        <w:rPr>
          <w:rFonts w:ascii="Foundry Form Sans" w:hAnsi="Foundry Form Sans" w:cs="Adobe Garamond Pro Bold"/>
          <w:b/>
          <w:bCs/>
          <w:lang w:eastAsia="en-GB"/>
        </w:rPr>
        <w:t xml:space="preserve">Transformer Chamber </w:t>
      </w:r>
    </w:p>
    <w:p w:rsidR="00126949" w:rsidRPr="003B4569" w:rsidRDefault="00C30A28" w:rsidP="009F133B">
      <w:pPr>
        <w:pStyle w:val="BodyText"/>
        <w:numPr>
          <w:ilvl w:val="2"/>
          <w:numId w:val="42"/>
        </w:numPr>
        <w:spacing w:after="120" w:line="23" w:lineRule="atLeast"/>
        <w:ind w:left="284"/>
        <w:jc w:val="both"/>
        <w:rPr>
          <w:rFonts w:ascii="Foundry Form Sans" w:hAnsi="Foundry Form Sans" w:cs="Arial"/>
        </w:rPr>
      </w:pPr>
      <w:r w:rsidRPr="00027DF3">
        <w:rPr>
          <w:rFonts w:ascii="Foundry Form Sans" w:hAnsi="Foundry Form Sans" w:cs="Adobe Garamond Pro"/>
          <w:lang w:eastAsia="en-GB"/>
        </w:rPr>
        <w:t xml:space="preserve">An existing transformer chamber, under a 99 year lease, assumed to be to UK Power Networks, sits within </w:t>
      </w:r>
      <w:r w:rsidR="00AE4A35">
        <w:rPr>
          <w:rFonts w:ascii="Foundry Form Sans" w:hAnsi="Foundry Form Sans" w:cs="Adobe Garamond Pro"/>
          <w:lang w:eastAsia="en-GB"/>
        </w:rPr>
        <w:t xml:space="preserve">part of </w:t>
      </w:r>
      <w:r w:rsidRPr="00027DF3">
        <w:rPr>
          <w:rFonts w:ascii="Foundry Form Sans" w:hAnsi="Foundry Form Sans" w:cs="Adobe Garamond Pro"/>
          <w:lang w:eastAsia="en-GB"/>
        </w:rPr>
        <w:t xml:space="preserve">the </w:t>
      </w:r>
      <w:r w:rsidR="00514E0E">
        <w:rPr>
          <w:rFonts w:ascii="Foundry Form Sans" w:hAnsi="Foundry Form Sans" w:cs="Adobe Garamond Pro"/>
          <w:lang w:eastAsia="en-GB"/>
        </w:rPr>
        <w:t>Site</w:t>
      </w:r>
      <w:r w:rsidRPr="00027DF3">
        <w:rPr>
          <w:rFonts w:ascii="Foundry Form Sans" w:hAnsi="Foundry Form Sans" w:cs="Adobe Garamond Pro"/>
          <w:lang w:eastAsia="en-GB"/>
        </w:rPr>
        <w:t xml:space="preserve">. </w:t>
      </w:r>
      <w:r>
        <w:rPr>
          <w:rFonts w:ascii="Foundry Form Sans" w:hAnsi="Foundry Form Sans" w:cs="Adobe Garamond Pro"/>
          <w:lang w:eastAsia="en-GB"/>
        </w:rPr>
        <w:t xml:space="preserve"> </w:t>
      </w:r>
      <w:r w:rsidRPr="00027DF3">
        <w:rPr>
          <w:rFonts w:ascii="Foundry Form Sans" w:hAnsi="Foundry Form Sans" w:cs="Adobe Garamond Pro"/>
          <w:lang w:eastAsia="en-GB"/>
        </w:rPr>
        <w:t xml:space="preserve">It is assumed that additional underground incoming services may exist in relation to the transformer chamber though only a single electricity cable is indicated on current drawings. Information from EDF indicates vehicle, personnel and cable access as being from the north of the transformer chamber, across the north of the </w:t>
      </w:r>
      <w:r w:rsidR="00514E0E">
        <w:rPr>
          <w:rFonts w:ascii="Foundry Form Sans" w:hAnsi="Foundry Form Sans" w:cs="Adobe Garamond Pro"/>
          <w:lang w:eastAsia="en-GB"/>
        </w:rPr>
        <w:t>Site</w:t>
      </w:r>
      <w:r w:rsidRPr="00027DF3">
        <w:rPr>
          <w:rFonts w:ascii="Foundry Form Sans" w:hAnsi="Foundry Form Sans" w:cs="Adobe Garamond Pro"/>
          <w:lang w:eastAsia="en-GB"/>
        </w:rPr>
        <w:t>. Ventilation to the rear of the facility, in the direction of the radar mast, is also noted as required.</w:t>
      </w:r>
    </w:p>
    <w:p w:rsidR="00CB5552" w:rsidRDefault="00CB5552" w:rsidP="009F133B">
      <w:pPr>
        <w:pStyle w:val="Heading1"/>
        <w:numPr>
          <w:ilvl w:val="0"/>
          <w:numId w:val="44"/>
        </w:numPr>
        <w:pBdr>
          <w:bottom w:val="single" w:sz="4" w:space="1" w:color="auto"/>
        </w:pBdr>
        <w:ind w:left="284"/>
        <w:jc w:val="both"/>
        <w:rPr>
          <w:sz w:val="28"/>
          <w:szCs w:val="28"/>
        </w:rPr>
        <w:sectPr w:rsidR="00CB5552" w:rsidSect="00C2342C">
          <w:headerReference w:type="default" r:id="rId15"/>
          <w:footerReference w:type="even" r:id="rId16"/>
          <w:footerReference w:type="default" r:id="rId17"/>
          <w:footerReference w:type="first" r:id="rId18"/>
          <w:pgSz w:w="11907" w:h="16839" w:code="9"/>
          <w:pgMar w:top="1797" w:right="1440" w:bottom="1797" w:left="1440" w:header="709" w:footer="709" w:gutter="0"/>
          <w:paperSrc w:first="264" w:other="264"/>
          <w:pgNumType w:start="1"/>
          <w:cols w:space="708"/>
          <w:docGrid w:linePitch="360"/>
        </w:sectPr>
      </w:pPr>
    </w:p>
    <w:p w:rsidR="00242FB4" w:rsidRPr="00027DF3" w:rsidRDefault="00126949" w:rsidP="009F133B">
      <w:pPr>
        <w:pStyle w:val="Heading1"/>
        <w:numPr>
          <w:ilvl w:val="0"/>
          <w:numId w:val="42"/>
        </w:numPr>
        <w:pBdr>
          <w:bottom w:val="single" w:sz="4" w:space="1" w:color="auto"/>
        </w:pBdr>
        <w:ind w:left="284"/>
        <w:jc w:val="both"/>
        <w:rPr>
          <w:sz w:val="28"/>
          <w:szCs w:val="28"/>
        </w:rPr>
      </w:pPr>
      <w:bookmarkStart w:id="11" w:name="_Toc441674208"/>
      <w:r w:rsidRPr="00027DF3">
        <w:rPr>
          <w:sz w:val="28"/>
          <w:szCs w:val="28"/>
        </w:rPr>
        <w:lastRenderedPageBreak/>
        <w:t xml:space="preserve">Structure of the Transaction and </w:t>
      </w:r>
      <w:r w:rsidR="00242FB4" w:rsidRPr="00027DF3">
        <w:rPr>
          <w:sz w:val="28"/>
          <w:szCs w:val="28"/>
        </w:rPr>
        <w:t>Governance</w:t>
      </w:r>
      <w:bookmarkEnd w:id="11"/>
    </w:p>
    <w:p w:rsidR="00503B0A" w:rsidRDefault="00503B0A" w:rsidP="009F133B">
      <w:pPr>
        <w:pStyle w:val="BodyText"/>
        <w:spacing w:after="120" w:line="23" w:lineRule="atLeast"/>
        <w:ind w:left="284"/>
        <w:jc w:val="both"/>
        <w:rPr>
          <w:rFonts w:ascii="Foundry Form Sans" w:hAnsi="Foundry Form Sans" w:cs="Arial"/>
        </w:rPr>
      </w:pPr>
    </w:p>
    <w:p w:rsidR="00242FB4" w:rsidRPr="00305CB6" w:rsidRDefault="00242FB4" w:rsidP="009F133B">
      <w:pPr>
        <w:pStyle w:val="BodyText"/>
        <w:numPr>
          <w:ilvl w:val="2"/>
          <w:numId w:val="42"/>
        </w:numPr>
        <w:spacing w:after="120" w:line="23" w:lineRule="atLeast"/>
        <w:ind w:left="284"/>
        <w:jc w:val="both"/>
        <w:rPr>
          <w:rFonts w:ascii="Foundry Form Sans" w:hAnsi="Foundry Form Sans" w:cs="Arial"/>
        </w:rPr>
      </w:pPr>
      <w:r w:rsidRPr="00305CB6">
        <w:rPr>
          <w:rFonts w:ascii="Foundry Form Sans" w:hAnsi="Foundry Form Sans" w:cs="Arial"/>
        </w:rPr>
        <w:t xml:space="preserve">Given </w:t>
      </w:r>
      <w:r w:rsidR="00A52D72">
        <w:rPr>
          <w:rFonts w:ascii="Foundry Form Sans" w:hAnsi="Foundry Form Sans" w:cs="Arial"/>
        </w:rPr>
        <w:t xml:space="preserve">the importance of </w:t>
      </w:r>
      <w:r w:rsidR="000F7F72">
        <w:rPr>
          <w:rFonts w:ascii="Foundry Form Sans" w:hAnsi="Foundry Form Sans" w:cs="Arial"/>
        </w:rPr>
        <w:t xml:space="preserve">the </w:t>
      </w:r>
      <w:r w:rsidRPr="00305CB6">
        <w:rPr>
          <w:rFonts w:ascii="Foundry Form Sans" w:hAnsi="Foundry Form Sans" w:cs="Arial"/>
        </w:rPr>
        <w:t>development opportunity</w:t>
      </w:r>
      <w:r w:rsidR="009B721F">
        <w:rPr>
          <w:rFonts w:ascii="Foundry Form Sans" w:hAnsi="Foundry Form Sans" w:cs="Arial"/>
        </w:rPr>
        <w:t xml:space="preserve"> in </w:t>
      </w:r>
      <w:r w:rsidR="00C25AEE">
        <w:rPr>
          <w:rFonts w:ascii="Foundry Form Sans" w:hAnsi="Foundry Form Sans" w:cs="Arial"/>
        </w:rPr>
        <w:t>cre</w:t>
      </w:r>
      <w:r w:rsidR="0096693F">
        <w:rPr>
          <w:rFonts w:ascii="Foundry Form Sans" w:hAnsi="Foundry Form Sans" w:cs="Arial"/>
        </w:rPr>
        <w:t>ating a cohesive sense of place</w:t>
      </w:r>
      <w:r w:rsidR="00856FDD">
        <w:rPr>
          <w:rFonts w:ascii="Foundry Form Sans" w:hAnsi="Foundry Form Sans" w:cs="Arial"/>
        </w:rPr>
        <w:t xml:space="preserve">, </w:t>
      </w:r>
      <w:r w:rsidRPr="00305CB6">
        <w:rPr>
          <w:rFonts w:ascii="Foundry Form Sans" w:hAnsi="Foundry Form Sans" w:cs="Arial"/>
        </w:rPr>
        <w:t xml:space="preserve">the Mayor of London </w:t>
      </w:r>
      <w:r w:rsidR="0083535E">
        <w:rPr>
          <w:rFonts w:ascii="Foundry Form Sans" w:hAnsi="Foundry Form Sans" w:cs="Arial"/>
        </w:rPr>
        <w:t xml:space="preserve">is </w:t>
      </w:r>
      <w:r w:rsidRPr="00305CB6">
        <w:rPr>
          <w:rFonts w:ascii="Foundry Form Sans" w:hAnsi="Foundry Form Sans" w:cs="Arial"/>
        </w:rPr>
        <w:t>keen to identify a de</w:t>
      </w:r>
      <w:r w:rsidR="002D3198">
        <w:rPr>
          <w:rFonts w:ascii="Foundry Form Sans" w:hAnsi="Foundry Form Sans" w:cs="Arial"/>
        </w:rPr>
        <w:t>livery</w:t>
      </w:r>
      <w:r w:rsidRPr="00305CB6">
        <w:rPr>
          <w:rFonts w:ascii="Foundry Form Sans" w:hAnsi="Foundry Form Sans" w:cs="Arial"/>
        </w:rPr>
        <w:t xml:space="preserve"> partner the</w:t>
      </w:r>
      <w:r w:rsidR="00C119FC">
        <w:rPr>
          <w:rFonts w:ascii="Foundry Form Sans" w:hAnsi="Foundry Form Sans" w:cs="Arial"/>
        </w:rPr>
        <w:t xml:space="preserve"> GLA</w:t>
      </w:r>
      <w:r w:rsidRPr="00305CB6">
        <w:rPr>
          <w:rFonts w:ascii="Foundry Form Sans" w:hAnsi="Foundry Form Sans" w:cs="Arial"/>
        </w:rPr>
        <w:t xml:space="preserve"> can work closely with to refine and deliver a scheme that meets the </w:t>
      </w:r>
      <w:r w:rsidR="002053D0">
        <w:rPr>
          <w:rFonts w:ascii="Foundry Form Sans" w:hAnsi="Foundry Form Sans" w:cs="Arial"/>
        </w:rPr>
        <w:t xml:space="preserve">aims and </w:t>
      </w:r>
      <w:r w:rsidRPr="00305CB6">
        <w:rPr>
          <w:rFonts w:ascii="Foundry Form Sans" w:hAnsi="Foundry Form Sans" w:cs="Arial"/>
        </w:rPr>
        <w:t>objectives.</w:t>
      </w:r>
    </w:p>
    <w:p w:rsidR="00242FB4" w:rsidRPr="00305CB6" w:rsidRDefault="00242FB4" w:rsidP="009F133B">
      <w:pPr>
        <w:pStyle w:val="BodyText"/>
        <w:numPr>
          <w:ilvl w:val="2"/>
          <w:numId w:val="42"/>
        </w:numPr>
        <w:spacing w:after="120" w:line="23" w:lineRule="atLeast"/>
        <w:ind w:left="284"/>
        <w:jc w:val="both"/>
        <w:rPr>
          <w:rFonts w:ascii="Foundry Form Sans" w:hAnsi="Foundry Form Sans" w:cs="Arial"/>
        </w:rPr>
      </w:pPr>
      <w:r w:rsidRPr="00305CB6">
        <w:rPr>
          <w:rFonts w:ascii="Foundry Form Sans" w:hAnsi="Foundry Form Sans" w:cs="Arial"/>
        </w:rPr>
        <w:t>The Governance of the project should be considered in two stages:</w:t>
      </w:r>
    </w:p>
    <w:p w:rsidR="00242FB4" w:rsidRPr="00305CB6" w:rsidRDefault="00503B0A"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1) </w:t>
      </w:r>
      <w:r w:rsidR="00242FB4" w:rsidRPr="00305CB6">
        <w:rPr>
          <w:rFonts w:ascii="Foundry Form Sans" w:hAnsi="Foundry Form Sans" w:cs="Arial"/>
        </w:rPr>
        <w:t xml:space="preserve">The Competition Stage </w:t>
      </w:r>
    </w:p>
    <w:p w:rsidR="00242FB4" w:rsidRPr="00305CB6" w:rsidRDefault="00242FB4" w:rsidP="009F133B">
      <w:pPr>
        <w:pStyle w:val="BodyText"/>
        <w:spacing w:after="120" w:line="23" w:lineRule="atLeast"/>
        <w:ind w:left="284"/>
        <w:jc w:val="both"/>
        <w:rPr>
          <w:rFonts w:ascii="Foundry Form Sans" w:hAnsi="Foundry Form Sans" w:cs="Arial"/>
        </w:rPr>
      </w:pPr>
      <w:r w:rsidRPr="00305CB6">
        <w:rPr>
          <w:rFonts w:ascii="Foundry Form Sans" w:hAnsi="Foundry Form Sans" w:cs="Arial"/>
        </w:rPr>
        <w:t>Bidders will be given the opportunity to m</w:t>
      </w:r>
      <w:r w:rsidR="00DC25CF">
        <w:rPr>
          <w:rFonts w:ascii="Foundry Form Sans" w:hAnsi="Foundry Form Sans" w:cs="Arial"/>
        </w:rPr>
        <w:t xml:space="preserve">eet the key stakeholders </w:t>
      </w:r>
      <w:r w:rsidR="00F850A6">
        <w:rPr>
          <w:rFonts w:ascii="Foundry Form Sans" w:hAnsi="Foundry Form Sans" w:cs="Arial"/>
        </w:rPr>
        <w:t>GLA</w:t>
      </w:r>
      <w:r w:rsidR="00126949">
        <w:rPr>
          <w:rFonts w:ascii="Foundry Form Sans" w:hAnsi="Foundry Form Sans" w:cs="Arial"/>
        </w:rPr>
        <w:t xml:space="preserve">, </w:t>
      </w:r>
      <w:r w:rsidR="00DC25CF">
        <w:rPr>
          <w:rFonts w:ascii="Foundry Form Sans" w:hAnsi="Foundry Form Sans" w:cs="Arial"/>
        </w:rPr>
        <w:t xml:space="preserve">and </w:t>
      </w:r>
      <w:r w:rsidRPr="00305CB6">
        <w:rPr>
          <w:rFonts w:ascii="Foundry Form Sans" w:hAnsi="Foundry Form Sans" w:cs="Arial"/>
        </w:rPr>
        <w:t>LB</w:t>
      </w:r>
      <w:r w:rsidR="008E7661">
        <w:rPr>
          <w:rFonts w:ascii="Foundry Form Sans" w:hAnsi="Foundry Form Sans" w:cs="Arial"/>
        </w:rPr>
        <w:t>N</w:t>
      </w:r>
      <w:r w:rsidRPr="00305CB6">
        <w:rPr>
          <w:rFonts w:ascii="Foundry Form Sans" w:hAnsi="Foundry Form Sans" w:cs="Arial"/>
        </w:rPr>
        <w:t xml:space="preserve"> for </w:t>
      </w:r>
      <w:r w:rsidR="00D62107">
        <w:rPr>
          <w:rFonts w:ascii="Foundry Form Sans" w:hAnsi="Foundry Form Sans" w:cs="Arial"/>
        </w:rPr>
        <w:t>one</w:t>
      </w:r>
      <w:r w:rsidR="003569AF">
        <w:rPr>
          <w:rFonts w:ascii="Foundry Form Sans" w:hAnsi="Foundry Form Sans" w:cs="Arial"/>
        </w:rPr>
        <w:t xml:space="preserve"> clarification session </w:t>
      </w:r>
      <w:r w:rsidRPr="00305CB6">
        <w:rPr>
          <w:rFonts w:ascii="Foundry Form Sans" w:hAnsi="Foundry Form Sans" w:cs="Arial"/>
        </w:rPr>
        <w:t>during the ITT stage. The purpose of these sessions will be for bidders to share ideas and test whether they are meeting the objectives of the brief and for the stakeholders to challenge the bidders on anything that may limit the success of the scheme.</w:t>
      </w:r>
    </w:p>
    <w:p w:rsidR="00242FB4" w:rsidRPr="00305CB6" w:rsidRDefault="00503B0A"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2) </w:t>
      </w:r>
      <w:r w:rsidR="00242FB4" w:rsidRPr="00305CB6">
        <w:rPr>
          <w:rFonts w:ascii="Foundry Form Sans" w:hAnsi="Foundry Form Sans" w:cs="Arial"/>
        </w:rPr>
        <w:t>The Delivery Stage</w:t>
      </w:r>
    </w:p>
    <w:p w:rsidR="00242FB4" w:rsidRDefault="00242FB4" w:rsidP="009F133B">
      <w:pPr>
        <w:pStyle w:val="BodyText"/>
        <w:spacing w:after="120" w:line="23" w:lineRule="atLeast"/>
        <w:ind w:left="284"/>
        <w:jc w:val="both"/>
        <w:rPr>
          <w:rFonts w:ascii="Foundry Form Sans" w:hAnsi="Foundry Form Sans" w:cs="Arial"/>
        </w:rPr>
      </w:pPr>
      <w:r w:rsidRPr="00305CB6">
        <w:rPr>
          <w:rFonts w:ascii="Foundry Form Sans" w:hAnsi="Foundry Form Sans" w:cs="Arial"/>
        </w:rPr>
        <w:t>A Steering Group</w:t>
      </w:r>
      <w:r w:rsidR="001845F5" w:rsidRPr="00305CB6">
        <w:rPr>
          <w:rFonts w:ascii="Foundry Form Sans" w:hAnsi="Foundry Form Sans" w:cs="Arial"/>
        </w:rPr>
        <w:t xml:space="preserve"> will be established with </w:t>
      </w:r>
      <w:r w:rsidR="00F850A6">
        <w:rPr>
          <w:rFonts w:ascii="Foundry Form Sans" w:hAnsi="Foundry Form Sans" w:cs="Arial"/>
        </w:rPr>
        <w:t>GLA</w:t>
      </w:r>
      <w:r w:rsidRPr="00305CB6">
        <w:rPr>
          <w:rFonts w:ascii="Foundry Form Sans" w:hAnsi="Foundry Form Sans" w:cs="Arial"/>
        </w:rPr>
        <w:t>, LBN</w:t>
      </w:r>
      <w:r w:rsidR="000E75E0">
        <w:rPr>
          <w:rFonts w:ascii="Foundry Form Sans" w:hAnsi="Foundry Form Sans" w:cs="Arial"/>
        </w:rPr>
        <w:t xml:space="preserve"> </w:t>
      </w:r>
      <w:r w:rsidRPr="00305CB6">
        <w:rPr>
          <w:rFonts w:ascii="Foundry Form Sans" w:hAnsi="Foundry Form Sans" w:cs="Arial"/>
        </w:rPr>
        <w:t xml:space="preserve">and the </w:t>
      </w:r>
      <w:r w:rsidR="008E7661">
        <w:rPr>
          <w:rFonts w:ascii="Foundry Form Sans" w:hAnsi="Foundry Form Sans" w:cs="Arial"/>
        </w:rPr>
        <w:t>d</w:t>
      </w:r>
      <w:r w:rsidRPr="00305CB6">
        <w:rPr>
          <w:rFonts w:ascii="Foundry Form Sans" w:hAnsi="Foundry Form Sans" w:cs="Arial"/>
        </w:rPr>
        <w:t xml:space="preserve">evelopment </w:t>
      </w:r>
      <w:r w:rsidR="008E7661">
        <w:rPr>
          <w:rFonts w:ascii="Foundry Form Sans" w:hAnsi="Foundry Form Sans" w:cs="Arial"/>
        </w:rPr>
        <w:t>p</w:t>
      </w:r>
      <w:r w:rsidRPr="00305CB6">
        <w:rPr>
          <w:rFonts w:ascii="Foundry Form Sans" w:hAnsi="Foundry Form Sans" w:cs="Arial"/>
        </w:rPr>
        <w:t xml:space="preserve">artner </w:t>
      </w:r>
      <w:r w:rsidR="00412175" w:rsidRPr="00305CB6">
        <w:rPr>
          <w:rFonts w:ascii="Foundry Form Sans" w:hAnsi="Foundry Form Sans" w:cs="Arial"/>
        </w:rPr>
        <w:t>that</w:t>
      </w:r>
      <w:r w:rsidRPr="00305CB6">
        <w:rPr>
          <w:rFonts w:ascii="Foundry Form Sans" w:hAnsi="Foundry Form Sans" w:cs="Arial"/>
        </w:rPr>
        <w:t xml:space="preserve"> will meet on a monthly basis</w:t>
      </w:r>
      <w:r w:rsidR="001A1EE0">
        <w:rPr>
          <w:rFonts w:ascii="Foundry Form Sans" w:hAnsi="Foundry Form Sans" w:cs="Arial"/>
        </w:rPr>
        <w:t xml:space="preserve"> or as required</w:t>
      </w:r>
      <w:r w:rsidRPr="00305CB6">
        <w:rPr>
          <w:rFonts w:ascii="Foundry Form Sans" w:hAnsi="Foundry Form Sans" w:cs="Arial"/>
        </w:rPr>
        <w:t>.  The</w:t>
      </w:r>
      <w:r w:rsidR="008E7661">
        <w:rPr>
          <w:rFonts w:ascii="Foundry Form Sans" w:hAnsi="Foundry Form Sans" w:cs="Arial"/>
        </w:rPr>
        <w:t xml:space="preserve"> Steering</w:t>
      </w:r>
      <w:r w:rsidRPr="00305CB6">
        <w:rPr>
          <w:rFonts w:ascii="Foundry Form Sans" w:hAnsi="Foundry Form Sans" w:cs="Arial"/>
        </w:rPr>
        <w:t xml:space="preserve"> Group will provide strategic monitoring and guidance in relation to the development. The project will be directly managed by a designated </w:t>
      </w:r>
      <w:r w:rsidR="008E7661">
        <w:rPr>
          <w:rFonts w:ascii="Foundry Form Sans" w:hAnsi="Foundry Form Sans" w:cs="Arial"/>
        </w:rPr>
        <w:t>d</w:t>
      </w:r>
      <w:r w:rsidR="00126949">
        <w:rPr>
          <w:rFonts w:ascii="Foundry Form Sans" w:hAnsi="Foundry Form Sans" w:cs="Arial"/>
        </w:rPr>
        <w:t xml:space="preserve">evelopment </w:t>
      </w:r>
      <w:r w:rsidR="008E7661">
        <w:rPr>
          <w:rFonts w:ascii="Foundry Form Sans" w:hAnsi="Foundry Form Sans" w:cs="Arial"/>
        </w:rPr>
        <w:t>m</w:t>
      </w:r>
      <w:r w:rsidR="00126949">
        <w:rPr>
          <w:rFonts w:ascii="Foundry Form Sans" w:hAnsi="Foundry Form Sans" w:cs="Arial"/>
        </w:rPr>
        <w:t>anager</w:t>
      </w:r>
      <w:r w:rsidR="001128C7">
        <w:rPr>
          <w:rFonts w:ascii="Foundry Form Sans" w:hAnsi="Foundry Form Sans" w:cs="Arial"/>
        </w:rPr>
        <w:t xml:space="preserve"> </w:t>
      </w:r>
      <w:r w:rsidRPr="00305CB6">
        <w:rPr>
          <w:rFonts w:ascii="Foundry Form Sans" w:hAnsi="Foundry Form Sans" w:cs="Arial"/>
        </w:rPr>
        <w:t>from the GLA’s Housing and Land Directorate, with oversight from the Principal Development Manager in the</w:t>
      </w:r>
      <w:r w:rsidR="008E7661">
        <w:rPr>
          <w:rFonts w:ascii="Foundry Form Sans" w:hAnsi="Foundry Form Sans" w:cs="Arial"/>
        </w:rPr>
        <w:t xml:space="preserve"> GLA's</w:t>
      </w:r>
      <w:r w:rsidRPr="00305CB6">
        <w:rPr>
          <w:rFonts w:ascii="Foundry Form Sans" w:hAnsi="Foundry Form Sans" w:cs="Arial"/>
        </w:rPr>
        <w:t xml:space="preserve"> Strategic Projects and Property Team. </w:t>
      </w:r>
    </w:p>
    <w:p w:rsidR="007A7A04" w:rsidRPr="00305CB6" w:rsidRDefault="007A7A04" w:rsidP="009F133B">
      <w:pPr>
        <w:pStyle w:val="Level2"/>
        <w:numPr>
          <w:ilvl w:val="0"/>
          <w:numId w:val="0"/>
        </w:numPr>
        <w:spacing w:before="120" w:after="120" w:line="23" w:lineRule="atLeast"/>
        <w:ind w:left="284"/>
        <w:jc w:val="both"/>
        <w:rPr>
          <w:rFonts w:ascii="Foundry Form Sans" w:hAnsi="Foundry Form Sans" w:cs="Arial"/>
          <w:sz w:val="22"/>
          <w:szCs w:val="22"/>
        </w:rPr>
      </w:pPr>
    </w:p>
    <w:p w:rsidR="00242FB4" w:rsidRPr="00305CB6" w:rsidRDefault="00D15B83" w:rsidP="009F133B">
      <w:pPr>
        <w:pStyle w:val="BodyText"/>
        <w:numPr>
          <w:ilvl w:val="1"/>
          <w:numId w:val="42"/>
        </w:numPr>
        <w:spacing w:after="120" w:line="23" w:lineRule="atLeast"/>
        <w:ind w:left="284"/>
        <w:jc w:val="both"/>
        <w:rPr>
          <w:rFonts w:ascii="Foundry Form Sans" w:hAnsi="Foundry Form Sans" w:cs="Arial"/>
        </w:rPr>
      </w:pPr>
      <w:r w:rsidRPr="00027DF3">
        <w:rPr>
          <w:rFonts w:ascii="Foundry Form Sans" w:hAnsi="Foundry Form Sans" w:cs="Adobe Garamond Pro Bold"/>
          <w:b/>
          <w:bCs/>
          <w:lang w:eastAsia="en-GB"/>
        </w:rPr>
        <w:t>Pr</w:t>
      </w:r>
      <w:r w:rsidR="00242FB4" w:rsidRPr="00027DF3">
        <w:rPr>
          <w:rFonts w:ascii="Foundry Form Sans" w:hAnsi="Foundry Form Sans" w:cs="Adobe Garamond Pro Bold"/>
          <w:b/>
          <w:bCs/>
          <w:lang w:eastAsia="en-GB"/>
        </w:rPr>
        <w:t>oject</w:t>
      </w:r>
      <w:r w:rsidR="00242FB4" w:rsidRPr="00305CB6">
        <w:rPr>
          <w:rFonts w:ascii="Foundry Form Sans" w:hAnsi="Foundry Form Sans" w:cs="Arial"/>
          <w:b/>
        </w:rPr>
        <w:t xml:space="preserve"> Team</w:t>
      </w:r>
    </w:p>
    <w:p w:rsidR="00242FB4" w:rsidRPr="00305CB6" w:rsidRDefault="00242FB4" w:rsidP="009F133B">
      <w:pPr>
        <w:pStyle w:val="BodyText"/>
        <w:numPr>
          <w:ilvl w:val="2"/>
          <w:numId w:val="42"/>
        </w:numPr>
        <w:spacing w:after="120" w:line="23" w:lineRule="atLeast"/>
        <w:ind w:left="284"/>
        <w:jc w:val="both"/>
        <w:rPr>
          <w:rFonts w:ascii="Foundry Form Sans" w:hAnsi="Foundry Form Sans" w:cs="Arial"/>
        </w:rPr>
      </w:pPr>
      <w:r w:rsidRPr="00305CB6">
        <w:rPr>
          <w:rFonts w:ascii="Foundry Form Sans" w:hAnsi="Foundry Form Sans" w:cs="Arial"/>
        </w:rPr>
        <w:t xml:space="preserve">The </w:t>
      </w:r>
      <w:r w:rsidR="008B6ECE">
        <w:rPr>
          <w:rFonts w:ascii="Foundry Form Sans" w:hAnsi="Foundry Form Sans" w:cs="Arial"/>
        </w:rPr>
        <w:t>delivery</w:t>
      </w:r>
      <w:r w:rsidRPr="00305CB6">
        <w:rPr>
          <w:rFonts w:ascii="Foundry Form Sans" w:hAnsi="Foundry Form Sans" w:cs="Arial"/>
        </w:rPr>
        <w:t xml:space="preserve"> </w:t>
      </w:r>
      <w:r w:rsidR="008E7661">
        <w:rPr>
          <w:rFonts w:ascii="Foundry Form Sans" w:hAnsi="Foundry Form Sans" w:cs="Arial"/>
        </w:rPr>
        <w:t>p</w:t>
      </w:r>
      <w:r w:rsidRPr="00305CB6">
        <w:rPr>
          <w:rFonts w:ascii="Foundry Form Sans" w:hAnsi="Foundry Form Sans" w:cs="Arial"/>
        </w:rPr>
        <w:t>artner will be expected to establish an appropriately skilled and experienced team to manage the planni</w:t>
      </w:r>
      <w:r w:rsidR="00316F5F">
        <w:rPr>
          <w:rFonts w:ascii="Foundry Form Sans" w:hAnsi="Foundry Form Sans" w:cs="Arial"/>
        </w:rPr>
        <w:t xml:space="preserve">ng and delivery of the scheme. </w:t>
      </w:r>
    </w:p>
    <w:p w:rsidR="00242FB4" w:rsidRDefault="00650206"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Bidders are not required to work with </w:t>
      </w:r>
      <w:r w:rsidR="00242FB4" w:rsidRPr="00305CB6">
        <w:rPr>
          <w:rFonts w:ascii="Foundry Form Sans" w:hAnsi="Foundry Form Sans" w:cs="Arial"/>
        </w:rPr>
        <w:t xml:space="preserve">consultants </w:t>
      </w:r>
      <w:r>
        <w:rPr>
          <w:rFonts w:ascii="Foundry Form Sans" w:hAnsi="Foundry Form Sans" w:cs="Arial"/>
        </w:rPr>
        <w:t xml:space="preserve">that are </w:t>
      </w:r>
      <w:r w:rsidR="00242FB4" w:rsidRPr="00305CB6">
        <w:rPr>
          <w:rFonts w:ascii="Foundry Form Sans" w:hAnsi="Foundry Form Sans" w:cs="Arial"/>
        </w:rPr>
        <w:t xml:space="preserve">selected from any specific framework and </w:t>
      </w:r>
      <w:r w:rsidR="00762CC7">
        <w:rPr>
          <w:rFonts w:ascii="Foundry Form Sans" w:hAnsi="Foundry Form Sans" w:cs="Arial"/>
        </w:rPr>
        <w:t xml:space="preserve">can </w:t>
      </w:r>
      <w:r w:rsidR="00242FB4" w:rsidRPr="00305CB6">
        <w:rPr>
          <w:rFonts w:ascii="Foundry Form Sans" w:hAnsi="Foundry Form Sans" w:cs="Arial"/>
        </w:rPr>
        <w:t>engage legal and property support during the procurement and disposal.</w:t>
      </w:r>
    </w:p>
    <w:p w:rsidR="007A7A04" w:rsidRPr="00305CB6" w:rsidRDefault="007A7A04" w:rsidP="009F133B">
      <w:pPr>
        <w:pStyle w:val="Level2"/>
        <w:numPr>
          <w:ilvl w:val="0"/>
          <w:numId w:val="0"/>
        </w:numPr>
        <w:spacing w:before="120" w:after="120" w:line="23" w:lineRule="atLeast"/>
        <w:ind w:left="284"/>
        <w:jc w:val="both"/>
        <w:rPr>
          <w:rFonts w:ascii="Foundry Form Sans" w:hAnsi="Foundry Form Sans" w:cs="Arial"/>
          <w:sz w:val="22"/>
          <w:szCs w:val="22"/>
        </w:rPr>
      </w:pPr>
    </w:p>
    <w:p w:rsidR="00242FB4" w:rsidRPr="00305CB6" w:rsidRDefault="00242FB4" w:rsidP="009F133B">
      <w:pPr>
        <w:pStyle w:val="BodyText"/>
        <w:numPr>
          <w:ilvl w:val="1"/>
          <w:numId w:val="42"/>
        </w:numPr>
        <w:spacing w:after="120" w:line="23" w:lineRule="atLeast"/>
        <w:ind w:left="284"/>
        <w:jc w:val="both"/>
        <w:rPr>
          <w:rFonts w:ascii="Foundry Form Sans" w:hAnsi="Foundry Form Sans" w:cs="Arial"/>
          <w:b/>
        </w:rPr>
      </w:pPr>
      <w:r w:rsidRPr="00305CB6">
        <w:rPr>
          <w:rFonts w:ascii="Foundry Form Sans" w:hAnsi="Foundry Form Sans" w:cs="Arial"/>
          <w:b/>
        </w:rPr>
        <w:t>Project Partners</w:t>
      </w:r>
    </w:p>
    <w:p w:rsidR="00B50A5B" w:rsidRDefault="00242FB4" w:rsidP="009F133B">
      <w:pPr>
        <w:pStyle w:val="BodyText"/>
        <w:numPr>
          <w:ilvl w:val="2"/>
          <w:numId w:val="42"/>
        </w:numPr>
        <w:spacing w:after="120" w:line="23" w:lineRule="atLeast"/>
        <w:ind w:left="284"/>
        <w:jc w:val="both"/>
        <w:rPr>
          <w:rFonts w:ascii="Foundry Form Sans" w:hAnsi="Foundry Form Sans" w:cs="Arial"/>
        </w:rPr>
      </w:pPr>
      <w:r w:rsidRPr="00305CB6">
        <w:rPr>
          <w:rFonts w:ascii="Foundry Form Sans" w:hAnsi="Foundry Form Sans" w:cs="Arial"/>
        </w:rPr>
        <w:t>Aside fro</w:t>
      </w:r>
      <w:r w:rsidR="00D351E6" w:rsidRPr="00305CB6">
        <w:rPr>
          <w:rFonts w:ascii="Foundry Form Sans" w:hAnsi="Foundry Form Sans" w:cs="Arial"/>
        </w:rPr>
        <w:t>m the GLA,</w:t>
      </w:r>
      <w:r w:rsidRPr="00305CB6">
        <w:rPr>
          <w:rFonts w:ascii="Foundry Form Sans" w:hAnsi="Foundry Form Sans" w:cs="Arial"/>
        </w:rPr>
        <w:t xml:space="preserve"> </w:t>
      </w:r>
      <w:r w:rsidR="008E7661">
        <w:rPr>
          <w:rFonts w:ascii="Foundry Form Sans" w:hAnsi="Foundry Form Sans" w:cs="Arial"/>
        </w:rPr>
        <w:t xml:space="preserve">LBN is </w:t>
      </w:r>
      <w:r w:rsidRPr="00305CB6">
        <w:rPr>
          <w:rFonts w:ascii="Foundry Form Sans" w:hAnsi="Foundry Form Sans" w:cs="Arial"/>
        </w:rPr>
        <w:t>the other main project partner. As the local planning autho</w:t>
      </w:r>
      <w:r w:rsidRPr="00D57B3C">
        <w:rPr>
          <w:rFonts w:ascii="Foundry Form Sans" w:hAnsi="Foundry Form Sans" w:cs="Arial"/>
        </w:rPr>
        <w:t xml:space="preserve">rity, LBN has already provided advice and support for the proposals to ensure they meet with their aspirations for the </w:t>
      </w:r>
      <w:r w:rsidR="00514E0E">
        <w:rPr>
          <w:rFonts w:ascii="Foundry Form Sans" w:hAnsi="Foundry Form Sans" w:cs="Arial"/>
        </w:rPr>
        <w:t>Site</w:t>
      </w:r>
      <w:r w:rsidRPr="00D57B3C">
        <w:rPr>
          <w:rFonts w:ascii="Foundry Form Sans" w:hAnsi="Foundry Form Sans" w:cs="Arial"/>
        </w:rPr>
        <w:t>. LBN will continue to have a crucial role in relation to the planning and design.</w:t>
      </w:r>
      <w:r w:rsidR="007A7A04">
        <w:rPr>
          <w:rFonts w:ascii="Foundry Form Sans" w:hAnsi="Foundry Form Sans" w:cs="Arial"/>
        </w:rPr>
        <w:t xml:space="preserve"> </w:t>
      </w:r>
    </w:p>
    <w:p w:rsidR="009D6FF5" w:rsidRPr="00D57B3C" w:rsidRDefault="009D6FF5" w:rsidP="009F133B">
      <w:pPr>
        <w:pStyle w:val="BodyText"/>
        <w:spacing w:after="120" w:line="23" w:lineRule="atLeast"/>
        <w:ind w:left="284"/>
        <w:jc w:val="both"/>
        <w:rPr>
          <w:rFonts w:ascii="Foundry Form Sans" w:hAnsi="Foundry Form Sans" w:cs="Arial"/>
        </w:rPr>
      </w:pPr>
    </w:p>
    <w:p w:rsidR="00770E1A" w:rsidRPr="00E91D2E" w:rsidRDefault="00770E1A" w:rsidP="009F133B">
      <w:pPr>
        <w:pStyle w:val="BodyText"/>
        <w:numPr>
          <w:ilvl w:val="1"/>
          <w:numId w:val="42"/>
        </w:numPr>
        <w:spacing w:after="120" w:line="23" w:lineRule="atLeast"/>
        <w:ind w:left="284"/>
        <w:jc w:val="both"/>
        <w:rPr>
          <w:rFonts w:ascii="Foundry Form Sans" w:hAnsi="Foundry Form Sans" w:cs="Arial"/>
          <w:b/>
          <w:lang w:eastAsia="en-GB"/>
        </w:rPr>
      </w:pPr>
      <w:r w:rsidRPr="00E91D2E">
        <w:rPr>
          <w:rFonts w:ascii="Foundry Form Sans" w:hAnsi="Foundry Form Sans" w:cs="Arial"/>
          <w:b/>
          <w:lang w:eastAsia="en-GB"/>
        </w:rPr>
        <w:t>Project Documentation</w:t>
      </w:r>
    </w:p>
    <w:p w:rsidR="00502EB3" w:rsidRPr="00502EB3" w:rsidRDefault="00502EB3" w:rsidP="009F133B">
      <w:pPr>
        <w:pStyle w:val="BodyText"/>
        <w:numPr>
          <w:ilvl w:val="2"/>
          <w:numId w:val="42"/>
        </w:numPr>
        <w:spacing w:after="120" w:line="23" w:lineRule="atLeast"/>
        <w:ind w:left="284"/>
        <w:jc w:val="both"/>
        <w:rPr>
          <w:rFonts w:ascii="Foundry Form Sans" w:hAnsi="Foundry Form Sans" w:cs="Arial"/>
        </w:rPr>
      </w:pPr>
      <w:r w:rsidRPr="00502EB3">
        <w:rPr>
          <w:rFonts w:ascii="Foundry Form Sans" w:hAnsi="Foundry Form Sans" w:cs="Arial"/>
        </w:rPr>
        <w:t>The standard form</w:t>
      </w:r>
      <w:r>
        <w:rPr>
          <w:rFonts w:ascii="Foundry Form Sans" w:hAnsi="Foundry Form Sans" w:cs="Arial"/>
        </w:rPr>
        <w:t xml:space="preserve"> of legal documentation </w:t>
      </w:r>
      <w:r w:rsidRPr="00502EB3">
        <w:rPr>
          <w:rFonts w:ascii="Foundry Form Sans" w:hAnsi="Foundry Form Sans" w:cs="Arial"/>
        </w:rPr>
        <w:t>will be modified to provide for</w:t>
      </w:r>
      <w:r>
        <w:rPr>
          <w:rFonts w:ascii="Foundry Form Sans" w:hAnsi="Foundry Form Sans" w:cs="Arial"/>
        </w:rPr>
        <w:t xml:space="preserve"> some project specifics and will include</w:t>
      </w:r>
      <w:r w:rsidRPr="00502EB3">
        <w:rPr>
          <w:rFonts w:ascii="Foundry Form Sans" w:hAnsi="Foundry Form Sans" w:cs="Arial"/>
        </w:rPr>
        <w:t xml:space="preserve">: </w:t>
      </w:r>
    </w:p>
    <w:p w:rsidR="00502EB3" w:rsidRPr="00502EB3" w:rsidRDefault="00502EB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P</w:t>
      </w:r>
      <w:r w:rsidRPr="00502EB3">
        <w:rPr>
          <w:rFonts w:ascii="Foundry Form Sans" w:hAnsi="Foundry Form Sans" w:cs="Arial"/>
        </w:rPr>
        <w:t>rogrammed milestones linked to delivery of outputs and development stages</w:t>
      </w:r>
      <w:r>
        <w:rPr>
          <w:rFonts w:ascii="Foundry Form Sans" w:hAnsi="Foundry Form Sans" w:cs="Arial"/>
        </w:rPr>
        <w:t xml:space="preserve"> (obtaining planning etc.)</w:t>
      </w:r>
      <w:r w:rsidRPr="00502EB3">
        <w:rPr>
          <w:rFonts w:ascii="Foundry Form Sans" w:hAnsi="Foundry Form Sans" w:cs="Arial"/>
        </w:rPr>
        <w:t xml:space="preserve">. </w:t>
      </w:r>
    </w:p>
    <w:p w:rsidR="00502EB3" w:rsidRDefault="00502EB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T</w:t>
      </w:r>
      <w:r w:rsidRPr="00502EB3">
        <w:rPr>
          <w:rFonts w:ascii="Foundry Form Sans" w:hAnsi="Foundry Form Sans" w:cs="Arial"/>
        </w:rPr>
        <w:t xml:space="preserve">he Development Agreement (DA) (based on the LDP form) will also function as an agreement for lease providing for the grant of a building lease (also following the LDP </w:t>
      </w:r>
      <w:r>
        <w:rPr>
          <w:rFonts w:ascii="Foundry Form Sans" w:hAnsi="Foundry Form Sans" w:cs="Arial"/>
        </w:rPr>
        <w:t xml:space="preserve">form).  </w:t>
      </w:r>
    </w:p>
    <w:p w:rsidR="00502EB3" w:rsidRPr="00502EB3" w:rsidRDefault="00502EB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The </w:t>
      </w:r>
      <w:r w:rsidRPr="00502EB3">
        <w:rPr>
          <w:rFonts w:ascii="Foundry Form Sans" w:hAnsi="Foundry Form Sans" w:cs="Arial"/>
        </w:rPr>
        <w:t xml:space="preserve">freehold of the </w:t>
      </w:r>
      <w:r w:rsidR="00514E0E">
        <w:rPr>
          <w:rFonts w:ascii="Foundry Form Sans" w:hAnsi="Foundry Form Sans" w:cs="Arial"/>
        </w:rPr>
        <w:t>Site</w:t>
      </w:r>
      <w:r w:rsidRPr="00502EB3">
        <w:rPr>
          <w:rFonts w:ascii="Foundry Form Sans" w:hAnsi="Foundry Form Sans" w:cs="Arial"/>
        </w:rPr>
        <w:t xml:space="preserve"> will b</w:t>
      </w:r>
      <w:r>
        <w:rPr>
          <w:rFonts w:ascii="Foundry Form Sans" w:hAnsi="Foundry Form Sans" w:cs="Arial"/>
        </w:rPr>
        <w:t>e transferred to the selected D</w:t>
      </w:r>
      <w:r w:rsidRPr="00502EB3">
        <w:rPr>
          <w:rFonts w:ascii="Foundry Form Sans" w:hAnsi="Foundry Form Sans" w:cs="Arial"/>
        </w:rPr>
        <w:t xml:space="preserve">eveloper </w:t>
      </w:r>
      <w:r w:rsidR="000F4D7B">
        <w:rPr>
          <w:rFonts w:ascii="Foundry Form Sans" w:hAnsi="Foundry Form Sans" w:cs="Arial"/>
        </w:rPr>
        <w:t>(</w:t>
      </w:r>
      <w:r w:rsidRPr="00502EB3">
        <w:rPr>
          <w:rFonts w:ascii="Foundry Form Sans" w:hAnsi="Foundry Form Sans" w:cs="Arial"/>
        </w:rPr>
        <w:t>or purchasers</w:t>
      </w:r>
      <w:r w:rsidR="000F4D7B">
        <w:rPr>
          <w:rFonts w:ascii="Foundry Form Sans" w:hAnsi="Foundry Form Sans" w:cs="Arial"/>
        </w:rPr>
        <w:t>)</w:t>
      </w:r>
      <w:r w:rsidRPr="00502EB3">
        <w:rPr>
          <w:rFonts w:ascii="Foundry Form Sans" w:hAnsi="Foundry Form Sans" w:cs="Arial"/>
        </w:rPr>
        <w:t xml:space="preserve"> </w:t>
      </w:r>
      <w:r w:rsidR="000F4D7B">
        <w:rPr>
          <w:rFonts w:ascii="Foundry Form Sans" w:hAnsi="Foundry Form Sans" w:cs="Arial"/>
        </w:rPr>
        <w:t xml:space="preserve">following </w:t>
      </w:r>
      <w:r w:rsidRPr="00502EB3">
        <w:rPr>
          <w:rFonts w:ascii="Foundry Form Sans" w:hAnsi="Foundry Form Sans" w:cs="Arial"/>
        </w:rPr>
        <w:t>practical completion</w:t>
      </w:r>
      <w:r w:rsidR="000F4D7B">
        <w:rPr>
          <w:rFonts w:ascii="Foundry Form Sans" w:hAnsi="Foundry Form Sans" w:cs="Arial"/>
        </w:rPr>
        <w:t>, payment of all guaranteed minimum land value and discharge of all obligations under the DA</w:t>
      </w:r>
      <w:r w:rsidR="007A78ED">
        <w:rPr>
          <w:rFonts w:ascii="Foundry Form Sans" w:hAnsi="Foundry Form Sans" w:cs="Arial"/>
        </w:rPr>
        <w:t>.</w:t>
      </w:r>
    </w:p>
    <w:p w:rsidR="007A78ED" w:rsidRDefault="00E91D2E"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T</w:t>
      </w:r>
      <w:r w:rsidR="00502EB3" w:rsidRPr="00502EB3">
        <w:rPr>
          <w:rFonts w:ascii="Foundry Form Sans" w:hAnsi="Foundry Form Sans" w:cs="Arial"/>
        </w:rPr>
        <w:t>he DA will be conditional upon the grant of outline planning permission (the ability to appeal a failed planning application will be provided for in the drafting)</w:t>
      </w:r>
      <w:r w:rsidR="007A78ED">
        <w:rPr>
          <w:rFonts w:ascii="Foundry Form Sans" w:hAnsi="Foundry Form Sans" w:cs="Arial"/>
        </w:rPr>
        <w:t>.</w:t>
      </w:r>
    </w:p>
    <w:p w:rsidR="00502EB3" w:rsidRPr="00502EB3" w:rsidRDefault="007A78ED"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There will be a further short term lease of the </w:t>
      </w:r>
      <w:r w:rsidR="00F56F19">
        <w:rPr>
          <w:rFonts w:ascii="Foundry Form Sans" w:hAnsi="Foundry Form Sans" w:cs="Arial"/>
        </w:rPr>
        <w:t>Temporary Open Space Land</w:t>
      </w:r>
      <w:r>
        <w:rPr>
          <w:rFonts w:ascii="Foundry Form Sans" w:hAnsi="Foundry Form Sans" w:cs="Arial"/>
        </w:rPr>
        <w:t xml:space="preserve">.  </w:t>
      </w:r>
      <w:r w:rsidR="000E75E0">
        <w:rPr>
          <w:rFonts w:ascii="Foundry Form Sans" w:hAnsi="Foundry Form Sans" w:cs="Arial"/>
        </w:rPr>
        <w:t>This will be assignable with consent in the event developers are able to suggest innovative management structures.</w:t>
      </w:r>
    </w:p>
    <w:p w:rsidR="00502EB3" w:rsidRDefault="00502EB3" w:rsidP="009F133B">
      <w:pPr>
        <w:pStyle w:val="BodyText"/>
        <w:numPr>
          <w:ilvl w:val="2"/>
          <w:numId w:val="42"/>
        </w:numPr>
        <w:spacing w:after="120" w:line="23" w:lineRule="atLeast"/>
        <w:ind w:left="284"/>
        <w:jc w:val="both"/>
        <w:rPr>
          <w:rFonts w:ascii="Foundry Form Sans" w:hAnsi="Foundry Form Sans" w:cs="Arial"/>
        </w:rPr>
      </w:pPr>
      <w:r w:rsidRPr="00502EB3">
        <w:rPr>
          <w:rFonts w:ascii="Foundry Form Sans" w:hAnsi="Foundry Form Sans" w:cs="Arial"/>
        </w:rPr>
        <w:lastRenderedPageBreak/>
        <w:t xml:space="preserve">Additional conditions will trigger the </w:t>
      </w:r>
      <w:r w:rsidR="00F56F19">
        <w:rPr>
          <w:rFonts w:ascii="Foundry Form Sans" w:hAnsi="Foundry Form Sans" w:cs="Arial"/>
        </w:rPr>
        <w:t xml:space="preserve">grant </w:t>
      </w:r>
      <w:r w:rsidRPr="00502EB3">
        <w:rPr>
          <w:rFonts w:ascii="Foundry Form Sans" w:hAnsi="Foundry Form Sans" w:cs="Arial"/>
        </w:rPr>
        <w:t>of the building lease.  These will cover reserved matters approval, agreement of the programme and milestones for delivery of the scheme</w:t>
      </w:r>
      <w:r w:rsidR="00F56F19">
        <w:rPr>
          <w:rFonts w:ascii="Foundry Form Sans" w:hAnsi="Foundry Form Sans" w:cs="Arial"/>
        </w:rPr>
        <w:t xml:space="preserve"> and e</w:t>
      </w:r>
      <w:r w:rsidR="00F56F19" w:rsidRPr="00502EB3">
        <w:rPr>
          <w:rFonts w:ascii="Foundry Form Sans" w:hAnsi="Foundry Form Sans" w:cs="Arial"/>
        </w:rPr>
        <w:t>vidence that the developer has necessary funding in place</w:t>
      </w:r>
      <w:r w:rsidR="00147AFE">
        <w:rPr>
          <w:rFonts w:ascii="Foundry Form Sans" w:hAnsi="Foundry Form Sans" w:cs="Arial"/>
        </w:rPr>
        <w:t>.</w:t>
      </w:r>
    </w:p>
    <w:p w:rsidR="00502EB3" w:rsidRDefault="00502EB3" w:rsidP="009F133B">
      <w:pPr>
        <w:pStyle w:val="BodyText"/>
        <w:numPr>
          <w:ilvl w:val="2"/>
          <w:numId w:val="42"/>
        </w:numPr>
        <w:spacing w:after="120" w:line="23" w:lineRule="atLeast"/>
        <w:ind w:left="284"/>
        <w:jc w:val="both"/>
        <w:rPr>
          <w:rFonts w:ascii="Foundry Form Sans" w:hAnsi="Foundry Form Sans" w:cs="Arial"/>
        </w:rPr>
      </w:pPr>
      <w:r w:rsidRPr="00502EB3">
        <w:rPr>
          <w:rFonts w:ascii="Foundry Form Sans" w:hAnsi="Foundry Form Sans" w:cs="Arial"/>
        </w:rPr>
        <w:t xml:space="preserve">The relevant development strategies to be delivered will also need to be approved and compliance with the quality standards demonstrated.  </w:t>
      </w:r>
    </w:p>
    <w:p w:rsidR="00502EB3" w:rsidRDefault="00502EB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Provision for the steering group governance will be included</w:t>
      </w:r>
      <w:r w:rsidR="00147AFE">
        <w:rPr>
          <w:rFonts w:ascii="Foundry Form Sans" w:hAnsi="Foundry Form Sans" w:cs="Arial"/>
        </w:rPr>
        <w:t>.</w:t>
      </w:r>
    </w:p>
    <w:p w:rsidR="00502EB3" w:rsidRDefault="00502EB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Project specific title matters (where relevant)</w:t>
      </w:r>
      <w:r w:rsidR="00147AFE">
        <w:rPr>
          <w:rFonts w:ascii="Foundry Form Sans" w:hAnsi="Foundry Form Sans" w:cs="Arial"/>
        </w:rPr>
        <w:t xml:space="preserve"> will also be included. </w:t>
      </w:r>
    </w:p>
    <w:p w:rsidR="00DA2708" w:rsidRDefault="00DA2708"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The selected developer will be expected to meet the reasonable legal costs of the GLA in administering the DA once in contract.</w:t>
      </w:r>
    </w:p>
    <w:p w:rsidR="00502EB3" w:rsidRPr="00E1371A" w:rsidRDefault="00502EB3" w:rsidP="009F133B">
      <w:pPr>
        <w:pStyle w:val="BodyText"/>
        <w:spacing w:after="120" w:line="23" w:lineRule="atLeast"/>
        <w:ind w:left="284" w:firstLine="568"/>
        <w:jc w:val="both"/>
        <w:rPr>
          <w:rFonts w:ascii="Foundry Form Sans" w:hAnsi="Foundry Form Sans" w:cs="Arial"/>
          <w:lang w:eastAsia="en-GB"/>
        </w:rPr>
      </w:pPr>
    </w:p>
    <w:p w:rsidR="00330548" w:rsidRPr="00896AB6" w:rsidRDefault="00330548" w:rsidP="009F133B">
      <w:pPr>
        <w:pStyle w:val="BodyText"/>
        <w:spacing w:after="120" w:line="23" w:lineRule="atLeast"/>
        <w:ind w:left="284"/>
        <w:jc w:val="both"/>
        <w:rPr>
          <w:rFonts w:ascii="Foundry Form Sans" w:hAnsi="Foundry Form Sans" w:cs="Arial"/>
          <w:lang w:eastAsia="en-GB"/>
        </w:rPr>
      </w:pPr>
    </w:p>
    <w:p w:rsidR="00D351E6" w:rsidRDefault="00D351E6" w:rsidP="009F133B">
      <w:pPr>
        <w:spacing w:after="120" w:line="23" w:lineRule="atLeast"/>
        <w:ind w:left="284"/>
        <w:jc w:val="both"/>
        <w:rPr>
          <w:rFonts w:ascii="Foundry Form Sans" w:hAnsi="Foundry Form Sans" w:cs="Arial"/>
          <w:b/>
          <w:bCs/>
          <w:kern w:val="32"/>
          <w:sz w:val="32"/>
          <w:szCs w:val="32"/>
        </w:rPr>
      </w:pPr>
    </w:p>
    <w:p w:rsidR="00267697" w:rsidRDefault="00267697" w:rsidP="009F133B">
      <w:pPr>
        <w:pStyle w:val="Heading1"/>
        <w:numPr>
          <w:ilvl w:val="0"/>
          <w:numId w:val="42"/>
        </w:numPr>
        <w:pBdr>
          <w:bottom w:val="single" w:sz="4" w:space="1" w:color="auto"/>
        </w:pBdr>
        <w:ind w:left="284"/>
        <w:jc w:val="both"/>
        <w:rPr>
          <w:b w:val="0"/>
          <w:bCs w:val="0"/>
        </w:rPr>
        <w:sectPr w:rsidR="00267697" w:rsidSect="009F133B">
          <w:pgSz w:w="11906" w:h="16838" w:code="9"/>
          <w:pgMar w:top="1797" w:right="1440" w:bottom="1797" w:left="1440" w:header="709" w:footer="709" w:gutter="0"/>
          <w:paperSrc w:first="264" w:other="264"/>
          <w:pgNumType w:start="16"/>
          <w:cols w:space="708"/>
          <w:titlePg/>
          <w:docGrid w:linePitch="360"/>
        </w:sectPr>
      </w:pPr>
    </w:p>
    <w:p w:rsidR="00D351E6" w:rsidRPr="008A3E2D" w:rsidRDefault="008A3E2D" w:rsidP="009F133B">
      <w:pPr>
        <w:pStyle w:val="Heading1"/>
        <w:numPr>
          <w:ilvl w:val="0"/>
          <w:numId w:val="42"/>
        </w:numPr>
        <w:pBdr>
          <w:bottom w:val="single" w:sz="4" w:space="1" w:color="auto"/>
        </w:pBdr>
        <w:ind w:left="284"/>
        <w:jc w:val="both"/>
      </w:pPr>
      <w:r>
        <w:rPr>
          <w:b w:val="0"/>
          <w:bCs w:val="0"/>
        </w:rPr>
        <w:br w:type="page"/>
      </w:r>
      <w:bookmarkStart w:id="12" w:name="_Toc441674209"/>
      <w:r>
        <w:lastRenderedPageBreak/>
        <w:t>Selection of a Delivery Partner</w:t>
      </w:r>
      <w:bookmarkEnd w:id="12"/>
    </w:p>
    <w:p w:rsidR="00242FB4" w:rsidRPr="000353B5" w:rsidRDefault="00242FB4" w:rsidP="009F133B">
      <w:pPr>
        <w:spacing w:after="120" w:line="23" w:lineRule="atLeast"/>
        <w:ind w:left="284" w:hanging="567"/>
        <w:jc w:val="both"/>
        <w:rPr>
          <w:rFonts w:ascii="Foundry Form Sans" w:hAnsi="Foundry Form Sans"/>
          <w:b/>
          <w:sz w:val="22"/>
        </w:rPr>
      </w:pPr>
    </w:p>
    <w:p w:rsidR="00242FB4" w:rsidRPr="000353B5" w:rsidRDefault="00242FB4" w:rsidP="009F133B">
      <w:pPr>
        <w:pStyle w:val="BodyText"/>
        <w:numPr>
          <w:ilvl w:val="2"/>
          <w:numId w:val="42"/>
        </w:numPr>
        <w:spacing w:after="120" w:line="23" w:lineRule="atLeast"/>
        <w:ind w:left="284"/>
        <w:jc w:val="both"/>
        <w:rPr>
          <w:rFonts w:ascii="Foundry Form Sans" w:hAnsi="Foundry Form Sans"/>
        </w:rPr>
      </w:pPr>
      <w:r w:rsidRPr="000353B5">
        <w:rPr>
          <w:rFonts w:ascii="Foundry Form Sans" w:hAnsi="Foundry Form Sans"/>
        </w:rPr>
        <w:t>This section of the ITT summarises the delivery requirements for this project and the assumptions you should use for your bid.</w:t>
      </w:r>
    </w:p>
    <w:p w:rsidR="008A3E2D" w:rsidRDefault="00242FB4" w:rsidP="009F133B">
      <w:pPr>
        <w:pStyle w:val="BodyText"/>
        <w:numPr>
          <w:ilvl w:val="1"/>
          <w:numId w:val="42"/>
        </w:numPr>
        <w:spacing w:after="120" w:line="23" w:lineRule="atLeast"/>
        <w:ind w:left="284"/>
        <w:jc w:val="both"/>
        <w:rPr>
          <w:rFonts w:ascii="Foundry Form Sans" w:hAnsi="Foundry Form Sans" w:cs="Arial"/>
          <w:b/>
          <w:szCs w:val="24"/>
        </w:rPr>
      </w:pPr>
      <w:r w:rsidRPr="000353B5">
        <w:rPr>
          <w:rFonts w:ascii="Foundry Form Sans" w:hAnsi="Foundry Form Sans" w:cs="Arial"/>
          <w:b/>
          <w:szCs w:val="24"/>
        </w:rPr>
        <w:t>Delivery Partner Selection</w:t>
      </w:r>
    </w:p>
    <w:p w:rsidR="008A3E2D" w:rsidRPr="00503B0A" w:rsidRDefault="00242FB4" w:rsidP="009F133B">
      <w:pPr>
        <w:pStyle w:val="BodyText"/>
        <w:numPr>
          <w:ilvl w:val="2"/>
          <w:numId w:val="42"/>
        </w:numPr>
        <w:spacing w:after="120" w:line="23" w:lineRule="atLeast"/>
        <w:ind w:left="284"/>
        <w:jc w:val="both"/>
        <w:rPr>
          <w:rFonts w:ascii="Foundry Form Sans" w:hAnsi="Foundry Form Sans"/>
        </w:rPr>
      </w:pPr>
      <w:r w:rsidRPr="00503B0A">
        <w:rPr>
          <w:rFonts w:ascii="Foundry Form Sans" w:hAnsi="Foundry Form Sans"/>
        </w:rPr>
        <w:t>The Delivery Partner will be selected based upon the information provided with</w:t>
      </w:r>
      <w:r w:rsidR="00B412B0" w:rsidRPr="00503B0A">
        <w:rPr>
          <w:rFonts w:ascii="Foundry Form Sans" w:hAnsi="Foundry Form Sans"/>
        </w:rPr>
        <w:t>in</w:t>
      </w:r>
      <w:r w:rsidR="00502EB3" w:rsidRPr="00503B0A">
        <w:rPr>
          <w:rFonts w:ascii="Foundry Form Sans" w:hAnsi="Foundry Form Sans"/>
        </w:rPr>
        <w:t xml:space="preserve"> its</w:t>
      </w:r>
      <w:r w:rsidR="008A3E2D" w:rsidRPr="00503B0A">
        <w:rPr>
          <w:rFonts w:ascii="Foundry Form Sans" w:hAnsi="Foundry Form Sans"/>
        </w:rPr>
        <w:t xml:space="preserve"> </w:t>
      </w:r>
      <w:r w:rsidRPr="00503B0A">
        <w:rPr>
          <w:rFonts w:ascii="Foundry Form Sans" w:hAnsi="Foundry Form Sans"/>
        </w:rPr>
        <w:t>tender</w:t>
      </w:r>
      <w:r w:rsidR="00502EB3" w:rsidRPr="00503B0A">
        <w:rPr>
          <w:rFonts w:ascii="Foundry Form Sans" w:hAnsi="Foundry Form Sans"/>
        </w:rPr>
        <w:t xml:space="preserve"> only</w:t>
      </w:r>
      <w:r w:rsidRPr="00503B0A">
        <w:rPr>
          <w:rFonts w:ascii="Foundry Form Sans" w:hAnsi="Foundry Form Sans"/>
        </w:rPr>
        <w:t xml:space="preserve">.  Bids will be evaluated in accordance with the evaluation </w:t>
      </w:r>
      <w:r w:rsidR="00F87C27" w:rsidRPr="00503B0A">
        <w:rPr>
          <w:rFonts w:ascii="Foundry Form Sans" w:hAnsi="Foundry Form Sans"/>
        </w:rPr>
        <w:t>criteria</w:t>
      </w:r>
      <w:r w:rsidR="00597C24" w:rsidRPr="00503B0A">
        <w:rPr>
          <w:rFonts w:ascii="Foundry Form Sans" w:hAnsi="Foundry Form Sans"/>
        </w:rPr>
        <w:t xml:space="preserve"> and methodology set out</w:t>
      </w:r>
      <w:r w:rsidR="00F87C27" w:rsidRPr="00503B0A">
        <w:rPr>
          <w:rFonts w:ascii="Foundry Form Sans" w:hAnsi="Foundry Form Sans"/>
        </w:rPr>
        <w:t xml:space="preserve"> </w:t>
      </w:r>
      <w:r w:rsidRPr="00503B0A">
        <w:rPr>
          <w:rFonts w:ascii="Foundry Form Sans" w:hAnsi="Foundry Form Sans"/>
        </w:rPr>
        <w:t xml:space="preserve">in Section </w:t>
      </w:r>
      <w:r w:rsidR="00597C24" w:rsidRPr="00503B0A">
        <w:rPr>
          <w:rFonts w:ascii="Foundry Form Sans" w:hAnsi="Foundry Form Sans"/>
        </w:rPr>
        <w:t>7.</w:t>
      </w:r>
    </w:p>
    <w:p w:rsidR="00D6562C" w:rsidRPr="00503B0A" w:rsidRDefault="00242FB4" w:rsidP="009F133B">
      <w:pPr>
        <w:pStyle w:val="BodyText"/>
        <w:numPr>
          <w:ilvl w:val="2"/>
          <w:numId w:val="42"/>
        </w:numPr>
        <w:spacing w:after="120" w:line="23" w:lineRule="atLeast"/>
        <w:ind w:left="284"/>
        <w:jc w:val="both"/>
        <w:rPr>
          <w:rFonts w:ascii="Foundry Form Sans" w:hAnsi="Foundry Form Sans"/>
        </w:rPr>
      </w:pPr>
      <w:r w:rsidRPr="00503B0A">
        <w:rPr>
          <w:rFonts w:ascii="Foundry Form Sans" w:hAnsi="Foundry Form Sans"/>
        </w:rPr>
        <w:t xml:space="preserve">It is essential that the </w:t>
      </w:r>
      <w:r w:rsidR="00300BFA" w:rsidRPr="00503B0A">
        <w:rPr>
          <w:rFonts w:ascii="Foundry Form Sans" w:hAnsi="Foundry Form Sans"/>
        </w:rPr>
        <w:t>Bidder</w:t>
      </w:r>
      <w:r w:rsidRPr="00503B0A">
        <w:rPr>
          <w:rFonts w:ascii="Foundry Form Sans" w:hAnsi="Foundry Form Sans"/>
        </w:rPr>
        <w:t xml:space="preserve"> provides a submission that is set out in the clear distinct sections that address each of the following information needs.  It is a requirement of this Tender process that the submissions comply with the limits</w:t>
      </w:r>
      <w:r w:rsidR="00162033" w:rsidRPr="00503B0A">
        <w:rPr>
          <w:rFonts w:ascii="Foundry Form Sans" w:hAnsi="Foundry Form Sans"/>
        </w:rPr>
        <w:t xml:space="preserve"> and document sizes specified. </w:t>
      </w:r>
      <w:r w:rsidRPr="00503B0A">
        <w:rPr>
          <w:rFonts w:ascii="Foundry Form Sans" w:hAnsi="Foundry Form Sans"/>
        </w:rPr>
        <w:t>Failure to do either of these may result in a tender being disqualified from the assessment process.</w:t>
      </w:r>
    </w:p>
    <w:p w:rsidR="00242FB4" w:rsidRPr="00503B0A" w:rsidRDefault="00242FB4" w:rsidP="009F133B">
      <w:pPr>
        <w:pStyle w:val="BodyText"/>
        <w:numPr>
          <w:ilvl w:val="2"/>
          <w:numId w:val="42"/>
        </w:numPr>
        <w:spacing w:after="120" w:line="23" w:lineRule="atLeast"/>
        <w:ind w:left="284"/>
        <w:jc w:val="both"/>
        <w:rPr>
          <w:rFonts w:ascii="Foundry Form Sans" w:hAnsi="Foundry Form Sans"/>
        </w:rPr>
      </w:pPr>
      <w:r w:rsidRPr="00503B0A">
        <w:rPr>
          <w:rFonts w:ascii="Foundry Form Sans" w:hAnsi="Foundry Form Sans"/>
        </w:rPr>
        <w:t>Any additional text over and above the define</w:t>
      </w:r>
      <w:r w:rsidR="00162033" w:rsidRPr="00503B0A">
        <w:rPr>
          <w:rFonts w:ascii="Foundry Form Sans" w:hAnsi="Foundry Form Sans"/>
        </w:rPr>
        <w:t xml:space="preserve">d page limits will be ignored. </w:t>
      </w:r>
      <w:r w:rsidRPr="00503B0A">
        <w:rPr>
          <w:rFonts w:ascii="Foundry Form Sans" w:hAnsi="Foundry Form Sans"/>
        </w:rPr>
        <w:t>The overall quality of your submission, based on the use of plain concise English, clarity of diagrams, legibility, ease of reference, structure, layout and clarity of communication can impact positively on scores achieved. The submission must be set out in A4 format</w:t>
      </w:r>
      <w:r w:rsidR="003F1376" w:rsidRPr="00503B0A">
        <w:rPr>
          <w:rFonts w:ascii="Foundry Form Sans" w:hAnsi="Foundry Form Sans"/>
        </w:rPr>
        <w:t xml:space="preserve"> </w:t>
      </w:r>
      <w:r w:rsidR="00F47BD6" w:rsidRPr="00503B0A">
        <w:rPr>
          <w:rFonts w:ascii="Foundry Form Sans" w:hAnsi="Foundry Form Sans"/>
        </w:rPr>
        <w:t>(unless otherwise stated)</w:t>
      </w:r>
      <w:r w:rsidR="00522F98" w:rsidRPr="00503B0A">
        <w:rPr>
          <w:rFonts w:ascii="Foundry Form Sans" w:hAnsi="Foundry Form Sans"/>
        </w:rPr>
        <w:t xml:space="preserve"> </w:t>
      </w:r>
      <w:r w:rsidR="00F47BD6" w:rsidRPr="00503B0A">
        <w:rPr>
          <w:rFonts w:ascii="Foundry Form Sans" w:hAnsi="Foundry Form Sans"/>
        </w:rPr>
        <w:t>i</w:t>
      </w:r>
      <w:r w:rsidR="003F1376" w:rsidRPr="00503B0A">
        <w:rPr>
          <w:rFonts w:ascii="Foundry Form Sans" w:hAnsi="Foundry Form Sans"/>
        </w:rPr>
        <w:t>n font size 11, no less than single spaced</w:t>
      </w:r>
      <w:r w:rsidRPr="00503B0A">
        <w:rPr>
          <w:rFonts w:ascii="Foundry Form Sans" w:hAnsi="Foundry Form Sans"/>
        </w:rPr>
        <w:t xml:space="preserve"> and structured as set out below:</w:t>
      </w:r>
    </w:p>
    <w:tbl>
      <w:tblPr>
        <w:tblW w:w="6580" w:type="dxa"/>
        <w:tblInd w:w="936" w:type="dxa"/>
        <w:tblLook w:val="00A0" w:firstRow="1" w:lastRow="0" w:firstColumn="1" w:lastColumn="0" w:noHBand="0" w:noVBand="0"/>
      </w:tblPr>
      <w:tblGrid>
        <w:gridCol w:w="761"/>
        <w:gridCol w:w="2363"/>
        <w:gridCol w:w="1952"/>
        <w:gridCol w:w="1504"/>
      </w:tblGrid>
      <w:tr w:rsidR="00242FB4" w:rsidRPr="00EF1871">
        <w:trPr>
          <w:cantSplit/>
          <w:trHeight w:val="630"/>
        </w:trPr>
        <w:tc>
          <w:tcPr>
            <w:tcW w:w="761" w:type="dxa"/>
            <w:vMerge w:val="restart"/>
            <w:tcBorders>
              <w:top w:val="single" w:sz="8" w:space="0" w:color="auto"/>
              <w:left w:val="single" w:sz="8" w:space="0" w:color="auto"/>
              <w:bottom w:val="single" w:sz="8" w:space="0" w:color="000000"/>
              <w:right w:val="single" w:sz="8" w:space="0" w:color="auto"/>
            </w:tcBorders>
            <w:shd w:val="clear" w:color="000000" w:fill="FFCC00"/>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r w:rsidRPr="00EF1871">
              <w:rPr>
                <w:rFonts w:ascii="Foundry Form Sans" w:hAnsi="Foundry Form Sans" w:cs="Arial"/>
                <w:b/>
                <w:bCs/>
                <w:color w:val="000000"/>
                <w:sz w:val="21"/>
                <w:szCs w:val="21"/>
              </w:rPr>
              <w:t> </w:t>
            </w:r>
          </w:p>
        </w:tc>
        <w:tc>
          <w:tcPr>
            <w:tcW w:w="2363" w:type="dxa"/>
            <w:vMerge w:val="restart"/>
            <w:tcBorders>
              <w:top w:val="single" w:sz="8" w:space="0" w:color="auto"/>
              <w:left w:val="single" w:sz="8" w:space="0" w:color="auto"/>
              <w:bottom w:val="single" w:sz="8" w:space="0" w:color="000000"/>
              <w:right w:val="single" w:sz="8" w:space="0" w:color="auto"/>
            </w:tcBorders>
            <w:shd w:val="clear" w:color="000000" w:fill="FFCC00"/>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r w:rsidRPr="00EF1871">
              <w:rPr>
                <w:rFonts w:ascii="Foundry Form Sans" w:hAnsi="Foundry Form Sans" w:cs="Arial"/>
                <w:b/>
                <w:bCs/>
                <w:color w:val="000000"/>
                <w:sz w:val="21"/>
                <w:szCs w:val="21"/>
              </w:rPr>
              <w:t>Evaluation Factor</w:t>
            </w:r>
          </w:p>
        </w:tc>
        <w:tc>
          <w:tcPr>
            <w:tcW w:w="1952" w:type="dxa"/>
            <w:vMerge w:val="restart"/>
            <w:tcBorders>
              <w:top w:val="single" w:sz="8" w:space="0" w:color="auto"/>
              <w:left w:val="single" w:sz="8" w:space="0" w:color="auto"/>
              <w:bottom w:val="single" w:sz="8" w:space="0" w:color="000000"/>
              <w:right w:val="single" w:sz="8" w:space="0" w:color="auto"/>
            </w:tcBorders>
            <w:shd w:val="clear" w:color="000000" w:fill="FFCC00"/>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r w:rsidRPr="00EF1871">
              <w:rPr>
                <w:rFonts w:ascii="Foundry Form Sans" w:hAnsi="Foundry Form Sans" w:cs="Arial"/>
                <w:b/>
                <w:bCs/>
                <w:color w:val="000000"/>
                <w:sz w:val="21"/>
                <w:szCs w:val="21"/>
              </w:rPr>
              <w:t>Section</w:t>
            </w:r>
          </w:p>
        </w:tc>
        <w:tc>
          <w:tcPr>
            <w:tcW w:w="1504" w:type="dxa"/>
            <w:vMerge w:val="restart"/>
            <w:tcBorders>
              <w:top w:val="single" w:sz="8" w:space="0" w:color="auto"/>
              <w:left w:val="single" w:sz="8" w:space="0" w:color="auto"/>
              <w:bottom w:val="single" w:sz="8" w:space="0" w:color="000000"/>
              <w:right w:val="single" w:sz="8" w:space="0" w:color="auto"/>
            </w:tcBorders>
            <w:shd w:val="clear" w:color="000000" w:fill="FFCC00"/>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r w:rsidRPr="00EF1871">
              <w:rPr>
                <w:rFonts w:ascii="Foundry Form Sans" w:hAnsi="Foundry Form Sans" w:cs="Arial"/>
                <w:b/>
                <w:bCs/>
                <w:color w:val="000000"/>
                <w:sz w:val="21"/>
                <w:szCs w:val="21"/>
              </w:rPr>
              <w:t>Page Limit</w:t>
            </w:r>
          </w:p>
        </w:tc>
      </w:tr>
      <w:tr w:rsidR="00242FB4" w:rsidRPr="00EF1871" w:rsidTr="00EF1871">
        <w:trPr>
          <w:trHeight w:val="389"/>
        </w:trPr>
        <w:tc>
          <w:tcPr>
            <w:tcW w:w="761" w:type="dxa"/>
            <w:vMerge/>
            <w:tcBorders>
              <w:top w:val="single" w:sz="8" w:space="0" w:color="auto"/>
              <w:left w:val="single" w:sz="8" w:space="0" w:color="auto"/>
              <w:bottom w:val="single" w:sz="8" w:space="0" w:color="000000"/>
              <w:right w:val="single" w:sz="8" w:space="0" w:color="auto"/>
            </w:tcBorders>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p>
        </w:tc>
        <w:tc>
          <w:tcPr>
            <w:tcW w:w="2363" w:type="dxa"/>
            <w:vMerge/>
            <w:tcBorders>
              <w:top w:val="single" w:sz="8" w:space="0" w:color="auto"/>
              <w:left w:val="single" w:sz="8" w:space="0" w:color="auto"/>
              <w:bottom w:val="single" w:sz="8" w:space="0" w:color="000000"/>
              <w:right w:val="single" w:sz="8" w:space="0" w:color="auto"/>
            </w:tcBorders>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p>
        </w:tc>
        <w:tc>
          <w:tcPr>
            <w:tcW w:w="1952" w:type="dxa"/>
            <w:vMerge/>
            <w:tcBorders>
              <w:top w:val="single" w:sz="8" w:space="0" w:color="auto"/>
              <w:left w:val="single" w:sz="8" w:space="0" w:color="auto"/>
              <w:bottom w:val="single" w:sz="8" w:space="0" w:color="000000"/>
              <w:right w:val="single" w:sz="8" w:space="0" w:color="auto"/>
            </w:tcBorders>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p>
        </w:tc>
        <w:tc>
          <w:tcPr>
            <w:tcW w:w="1504" w:type="dxa"/>
            <w:vMerge/>
            <w:tcBorders>
              <w:top w:val="single" w:sz="8" w:space="0" w:color="auto"/>
              <w:left w:val="single" w:sz="8" w:space="0" w:color="auto"/>
              <w:bottom w:val="single" w:sz="8" w:space="0" w:color="000000"/>
              <w:right w:val="single" w:sz="8" w:space="0" w:color="auto"/>
            </w:tcBorders>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p>
        </w:tc>
      </w:tr>
      <w:tr w:rsidR="00242FB4" w:rsidRPr="00EF1871">
        <w:trPr>
          <w:trHeight w:val="735"/>
        </w:trPr>
        <w:tc>
          <w:tcPr>
            <w:tcW w:w="761" w:type="dxa"/>
            <w:tcBorders>
              <w:top w:val="nil"/>
              <w:left w:val="single" w:sz="8" w:space="0" w:color="auto"/>
              <w:bottom w:val="nil"/>
              <w:right w:val="single" w:sz="8" w:space="0" w:color="auto"/>
            </w:tcBorders>
            <w:shd w:val="clear" w:color="000000" w:fill="FFFF99"/>
            <w:vAlign w:val="center"/>
          </w:tcPr>
          <w:p w:rsidR="00242FB4" w:rsidRPr="00EF1871" w:rsidRDefault="00242FB4" w:rsidP="009F133B">
            <w:pPr>
              <w:spacing w:after="120" w:line="23" w:lineRule="atLeast"/>
              <w:ind w:left="284"/>
              <w:jc w:val="both"/>
              <w:rPr>
                <w:rFonts w:ascii="Foundry Form Sans" w:hAnsi="Foundry Form Sans"/>
                <w:b/>
                <w:bCs/>
                <w:color w:val="000000"/>
                <w:sz w:val="21"/>
                <w:szCs w:val="21"/>
              </w:rPr>
            </w:pPr>
            <w:r w:rsidRPr="00EF1871">
              <w:rPr>
                <w:rFonts w:ascii="Foundry Form Sans" w:hAnsi="Foundry Form Sans" w:cs="Arial"/>
                <w:b/>
                <w:bCs/>
                <w:color w:val="000000"/>
                <w:sz w:val="21"/>
                <w:szCs w:val="21"/>
              </w:rPr>
              <w:t> A</w:t>
            </w:r>
          </w:p>
        </w:tc>
        <w:tc>
          <w:tcPr>
            <w:tcW w:w="2363" w:type="dxa"/>
            <w:tcBorders>
              <w:top w:val="nil"/>
              <w:left w:val="nil"/>
              <w:bottom w:val="nil"/>
              <w:right w:val="single" w:sz="8" w:space="0" w:color="auto"/>
            </w:tcBorders>
            <w:shd w:val="clear" w:color="000000" w:fill="FFFF99"/>
            <w:vAlign w:val="center"/>
          </w:tcPr>
          <w:p w:rsidR="00242FB4" w:rsidRPr="00EF1871" w:rsidRDefault="00242FB4" w:rsidP="009F133B">
            <w:pPr>
              <w:spacing w:after="120" w:line="23" w:lineRule="atLeast"/>
              <w:ind w:left="284"/>
              <w:jc w:val="both"/>
              <w:rPr>
                <w:color w:val="000000"/>
                <w:sz w:val="21"/>
                <w:szCs w:val="21"/>
              </w:rPr>
            </w:pPr>
            <w:r w:rsidRPr="00EF1871">
              <w:rPr>
                <w:color w:val="000000"/>
                <w:sz w:val="21"/>
                <w:szCs w:val="21"/>
              </w:rPr>
              <w:t> </w:t>
            </w:r>
            <w:r w:rsidR="008157E7" w:rsidRPr="00EF1871">
              <w:rPr>
                <w:rFonts w:ascii="Foundry Form Sans" w:hAnsi="Foundry Form Sans"/>
                <w:color w:val="000000"/>
                <w:sz w:val="21"/>
                <w:szCs w:val="21"/>
              </w:rPr>
              <w:t>Quality</w:t>
            </w:r>
          </w:p>
        </w:tc>
        <w:tc>
          <w:tcPr>
            <w:tcW w:w="1952" w:type="dxa"/>
            <w:tcBorders>
              <w:top w:val="nil"/>
              <w:left w:val="nil"/>
              <w:bottom w:val="single" w:sz="8" w:space="0" w:color="auto"/>
              <w:right w:val="nil"/>
            </w:tcBorders>
            <w:shd w:val="clear" w:color="000000" w:fill="FFFF99"/>
            <w:vAlign w:val="center"/>
          </w:tcPr>
          <w:p w:rsidR="00242FB4"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A.1 </w:t>
            </w:r>
            <w:r w:rsidR="0000042B" w:rsidRPr="00EF1871">
              <w:rPr>
                <w:rFonts w:ascii="Foundry Form Sans" w:hAnsi="Foundry Form Sans"/>
                <w:color w:val="000000"/>
                <w:sz w:val="21"/>
                <w:szCs w:val="21"/>
              </w:rPr>
              <w:t xml:space="preserve">Project Team Approach /Project Management  </w:t>
            </w:r>
          </w:p>
        </w:tc>
        <w:tc>
          <w:tcPr>
            <w:tcW w:w="1504" w:type="dxa"/>
            <w:tcBorders>
              <w:top w:val="single" w:sz="8" w:space="0" w:color="auto"/>
              <w:left w:val="single" w:sz="8" w:space="0" w:color="auto"/>
              <w:bottom w:val="single" w:sz="8" w:space="0" w:color="auto"/>
              <w:right w:val="single" w:sz="8" w:space="0" w:color="auto"/>
            </w:tcBorders>
            <w:shd w:val="clear" w:color="000000" w:fill="FFFF99"/>
            <w:vAlign w:val="center"/>
          </w:tcPr>
          <w:p w:rsidR="00242FB4" w:rsidRPr="00EF1871" w:rsidRDefault="007D7DDA" w:rsidP="009F133B">
            <w:pPr>
              <w:spacing w:after="120" w:line="23" w:lineRule="atLeast"/>
              <w:ind w:left="284"/>
              <w:jc w:val="both"/>
              <w:rPr>
                <w:rFonts w:ascii="Foundry Form Sans" w:hAnsi="Foundry Form Sans"/>
                <w:color w:val="000000"/>
                <w:sz w:val="21"/>
                <w:szCs w:val="21"/>
              </w:rPr>
            </w:pPr>
            <w:r>
              <w:rPr>
                <w:rFonts w:ascii="Foundry Form Sans" w:hAnsi="Foundry Form Sans" w:cs="Arial"/>
                <w:color w:val="000000"/>
                <w:sz w:val="21"/>
                <w:szCs w:val="21"/>
              </w:rPr>
              <w:t>3</w:t>
            </w:r>
            <w:r w:rsidR="00242FB4" w:rsidRPr="00EF1871">
              <w:rPr>
                <w:rFonts w:ascii="Foundry Form Sans" w:hAnsi="Foundry Form Sans" w:cs="Arial"/>
                <w:color w:val="000000"/>
                <w:sz w:val="21"/>
                <w:szCs w:val="21"/>
              </w:rPr>
              <w:t xml:space="preserve"> sides of A4</w:t>
            </w:r>
          </w:p>
        </w:tc>
      </w:tr>
      <w:tr w:rsidR="00242FB4" w:rsidRPr="00EF1871" w:rsidTr="00BF62C2">
        <w:trPr>
          <w:trHeight w:val="390"/>
        </w:trPr>
        <w:tc>
          <w:tcPr>
            <w:tcW w:w="761" w:type="dxa"/>
            <w:tcBorders>
              <w:top w:val="nil"/>
              <w:left w:val="single" w:sz="8" w:space="0" w:color="auto"/>
              <w:bottom w:val="nil"/>
              <w:right w:val="single" w:sz="8" w:space="0" w:color="auto"/>
            </w:tcBorders>
            <w:shd w:val="clear" w:color="000000" w:fill="FFFF99"/>
            <w:vAlign w:val="center"/>
          </w:tcPr>
          <w:p w:rsidR="00242FB4" w:rsidRPr="00EF1871" w:rsidRDefault="00242FB4" w:rsidP="009F133B">
            <w:pPr>
              <w:spacing w:after="120" w:line="23" w:lineRule="atLeast"/>
              <w:ind w:left="284"/>
              <w:jc w:val="both"/>
              <w:rPr>
                <w:color w:val="000000"/>
                <w:sz w:val="21"/>
                <w:szCs w:val="21"/>
              </w:rPr>
            </w:pPr>
            <w:r w:rsidRPr="00EF1871">
              <w:rPr>
                <w:color w:val="000000"/>
                <w:sz w:val="21"/>
                <w:szCs w:val="21"/>
              </w:rPr>
              <w:t> </w:t>
            </w:r>
          </w:p>
        </w:tc>
        <w:tc>
          <w:tcPr>
            <w:tcW w:w="2363" w:type="dxa"/>
            <w:tcBorders>
              <w:top w:val="nil"/>
              <w:left w:val="nil"/>
              <w:bottom w:val="nil"/>
              <w:right w:val="single" w:sz="8" w:space="0" w:color="auto"/>
            </w:tcBorders>
            <w:shd w:val="clear" w:color="000000" w:fill="FFFF99"/>
            <w:vAlign w:val="center"/>
          </w:tcPr>
          <w:p w:rsidR="00242FB4" w:rsidRPr="00EF1871" w:rsidRDefault="00242FB4" w:rsidP="009F133B">
            <w:pPr>
              <w:spacing w:after="120" w:line="23" w:lineRule="atLeast"/>
              <w:ind w:left="284"/>
              <w:jc w:val="both"/>
              <w:rPr>
                <w:rFonts w:ascii="Foundry Form Sans" w:hAnsi="Foundry Form Sans"/>
                <w:color w:val="000000"/>
                <w:sz w:val="21"/>
                <w:szCs w:val="21"/>
              </w:rPr>
            </w:pPr>
            <w:r w:rsidRPr="00EF1871">
              <w:rPr>
                <w:rFonts w:ascii="Foundry Form Sans" w:hAnsi="Foundry Form Sans"/>
                <w:color w:val="000000"/>
                <w:sz w:val="21"/>
                <w:szCs w:val="21"/>
              </w:rPr>
              <w:t> </w:t>
            </w:r>
          </w:p>
        </w:tc>
        <w:tc>
          <w:tcPr>
            <w:tcW w:w="1952" w:type="dxa"/>
            <w:tcBorders>
              <w:top w:val="nil"/>
              <w:left w:val="nil"/>
              <w:bottom w:val="single" w:sz="8" w:space="0" w:color="auto"/>
              <w:right w:val="nil"/>
            </w:tcBorders>
            <w:shd w:val="clear" w:color="000000" w:fill="FFFF99"/>
            <w:vAlign w:val="center"/>
          </w:tcPr>
          <w:p w:rsidR="00242FB4"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A.2 </w:t>
            </w:r>
            <w:r w:rsidR="00A82C01" w:rsidRPr="00EF1871">
              <w:rPr>
                <w:rFonts w:ascii="Foundry Form Sans" w:hAnsi="Foundry Form Sans"/>
                <w:color w:val="000000"/>
                <w:sz w:val="21"/>
                <w:szCs w:val="21"/>
              </w:rPr>
              <w:t>Scheme Proposal and Design Approach</w:t>
            </w:r>
            <w:r w:rsidR="00985AE5">
              <w:rPr>
                <w:rFonts w:ascii="Foundry Form Sans" w:hAnsi="Foundry Form Sans"/>
                <w:color w:val="000000"/>
                <w:sz w:val="21"/>
                <w:szCs w:val="21"/>
              </w:rPr>
              <w:t xml:space="preserve"> inc. landscaped area</w:t>
            </w:r>
            <w:r w:rsidR="00E772EB">
              <w:rPr>
                <w:rFonts w:ascii="Foundry Form Sans" w:hAnsi="Foundry Form Sans"/>
                <w:color w:val="000000"/>
                <w:sz w:val="21"/>
                <w:szCs w:val="21"/>
              </w:rPr>
              <w:t>s</w:t>
            </w:r>
          </w:p>
        </w:tc>
        <w:tc>
          <w:tcPr>
            <w:tcW w:w="1504" w:type="dxa"/>
            <w:tcBorders>
              <w:top w:val="nil"/>
              <w:left w:val="single" w:sz="8" w:space="0" w:color="auto"/>
              <w:bottom w:val="single" w:sz="8" w:space="0" w:color="auto"/>
              <w:right w:val="single" w:sz="8" w:space="0" w:color="auto"/>
            </w:tcBorders>
            <w:shd w:val="clear" w:color="000000" w:fill="FFFF99"/>
            <w:vAlign w:val="center"/>
          </w:tcPr>
          <w:p w:rsidR="00242FB4" w:rsidRPr="00EF1871" w:rsidRDefault="00985AE5" w:rsidP="009F133B">
            <w:pPr>
              <w:spacing w:after="120" w:line="23" w:lineRule="atLeast"/>
              <w:ind w:left="284"/>
              <w:jc w:val="both"/>
              <w:rPr>
                <w:rFonts w:ascii="Foundry Form Sans" w:hAnsi="Foundry Form Sans"/>
                <w:color w:val="000000"/>
                <w:sz w:val="21"/>
                <w:szCs w:val="21"/>
              </w:rPr>
            </w:pPr>
            <w:r>
              <w:rPr>
                <w:rFonts w:ascii="Foundry Form Sans" w:hAnsi="Foundry Form Sans" w:cs="Arial"/>
                <w:color w:val="000000"/>
                <w:sz w:val="21"/>
                <w:szCs w:val="21"/>
              </w:rPr>
              <w:t>7</w:t>
            </w:r>
            <w:r w:rsidR="00242FB4" w:rsidRPr="00EF1871">
              <w:rPr>
                <w:rFonts w:ascii="Foundry Form Sans" w:hAnsi="Foundry Form Sans" w:cs="Arial"/>
                <w:color w:val="000000"/>
                <w:sz w:val="21"/>
                <w:szCs w:val="21"/>
              </w:rPr>
              <w:t xml:space="preserve"> sides of A4</w:t>
            </w:r>
            <w:r w:rsidR="00F47BD6">
              <w:rPr>
                <w:rFonts w:ascii="Foundry Form Sans" w:hAnsi="Foundry Form Sans" w:cs="Arial"/>
                <w:color w:val="000000"/>
                <w:sz w:val="21"/>
                <w:szCs w:val="21"/>
              </w:rPr>
              <w:t xml:space="preserve"> </w:t>
            </w:r>
            <w:r w:rsidR="00F47BD6" w:rsidRPr="00D525ED">
              <w:rPr>
                <w:rFonts w:ascii="Foundry Form Sans" w:hAnsi="Foundry Form Sans" w:cs="Arial"/>
                <w:color w:val="000000"/>
                <w:sz w:val="21"/>
                <w:szCs w:val="21"/>
              </w:rPr>
              <w:t>(</w:t>
            </w:r>
            <w:r w:rsidR="00424EE2">
              <w:rPr>
                <w:rFonts w:ascii="Foundry Form Sans" w:hAnsi="Foundry Form Sans" w:cs="Arial"/>
                <w:color w:val="000000"/>
                <w:sz w:val="21"/>
                <w:szCs w:val="21"/>
              </w:rPr>
              <w:t>plus</w:t>
            </w:r>
            <w:r w:rsidR="00F47BD6" w:rsidRPr="002A6358">
              <w:rPr>
                <w:rFonts w:ascii="Foundry Form Sans" w:hAnsi="Foundry Form Sans" w:cs="Arial"/>
                <w:sz w:val="21"/>
                <w:szCs w:val="21"/>
                <w:u w:val="single"/>
              </w:rPr>
              <w:t xml:space="preserve"> minimum </w:t>
            </w:r>
            <w:r>
              <w:rPr>
                <w:rFonts w:ascii="Foundry Form Sans" w:hAnsi="Foundry Form Sans" w:cs="Arial"/>
                <w:sz w:val="21"/>
                <w:szCs w:val="21"/>
                <w:u w:val="single"/>
              </w:rPr>
              <w:t>3</w:t>
            </w:r>
            <w:r w:rsidR="00F47BD6" w:rsidRPr="002A6358">
              <w:rPr>
                <w:rFonts w:ascii="Foundry Form Sans" w:hAnsi="Foundry Form Sans" w:cs="Arial"/>
                <w:sz w:val="21"/>
                <w:szCs w:val="21"/>
                <w:u w:val="single"/>
              </w:rPr>
              <w:t>no. A3 drawings)</w:t>
            </w:r>
          </w:p>
        </w:tc>
      </w:tr>
      <w:tr w:rsidR="00112DFF" w:rsidRPr="00EF1871" w:rsidTr="00BF62C2">
        <w:trPr>
          <w:trHeight w:val="428"/>
        </w:trPr>
        <w:tc>
          <w:tcPr>
            <w:tcW w:w="761" w:type="dxa"/>
            <w:vMerge w:val="restart"/>
            <w:tcBorders>
              <w:top w:val="nil"/>
              <w:left w:val="single" w:sz="8" w:space="0" w:color="auto"/>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tc>
        <w:tc>
          <w:tcPr>
            <w:tcW w:w="2363" w:type="dxa"/>
            <w:vMerge w:val="restart"/>
            <w:tcBorders>
              <w:top w:val="nil"/>
              <w:left w:val="nil"/>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p w:rsidR="00112DFF" w:rsidRPr="00EF1871" w:rsidRDefault="00112DFF"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tc>
        <w:tc>
          <w:tcPr>
            <w:tcW w:w="1952" w:type="dxa"/>
            <w:tcBorders>
              <w:top w:val="nil"/>
              <w:left w:val="nil"/>
              <w:bottom w:val="single" w:sz="8" w:space="0" w:color="auto"/>
              <w:right w:val="nil"/>
            </w:tcBorders>
            <w:shd w:val="clear" w:color="000000" w:fill="FFFF99"/>
            <w:vAlign w:val="center"/>
          </w:tcPr>
          <w:p w:rsidR="00112DFF"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A</w:t>
            </w:r>
            <w:r w:rsidR="00E772EB">
              <w:rPr>
                <w:rFonts w:ascii="Foundry Form Sans" w:hAnsi="Foundry Form Sans"/>
                <w:color w:val="000000"/>
                <w:sz w:val="21"/>
                <w:szCs w:val="21"/>
              </w:rPr>
              <w:t>.</w:t>
            </w:r>
            <w:r>
              <w:rPr>
                <w:rFonts w:ascii="Foundry Form Sans" w:hAnsi="Foundry Form Sans"/>
                <w:color w:val="000000"/>
                <w:sz w:val="21"/>
                <w:szCs w:val="21"/>
              </w:rPr>
              <w:t xml:space="preserve">3 </w:t>
            </w:r>
            <w:r w:rsidR="00112DFF" w:rsidRPr="00EF1871">
              <w:rPr>
                <w:rFonts w:ascii="Foundry Form Sans" w:hAnsi="Foundry Form Sans"/>
                <w:color w:val="000000"/>
                <w:sz w:val="21"/>
                <w:szCs w:val="21"/>
              </w:rPr>
              <w:t>Approach to Gaining Planning Permission</w:t>
            </w:r>
          </w:p>
        </w:tc>
        <w:tc>
          <w:tcPr>
            <w:tcW w:w="1504" w:type="dxa"/>
            <w:tcBorders>
              <w:top w:val="single" w:sz="8" w:space="0" w:color="auto"/>
              <w:left w:val="single" w:sz="8" w:space="0" w:color="auto"/>
              <w:bottom w:val="single" w:sz="4" w:space="0" w:color="auto"/>
              <w:right w:val="single" w:sz="8" w:space="0" w:color="auto"/>
            </w:tcBorders>
            <w:shd w:val="clear" w:color="000000" w:fill="FFFF99"/>
            <w:vAlign w:val="center"/>
          </w:tcPr>
          <w:p w:rsidR="00112DFF" w:rsidRPr="00EF1871" w:rsidRDefault="007D7DDA"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112DFF" w:rsidRPr="00EF1871">
              <w:rPr>
                <w:rFonts w:ascii="Foundry Form Sans" w:hAnsi="Foundry Form Sans"/>
                <w:color w:val="000000"/>
                <w:sz w:val="21"/>
                <w:szCs w:val="21"/>
              </w:rPr>
              <w:t xml:space="preserve"> sides of A4</w:t>
            </w:r>
          </w:p>
        </w:tc>
      </w:tr>
      <w:tr w:rsidR="00112DFF" w:rsidRPr="00EF1871" w:rsidTr="00FB4D30">
        <w:trPr>
          <w:trHeight w:val="427"/>
        </w:trPr>
        <w:tc>
          <w:tcPr>
            <w:tcW w:w="761" w:type="dxa"/>
            <w:vMerge/>
            <w:tcBorders>
              <w:left w:val="single" w:sz="8" w:space="0" w:color="auto"/>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2363" w:type="dxa"/>
            <w:vMerge/>
            <w:tcBorders>
              <w:left w:val="nil"/>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1952" w:type="dxa"/>
            <w:tcBorders>
              <w:top w:val="nil"/>
              <w:left w:val="nil"/>
              <w:bottom w:val="single" w:sz="8" w:space="0" w:color="auto"/>
              <w:right w:val="nil"/>
            </w:tcBorders>
            <w:shd w:val="clear" w:color="000000" w:fill="FFFF99"/>
            <w:vAlign w:val="center"/>
          </w:tcPr>
          <w:p w:rsidR="00112DFF"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A.4 </w:t>
            </w:r>
            <w:r w:rsidR="00112DFF" w:rsidRPr="00EF1871">
              <w:rPr>
                <w:rFonts w:ascii="Foundry Form Sans" w:hAnsi="Foundry Form Sans"/>
                <w:color w:val="000000"/>
                <w:sz w:val="21"/>
                <w:szCs w:val="21"/>
              </w:rPr>
              <w:t>Construction Strategy</w:t>
            </w:r>
          </w:p>
        </w:tc>
        <w:tc>
          <w:tcPr>
            <w:tcW w:w="1504" w:type="dxa"/>
            <w:tcBorders>
              <w:top w:val="single" w:sz="4" w:space="0" w:color="auto"/>
              <w:left w:val="single" w:sz="8" w:space="0" w:color="auto"/>
              <w:bottom w:val="single" w:sz="8" w:space="0" w:color="auto"/>
              <w:right w:val="single" w:sz="8" w:space="0" w:color="auto"/>
            </w:tcBorders>
            <w:shd w:val="clear" w:color="000000" w:fill="FFFF99"/>
            <w:vAlign w:val="center"/>
          </w:tcPr>
          <w:p w:rsidR="00112DFF" w:rsidRPr="00EF1871" w:rsidRDefault="00D76539"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112DFF" w:rsidRPr="00EF1871">
              <w:rPr>
                <w:rFonts w:ascii="Foundry Form Sans" w:hAnsi="Foundry Form Sans"/>
                <w:color w:val="000000"/>
                <w:sz w:val="21"/>
                <w:szCs w:val="21"/>
              </w:rPr>
              <w:t xml:space="preserve"> sides of A4</w:t>
            </w:r>
          </w:p>
        </w:tc>
      </w:tr>
      <w:tr w:rsidR="00112DFF" w:rsidRPr="00EF1871" w:rsidTr="00FB4D30">
        <w:trPr>
          <w:trHeight w:val="660"/>
        </w:trPr>
        <w:tc>
          <w:tcPr>
            <w:tcW w:w="761" w:type="dxa"/>
            <w:vMerge/>
            <w:tcBorders>
              <w:left w:val="single" w:sz="8" w:space="0" w:color="auto"/>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2363" w:type="dxa"/>
            <w:vMerge/>
            <w:tcBorders>
              <w:left w:val="nil"/>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Foundry Form Sans" w:hAnsi="Foundry Form Sans"/>
                <w:color w:val="000000"/>
                <w:sz w:val="21"/>
                <w:szCs w:val="21"/>
              </w:rPr>
            </w:pPr>
          </w:p>
        </w:tc>
        <w:tc>
          <w:tcPr>
            <w:tcW w:w="1952" w:type="dxa"/>
            <w:tcBorders>
              <w:top w:val="nil"/>
              <w:left w:val="nil"/>
              <w:bottom w:val="single" w:sz="8" w:space="0" w:color="auto"/>
              <w:right w:val="nil"/>
            </w:tcBorders>
            <w:shd w:val="clear" w:color="000000" w:fill="FFFF99"/>
            <w:vAlign w:val="center"/>
          </w:tcPr>
          <w:p w:rsidR="00112DFF"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A.5 </w:t>
            </w:r>
            <w:r w:rsidR="00112DFF" w:rsidRPr="00EF1871">
              <w:rPr>
                <w:rFonts w:ascii="Foundry Form Sans" w:hAnsi="Foundry Form Sans"/>
                <w:color w:val="000000"/>
                <w:sz w:val="21"/>
                <w:szCs w:val="21"/>
              </w:rPr>
              <w:t>Long</w:t>
            </w:r>
            <w:r w:rsidR="00616BFA">
              <w:rPr>
                <w:rFonts w:ascii="Foundry Form Sans" w:hAnsi="Foundry Form Sans"/>
                <w:color w:val="000000"/>
                <w:sz w:val="21"/>
                <w:szCs w:val="21"/>
              </w:rPr>
              <w:t xml:space="preserve"> </w:t>
            </w:r>
            <w:r w:rsidR="00112DFF" w:rsidRPr="00EF1871">
              <w:rPr>
                <w:rFonts w:ascii="Foundry Form Sans" w:hAnsi="Foundry Form Sans"/>
                <w:color w:val="000000"/>
                <w:sz w:val="21"/>
                <w:szCs w:val="21"/>
              </w:rPr>
              <w:t>Term Management Proposal</w:t>
            </w:r>
          </w:p>
        </w:tc>
        <w:tc>
          <w:tcPr>
            <w:tcW w:w="1504" w:type="dxa"/>
            <w:tcBorders>
              <w:top w:val="nil"/>
              <w:left w:val="single" w:sz="8" w:space="0" w:color="auto"/>
              <w:bottom w:val="single" w:sz="8" w:space="0" w:color="auto"/>
              <w:right w:val="single" w:sz="8" w:space="0" w:color="auto"/>
            </w:tcBorders>
            <w:shd w:val="clear" w:color="000000" w:fill="FFFF99"/>
            <w:vAlign w:val="center"/>
          </w:tcPr>
          <w:p w:rsidR="00112DFF" w:rsidRPr="00EF1871" w:rsidRDefault="007D7DDA"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112DFF" w:rsidRPr="00EF1871">
              <w:rPr>
                <w:rFonts w:ascii="Foundry Form Sans" w:hAnsi="Foundry Form Sans"/>
                <w:color w:val="000000"/>
                <w:sz w:val="21"/>
                <w:szCs w:val="21"/>
              </w:rPr>
              <w:t xml:space="preserve"> sides of A4</w:t>
            </w:r>
          </w:p>
        </w:tc>
      </w:tr>
      <w:tr w:rsidR="00112DFF" w:rsidRPr="00EF1871" w:rsidTr="00FB4D30">
        <w:trPr>
          <w:trHeight w:val="690"/>
        </w:trPr>
        <w:tc>
          <w:tcPr>
            <w:tcW w:w="761" w:type="dxa"/>
            <w:vMerge/>
            <w:tcBorders>
              <w:left w:val="single" w:sz="8" w:space="0" w:color="auto"/>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2363" w:type="dxa"/>
            <w:vMerge/>
            <w:tcBorders>
              <w:left w:val="nil"/>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1952" w:type="dxa"/>
            <w:tcBorders>
              <w:top w:val="nil"/>
              <w:left w:val="nil"/>
              <w:bottom w:val="single" w:sz="8" w:space="0" w:color="auto"/>
              <w:right w:val="nil"/>
            </w:tcBorders>
            <w:shd w:val="clear" w:color="000000" w:fill="FFFF99"/>
            <w:vAlign w:val="center"/>
          </w:tcPr>
          <w:p w:rsidR="00112DFF"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A.6 </w:t>
            </w:r>
            <w:r w:rsidR="00112DFF" w:rsidRPr="00EF1871">
              <w:rPr>
                <w:rFonts w:ascii="Foundry Form Sans" w:hAnsi="Foundry Form Sans"/>
                <w:color w:val="000000"/>
                <w:sz w:val="21"/>
                <w:szCs w:val="21"/>
              </w:rPr>
              <w:t xml:space="preserve">Project Risk </w:t>
            </w:r>
            <w:r w:rsidR="00204132">
              <w:rPr>
                <w:rFonts w:ascii="Foundry Form Sans" w:hAnsi="Foundry Form Sans"/>
                <w:color w:val="000000"/>
                <w:sz w:val="21"/>
                <w:szCs w:val="21"/>
              </w:rPr>
              <w:t>M</w:t>
            </w:r>
            <w:r w:rsidR="00112DFF" w:rsidRPr="00EF1871">
              <w:rPr>
                <w:rFonts w:ascii="Foundry Form Sans" w:hAnsi="Foundry Form Sans"/>
                <w:color w:val="000000"/>
                <w:sz w:val="21"/>
                <w:szCs w:val="21"/>
              </w:rPr>
              <w:t>anagement</w:t>
            </w:r>
          </w:p>
        </w:tc>
        <w:tc>
          <w:tcPr>
            <w:tcW w:w="1504" w:type="dxa"/>
            <w:tcBorders>
              <w:top w:val="nil"/>
              <w:left w:val="single" w:sz="8" w:space="0" w:color="auto"/>
              <w:bottom w:val="single" w:sz="8" w:space="0" w:color="auto"/>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Foundry Form Sans" w:hAnsi="Foundry Form Sans"/>
                <w:color w:val="000000"/>
                <w:sz w:val="21"/>
                <w:szCs w:val="21"/>
              </w:rPr>
            </w:pPr>
            <w:r w:rsidRPr="00EF1871">
              <w:rPr>
                <w:rFonts w:ascii="Foundry Form Sans" w:hAnsi="Foundry Form Sans"/>
                <w:color w:val="000000"/>
                <w:sz w:val="21"/>
                <w:szCs w:val="21"/>
              </w:rPr>
              <w:t>2 sides of A4</w:t>
            </w:r>
          </w:p>
        </w:tc>
      </w:tr>
      <w:tr w:rsidR="00112DFF" w:rsidRPr="00EF1871" w:rsidTr="00FB4D30">
        <w:trPr>
          <w:trHeight w:val="390"/>
        </w:trPr>
        <w:tc>
          <w:tcPr>
            <w:tcW w:w="761" w:type="dxa"/>
            <w:vMerge/>
            <w:tcBorders>
              <w:left w:val="single" w:sz="8" w:space="0" w:color="auto"/>
              <w:bottom w:val="single" w:sz="8" w:space="0" w:color="000000"/>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2363" w:type="dxa"/>
            <w:vMerge/>
            <w:tcBorders>
              <w:left w:val="nil"/>
              <w:bottom w:val="single" w:sz="8" w:space="0" w:color="000000"/>
              <w:right w:val="single" w:sz="8" w:space="0" w:color="auto"/>
            </w:tcBorders>
            <w:shd w:val="clear" w:color="000000" w:fill="FFFF99"/>
            <w:vAlign w:val="center"/>
          </w:tcPr>
          <w:p w:rsidR="00112DFF" w:rsidRPr="00EF1871" w:rsidRDefault="00112DFF" w:rsidP="009F133B">
            <w:pPr>
              <w:spacing w:after="120" w:line="23" w:lineRule="atLeast"/>
              <w:ind w:left="284"/>
              <w:jc w:val="both"/>
              <w:rPr>
                <w:rFonts w:ascii="Calibri" w:hAnsi="Calibri"/>
                <w:color w:val="000000"/>
                <w:sz w:val="21"/>
                <w:szCs w:val="21"/>
              </w:rPr>
            </w:pPr>
          </w:p>
        </w:tc>
        <w:tc>
          <w:tcPr>
            <w:tcW w:w="1952" w:type="dxa"/>
            <w:tcBorders>
              <w:top w:val="nil"/>
              <w:left w:val="nil"/>
              <w:bottom w:val="single" w:sz="8" w:space="0" w:color="auto"/>
              <w:right w:val="nil"/>
            </w:tcBorders>
            <w:shd w:val="clear" w:color="000000" w:fill="FFFF99"/>
            <w:vAlign w:val="center"/>
          </w:tcPr>
          <w:p w:rsidR="00112DFF"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A.7 </w:t>
            </w:r>
            <w:r w:rsidR="00112DFF" w:rsidRPr="00EF1871">
              <w:rPr>
                <w:rFonts w:ascii="Foundry Form Sans" w:hAnsi="Foundry Form Sans"/>
                <w:color w:val="000000"/>
                <w:sz w:val="21"/>
                <w:szCs w:val="21"/>
              </w:rPr>
              <w:t>Programme</w:t>
            </w:r>
          </w:p>
        </w:tc>
        <w:tc>
          <w:tcPr>
            <w:tcW w:w="1504" w:type="dxa"/>
            <w:tcBorders>
              <w:top w:val="nil"/>
              <w:left w:val="single" w:sz="8" w:space="0" w:color="auto"/>
              <w:bottom w:val="single" w:sz="8" w:space="0" w:color="auto"/>
              <w:right w:val="single" w:sz="8" w:space="0" w:color="auto"/>
            </w:tcBorders>
            <w:shd w:val="clear" w:color="000000" w:fill="FFFF99"/>
            <w:vAlign w:val="center"/>
          </w:tcPr>
          <w:p w:rsidR="00112DFF" w:rsidRPr="00EF1871" w:rsidRDefault="00052B7D"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A77166">
              <w:rPr>
                <w:rFonts w:ascii="Foundry Form Sans" w:hAnsi="Foundry Form Sans"/>
                <w:color w:val="000000"/>
                <w:sz w:val="21"/>
                <w:szCs w:val="21"/>
              </w:rPr>
              <w:t xml:space="preserve"> </w:t>
            </w:r>
            <w:r w:rsidR="00112DFF" w:rsidRPr="00EF1871">
              <w:rPr>
                <w:rFonts w:ascii="Foundry Form Sans" w:hAnsi="Foundry Form Sans"/>
                <w:color w:val="000000"/>
                <w:sz w:val="21"/>
                <w:szCs w:val="21"/>
              </w:rPr>
              <w:t xml:space="preserve">sides </w:t>
            </w:r>
            <w:r>
              <w:rPr>
                <w:rFonts w:ascii="Foundry Form Sans" w:hAnsi="Foundry Form Sans"/>
                <w:color w:val="000000"/>
                <w:sz w:val="21"/>
                <w:szCs w:val="21"/>
              </w:rPr>
              <w:t>(may be A3)</w:t>
            </w:r>
          </w:p>
        </w:tc>
      </w:tr>
      <w:tr w:rsidR="005D6312" w:rsidRPr="00EF1871" w:rsidTr="00BF62C2">
        <w:trPr>
          <w:trHeight w:val="345"/>
        </w:trPr>
        <w:tc>
          <w:tcPr>
            <w:tcW w:w="761" w:type="dxa"/>
            <w:tcBorders>
              <w:top w:val="nil"/>
              <w:left w:val="single" w:sz="8" w:space="0" w:color="auto"/>
              <w:bottom w:val="nil"/>
              <w:right w:val="single" w:sz="8" w:space="0" w:color="auto"/>
            </w:tcBorders>
            <w:shd w:val="clear" w:color="000000" w:fill="FFFF99"/>
            <w:vAlign w:val="center"/>
          </w:tcPr>
          <w:p w:rsidR="005D6312" w:rsidRPr="00EF1871" w:rsidRDefault="005D6312" w:rsidP="009F133B">
            <w:pPr>
              <w:spacing w:after="120" w:line="23" w:lineRule="atLeast"/>
              <w:ind w:left="284"/>
              <w:jc w:val="both"/>
              <w:rPr>
                <w:rFonts w:ascii="Foundry Form Sans" w:hAnsi="Foundry Form Sans"/>
                <w:color w:val="000000"/>
                <w:sz w:val="21"/>
                <w:szCs w:val="21"/>
              </w:rPr>
            </w:pPr>
            <w:r w:rsidRPr="00EF1871">
              <w:rPr>
                <w:rFonts w:ascii="Foundry Form Sans" w:hAnsi="Foundry Form Sans"/>
                <w:color w:val="000000"/>
                <w:sz w:val="21"/>
                <w:szCs w:val="21"/>
              </w:rPr>
              <w:t> </w:t>
            </w:r>
            <w:r w:rsidRPr="00EF1871">
              <w:rPr>
                <w:rFonts w:ascii="Foundry Form Sans" w:hAnsi="Foundry Form Sans"/>
                <w:b/>
                <w:bCs/>
                <w:color w:val="000000"/>
                <w:sz w:val="21"/>
                <w:szCs w:val="21"/>
              </w:rPr>
              <w:t>B</w:t>
            </w:r>
          </w:p>
        </w:tc>
        <w:tc>
          <w:tcPr>
            <w:tcW w:w="2363" w:type="dxa"/>
            <w:tcBorders>
              <w:top w:val="nil"/>
              <w:left w:val="nil"/>
              <w:bottom w:val="nil"/>
              <w:right w:val="single" w:sz="8" w:space="0" w:color="auto"/>
            </w:tcBorders>
            <w:shd w:val="clear" w:color="000000" w:fill="FFFF99"/>
            <w:vAlign w:val="center"/>
          </w:tcPr>
          <w:p w:rsidR="005D6312" w:rsidRPr="00EF1871" w:rsidRDefault="005D6312" w:rsidP="009F133B">
            <w:pPr>
              <w:spacing w:after="120" w:line="23" w:lineRule="atLeast"/>
              <w:ind w:left="284"/>
              <w:jc w:val="both"/>
              <w:rPr>
                <w:rFonts w:ascii="Calibri" w:hAnsi="Calibri"/>
                <w:color w:val="000000"/>
                <w:sz w:val="21"/>
                <w:szCs w:val="21"/>
              </w:rPr>
            </w:pPr>
            <w:r w:rsidRPr="00EF1871">
              <w:rPr>
                <w:rFonts w:ascii="Foundry Form Sans" w:hAnsi="Foundry Form Sans"/>
                <w:color w:val="000000"/>
                <w:sz w:val="21"/>
                <w:szCs w:val="21"/>
              </w:rPr>
              <w:t>Commercial</w:t>
            </w:r>
          </w:p>
        </w:tc>
        <w:tc>
          <w:tcPr>
            <w:tcW w:w="1952" w:type="dxa"/>
            <w:tcBorders>
              <w:top w:val="nil"/>
              <w:left w:val="nil"/>
              <w:bottom w:val="single" w:sz="8" w:space="0" w:color="auto"/>
              <w:right w:val="single" w:sz="8" w:space="0" w:color="auto"/>
            </w:tcBorders>
            <w:shd w:val="clear" w:color="000000" w:fill="FFFF99"/>
            <w:vAlign w:val="center"/>
          </w:tcPr>
          <w:p w:rsidR="005D6312" w:rsidRPr="00EF1871" w:rsidRDefault="00597C24"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B.1 </w:t>
            </w:r>
            <w:r w:rsidR="00EF1871" w:rsidRPr="00EF1871">
              <w:rPr>
                <w:rFonts w:ascii="Foundry Form Sans" w:hAnsi="Foundry Form Sans"/>
                <w:color w:val="000000"/>
                <w:sz w:val="21"/>
                <w:szCs w:val="21"/>
              </w:rPr>
              <w:t xml:space="preserve">Sales, </w:t>
            </w:r>
            <w:r w:rsidR="00544D13" w:rsidRPr="00EF1871">
              <w:rPr>
                <w:rFonts w:ascii="Foundry Form Sans" w:hAnsi="Foundry Form Sans"/>
                <w:color w:val="000000"/>
                <w:sz w:val="21"/>
                <w:szCs w:val="21"/>
              </w:rPr>
              <w:t xml:space="preserve">Marketing and Letting Strategy </w:t>
            </w:r>
          </w:p>
        </w:tc>
        <w:tc>
          <w:tcPr>
            <w:tcW w:w="1504" w:type="dxa"/>
            <w:tcBorders>
              <w:top w:val="single" w:sz="8" w:space="0" w:color="auto"/>
              <w:left w:val="single" w:sz="8" w:space="0" w:color="auto"/>
              <w:bottom w:val="single" w:sz="4" w:space="0" w:color="auto"/>
              <w:right w:val="single" w:sz="8" w:space="0" w:color="auto"/>
            </w:tcBorders>
            <w:shd w:val="clear" w:color="000000" w:fill="FFFF99"/>
            <w:vAlign w:val="center"/>
          </w:tcPr>
          <w:p w:rsidR="005D6312" w:rsidRPr="00EF1871" w:rsidRDefault="00356A65"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5D6312" w:rsidRPr="00EF1871">
              <w:rPr>
                <w:rFonts w:ascii="Foundry Form Sans" w:hAnsi="Foundry Form Sans"/>
                <w:color w:val="000000"/>
                <w:sz w:val="21"/>
                <w:szCs w:val="21"/>
              </w:rPr>
              <w:t xml:space="preserve"> sides of A4</w:t>
            </w:r>
          </w:p>
        </w:tc>
      </w:tr>
      <w:tr w:rsidR="005D6312" w:rsidRPr="00EF1871" w:rsidTr="009F133B">
        <w:trPr>
          <w:trHeight w:val="375"/>
        </w:trPr>
        <w:tc>
          <w:tcPr>
            <w:tcW w:w="761" w:type="dxa"/>
            <w:tcBorders>
              <w:top w:val="nil"/>
              <w:left w:val="single" w:sz="8" w:space="0" w:color="auto"/>
              <w:bottom w:val="single" w:sz="8" w:space="0" w:color="auto"/>
              <w:right w:val="single" w:sz="8" w:space="0" w:color="auto"/>
            </w:tcBorders>
            <w:shd w:val="clear" w:color="000000" w:fill="FFFF99"/>
            <w:vAlign w:val="center"/>
          </w:tcPr>
          <w:p w:rsidR="005D6312" w:rsidRPr="00EF1871" w:rsidRDefault="005D6312"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tc>
        <w:tc>
          <w:tcPr>
            <w:tcW w:w="2363" w:type="dxa"/>
            <w:tcBorders>
              <w:top w:val="nil"/>
              <w:left w:val="nil"/>
              <w:bottom w:val="single" w:sz="8" w:space="0" w:color="auto"/>
              <w:right w:val="single" w:sz="8" w:space="0" w:color="auto"/>
            </w:tcBorders>
            <w:shd w:val="clear" w:color="000000" w:fill="FFFF99"/>
            <w:vAlign w:val="center"/>
          </w:tcPr>
          <w:p w:rsidR="005D6312" w:rsidRPr="00EF1871" w:rsidRDefault="005D6312" w:rsidP="009F133B">
            <w:pPr>
              <w:spacing w:after="120" w:line="23" w:lineRule="atLeast"/>
              <w:ind w:left="284"/>
              <w:jc w:val="both"/>
              <w:rPr>
                <w:rFonts w:ascii="Calibri" w:hAnsi="Calibri"/>
                <w:color w:val="000000"/>
                <w:sz w:val="21"/>
                <w:szCs w:val="21"/>
              </w:rPr>
            </w:pPr>
            <w:r w:rsidRPr="00EF1871">
              <w:rPr>
                <w:rFonts w:ascii="Calibri" w:hAnsi="Calibri"/>
                <w:color w:val="000000"/>
                <w:sz w:val="21"/>
                <w:szCs w:val="21"/>
              </w:rPr>
              <w:t> </w:t>
            </w:r>
          </w:p>
        </w:tc>
        <w:tc>
          <w:tcPr>
            <w:tcW w:w="1952" w:type="dxa"/>
            <w:tcBorders>
              <w:top w:val="nil"/>
              <w:left w:val="nil"/>
              <w:bottom w:val="single" w:sz="4" w:space="0" w:color="auto"/>
              <w:right w:val="single" w:sz="8" w:space="0" w:color="auto"/>
            </w:tcBorders>
            <w:shd w:val="clear" w:color="000000" w:fill="FFFF99"/>
            <w:vAlign w:val="center"/>
          </w:tcPr>
          <w:p w:rsidR="005D6312" w:rsidRPr="00EF1871" w:rsidRDefault="00597C24" w:rsidP="009F133B">
            <w:pPr>
              <w:spacing w:after="120" w:line="23" w:lineRule="atLeast"/>
              <w:ind w:left="284"/>
              <w:jc w:val="both"/>
              <w:rPr>
                <w:rFonts w:ascii="Foundry Form Sans" w:hAnsi="Foundry Form Sans" w:cs="Arial"/>
                <w:color w:val="000000"/>
                <w:sz w:val="21"/>
                <w:szCs w:val="21"/>
              </w:rPr>
            </w:pPr>
            <w:r>
              <w:rPr>
                <w:rFonts w:ascii="Foundry Form Sans" w:hAnsi="Foundry Form Sans" w:cs="Arial"/>
                <w:color w:val="000000"/>
                <w:sz w:val="21"/>
                <w:szCs w:val="21"/>
              </w:rPr>
              <w:t xml:space="preserve">B.2 </w:t>
            </w:r>
            <w:r w:rsidR="000357F7" w:rsidRPr="00EF1871">
              <w:rPr>
                <w:rFonts w:ascii="Foundry Form Sans" w:hAnsi="Foundry Form Sans" w:cs="Arial"/>
                <w:color w:val="000000"/>
                <w:sz w:val="21"/>
                <w:szCs w:val="21"/>
              </w:rPr>
              <w:t>Approach to Securing Funding</w:t>
            </w:r>
          </w:p>
        </w:tc>
        <w:tc>
          <w:tcPr>
            <w:tcW w:w="1504" w:type="dxa"/>
            <w:tcBorders>
              <w:top w:val="single" w:sz="4" w:space="0" w:color="auto"/>
              <w:left w:val="single" w:sz="8" w:space="0" w:color="auto"/>
              <w:bottom w:val="single" w:sz="4" w:space="0" w:color="auto"/>
              <w:right w:val="single" w:sz="8" w:space="0" w:color="auto"/>
            </w:tcBorders>
            <w:shd w:val="clear" w:color="000000" w:fill="FFFF99"/>
            <w:vAlign w:val="center"/>
          </w:tcPr>
          <w:p w:rsidR="005D6312" w:rsidRPr="00EF1871" w:rsidRDefault="00356A65"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2</w:t>
            </w:r>
            <w:r w:rsidR="00BF62C2" w:rsidRPr="00EF1871">
              <w:rPr>
                <w:rFonts w:ascii="Foundry Form Sans" w:hAnsi="Foundry Form Sans"/>
                <w:color w:val="000000"/>
                <w:sz w:val="21"/>
                <w:szCs w:val="21"/>
              </w:rPr>
              <w:t xml:space="preserve"> sides of A4</w:t>
            </w:r>
          </w:p>
        </w:tc>
      </w:tr>
      <w:tr w:rsidR="00242FB4" w:rsidRPr="00EF1871" w:rsidTr="009F133B">
        <w:trPr>
          <w:trHeight w:val="435"/>
        </w:trPr>
        <w:tc>
          <w:tcPr>
            <w:tcW w:w="761" w:type="dxa"/>
            <w:tcBorders>
              <w:top w:val="single" w:sz="8" w:space="0" w:color="auto"/>
              <w:left w:val="single" w:sz="8" w:space="0" w:color="auto"/>
              <w:bottom w:val="single" w:sz="8" w:space="0" w:color="auto"/>
              <w:right w:val="single" w:sz="8" w:space="0" w:color="auto"/>
            </w:tcBorders>
            <w:shd w:val="clear" w:color="000000" w:fill="FFFF99"/>
            <w:vAlign w:val="center"/>
          </w:tcPr>
          <w:p w:rsidR="00242FB4" w:rsidRPr="00EF1871" w:rsidRDefault="00B41779" w:rsidP="009F133B">
            <w:pPr>
              <w:spacing w:after="120" w:line="23" w:lineRule="atLeast"/>
              <w:ind w:left="284"/>
              <w:jc w:val="both"/>
              <w:rPr>
                <w:color w:val="000000"/>
                <w:sz w:val="21"/>
                <w:szCs w:val="21"/>
              </w:rPr>
            </w:pPr>
            <w:r w:rsidRPr="00EF1871">
              <w:rPr>
                <w:rFonts w:ascii="Foundry Form Sans" w:hAnsi="Foundry Form Sans"/>
                <w:color w:val="000000"/>
                <w:sz w:val="21"/>
                <w:szCs w:val="21"/>
              </w:rPr>
              <w:lastRenderedPageBreak/>
              <w:t> </w:t>
            </w:r>
            <w:r w:rsidRPr="00EF1871">
              <w:rPr>
                <w:rFonts w:ascii="Foundry Form Sans" w:hAnsi="Foundry Form Sans"/>
                <w:b/>
                <w:bCs/>
                <w:color w:val="000000"/>
                <w:sz w:val="21"/>
                <w:szCs w:val="21"/>
              </w:rPr>
              <w:t>C</w:t>
            </w:r>
          </w:p>
        </w:tc>
        <w:tc>
          <w:tcPr>
            <w:tcW w:w="2363" w:type="dxa"/>
            <w:tcBorders>
              <w:top w:val="single" w:sz="8" w:space="0" w:color="auto"/>
              <w:left w:val="nil"/>
              <w:bottom w:val="single" w:sz="8" w:space="0" w:color="auto"/>
              <w:right w:val="single" w:sz="8" w:space="0" w:color="auto"/>
            </w:tcBorders>
            <w:shd w:val="clear" w:color="000000" w:fill="FFFF99"/>
            <w:vAlign w:val="center"/>
          </w:tcPr>
          <w:p w:rsidR="00242FB4" w:rsidRPr="00EF1871" w:rsidRDefault="00B41779" w:rsidP="009F133B">
            <w:pPr>
              <w:spacing w:after="120" w:line="23" w:lineRule="atLeast"/>
              <w:ind w:left="284"/>
              <w:jc w:val="both"/>
              <w:rPr>
                <w:rFonts w:ascii="Foundry Form Sans" w:hAnsi="Foundry Form Sans"/>
                <w:color w:val="000000"/>
                <w:sz w:val="21"/>
                <w:szCs w:val="21"/>
              </w:rPr>
            </w:pPr>
            <w:r w:rsidRPr="00EF1871">
              <w:rPr>
                <w:rFonts w:ascii="Foundry Form Sans" w:hAnsi="Foundry Form Sans"/>
                <w:color w:val="000000"/>
                <w:sz w:val="21"/>
                <w:szCs w:val="21"/>
              </w:rPr>
              <w:t>Financial</w:t>
            </w:r>
          </w:p>
        </w:tc>
        <w:tc>
          <w:tcPr>
            <w:tcW w:w="1952" w:type="dxa"/>
            <w:tcBorders>
              <w:top w:val="single" w:sz="4" w:space="0" w:color="auto"/>
              <w:left w:val="nil"/>
              <w:bottom w:val="single" w:sz="8" w:space="0" w:color="auto"/>
              <w:right w:val="single" w:sz="8" w:space="0" w:color="auto"/>
            </w:tcBorders>
            <w:shd w:val="clear" w:color="000000" w:fill="FFFF99"/>
            <w:vAlign w:val="center"/>
          </w:tcPr>
          <w:p w:rsidR="00242FB4" w:rsidRDefault="008B6ECE"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 xml:space="preserve">C.1 </w:t>
            </w:r>
            <w:r w:rsidR="00A520E6" w:rsidRPr="00EF1871">
              <w:rPr>
                <w:rFonts w:ascii="Foundry Form Sans" w:hAnsi="Foundry Form Sans"/>
                <w:color w:val="000000"/>
                <w:sz w:val="21"/>
                <w:szCs w:val="21"/>
              </w:rPr>
              <w:t>Land Value</w:t>
            </w:r>
          </w:p>
          <w:p w:rsidR="008B6ECE" w:rsidRPr="00EF1871" w:rsidRDefault="008B6ECE" w:rsidP="009F133B">
            <w:pPr>
              <w:spacing w:after="120" w:line="23" w:lineRule="atLeast"/>
              <w:ind w:left="284"/>
              <w:jc w:val="both"/>
              <w:rPr>
                <w:rFonts w:ascii="Foundry Form Sans" w:hAnsi="Foundry Form Sans"/>
                <w:color w:val="000000"/>
                <w:sz w:val="21"/>
                <w:szCs w:val="21"/>
              </w:rPr>
            </w:pPr>
            <w:r>
              <w:rPr>
                <w:rFonts w:ascii="Foundry Form Sans" w:hAnsi="Foundry Form Sans"/>
                <w:color w:val="000000"/>
                <w:sz w:val="21"/>
                <w:szCs w:val="21"/>
              </w:rPr>
              <w:t>C.2 Overage</w:t>
            </w:r>
          </w:p>
        </w:tc>
        <w:tc>
          <w:tcPr>
            <w:tcW w:w="1504" w:type="dxa"/>
            <w:tcBorders>
              <w:top w:val="single" w:sz="4" w:space="0" w:color="auto"/>
              <w:left w:val="single" w:sz="8" w:space="0" w:color="auto"/>
              <w:bottom w:val="single" w:sz="8" w:space="0" w:color="auto"/>
              <w:right w:val="single" w:sz="8" w:space="0" w:color="auto"/>
            </w:tcBorders>
            <w:shd w:val="clear" w:color="000000" w:fill="FFFF99"/>
            <w:vAlign w:val="center"/>
          </w:tcPr>
          <w:p w:rsidR="00242FB4" w:rsidRPr="00EF1871" w:rsidRDefault="00547787" w:rsidP="009F133B">
            <w:pPr>
              <w:spacing w:after="120" w:line="23" w:lineRule="atLeast"/>
              <w:ind w:left="284"/>
              <w:jc w:val="both"/>
              <w:rPr>
                <w:rFonts w:ascii="Foundry Form Sans" w:hAnsi="Foundry Form Sans"/>
                <w:color w:val="000000"/>
                <w:sz w:val="21"/>
                <w:szCs w:val="21"/>
              </w:rPr>
            </w:pPr>
            <w:r w:rsidRPr="00EF1871">
              <w:rPr>
                <w:rFonts w:ascii="Foundry Form Sans" w:hAnsi="Foundry Form Sans"/>
                <w:color w:val="000000"/>
                <w:sz w:val="21"/>
                <w:szCs w:val="21"/>
              </w:rPr>
              <w:t>n/a</w:t>
            </w:r>
          </w:p>
        </w:tc>
      </w:tr>
    </w:tbl>
    <w:p w:rsidR="00C8113E" w:rsidRDefault="00C8113E" w:rsidP="009F133B">
      <w:pPr>
        <w:pStyle w:val="BodyText"/>
        <w:spacing w:after="120" w:line="23" w:lineRule="atLeast"/>
        <w:ind w:left="284"/>
        <w:jc w:val="both"/>
        <w:rPr>
          <w:rFonts w:ascii="Foundry Form Sans" w:hAnsi="Foundry Form Sans"/>
          <w:b/>
        </w:rPr>
      </w:pPr>
    </w:p>
    <w:p w:rsidR="007476DE" w:rsidRDefault="00C8113E" w:rsidP="009F133B">
      <w:pPr>
        <w:pStyle w:val="BodyText"/>
        <w:numPr>
          <w:ilvl w:val="2"/>
          <w:numId w:val="42"/>
        </w:numPr>
        <w:spacing w:after="120" w:line="23" w:lineRule="atLeast"/>
        <w:ind w:left="284"/>
        <w:jc w:val="both"/>
        <w:rPr>
          <w:rFonts w:ascii="Foundry Form Sans" w:hAnsi="Foundry Form Sans"/>
        </w:rPr>
      </w:pPr>
      <w:r w:rsidRPr="00E1371A">
        <w:rPr>
          <w:rFonts w:ascii="Foundry Form Sans" w:hAnsi="Foundry Form Sans"/>
        </w:rPr>
        <w:t>Bidders must also respond</w:t>
      </w:r>
      <w:r>
        <w:rPr>
          <w:rFonts w:ascii="Foundry Form Sans" w:hAnsi="Foundry Form Sans"/>
        </w:rPr>
        <w:t xml:space="preserve"> to the questions in [9.8</w:t>
      </w:r>
      <w:r w:rsidR="0006028E">
        <w:rPr>
          <w:rFonts w:ascii="Foundry Form Sans" w:hAnsi="Foundry Form Sans"/>
        </w:rPr>
        <w:t>, 9.9</w:t>
      </w:r>
      <w:r>
        <w:rPr>
          <w:rFonts w:ascii="Foundry Form Sans" w:hAnsi="Foundry Form Sans"/>
        </w:rPr>
        <w:t xml:space="preserve"> and 9.</w:t>
      </w:r>
      <w:r w:rsidR="0006028E">
        <w:rPr>
          <w:rFonts w:ascii="Foundry Form Sans" w:hAnsi="Foundry Form Sans"/>
        </w:rPr>
        <w:t>11</w:t>
      </w:r>
      <w:r>
        <w:rPr>
          <w:rFonts w:ascii="Foundry Form Sans" w:hAnsi="Foundry Form Sans"/>
        </w:rPr>
        <w:t xml:space="preserve">] </w:t>
      </w:r>
      <w:r w:rsidR="0006028E">
        <w:rPr>
          <w:rFonts w:ascii="Foundry Form Sans" w:hAnsi="Foundry Form Sans"/>
        </w:rPr>
        <w:t>(</w:t>
      </w:r>
      <w:r>
        <w:rPr>
          <w:rFonts w:ascii="Foundry Form Sans" w:hAnsi="Foundry Form Sans"/>
        </w:rPr>
        <w:t>Mandatory Informatio</w:t>
      </w:r>
      <w:r w:rsidR="0006028E">
        <w:rPr>
          <w:rFonts w:ascii="Foundry Form Sans" w:hAnsi="Foundry Form Sans"/>
        </w:rPr>
        <w:t>n).</w:t>
      </w:r>
    </w:p>
    <w:p w:rsidR="007476DE" w:rsidRDefault="007476DE" w:rsidP="009F133B">
      <w:pPr>
        <w:pStyle w:val="BodyText"/>
        <w:spacing w:after="120" w:line="23" w:lineRule="atLeast"/>
        <w:ind w:left="284"/>
        <w:jc w:val="both"/>
        <w:rPr>
          <w:rFonts w:ascii="Foundry Form Sans" w:hAnsi="Foundry Form Sans"/>
        </w:rPr>
      </w:pPr>
    </w:p>
    <w:p w:rsidR="00996B03" w:rsidRPr="00E1371A" w:rsidRDefault="00095C64" w:rsidP="009F133B">
      <w:pPr>
        <w:pStyle w:val="BodyText"/>
        <w:numPr>
          <w:ilvl w:val="1"/>
          <w:numId w:val="42"/>
        </w:numPr>
        <w:spacing w:after="120" w:line="23" w:lineRule="atLeast"/>
        <w:ind w:left="284"/>
        <w:jc w:val="both"/>
        <w:rPr>
          <w:rFonts w:ascii="Foundry Form Sans" w:hAnsi="Foundry Form Sans"/>
        </w:rPr>
      </w:pPr>
      <w:r w:rsidRPr="007476DE">
        <w:rPr>
          <w:rFonts w:ascii="Foundry Form Sans" w:hAnsi="Foundry Form Sans"/>
          <w:b/>
        </w:rPr>
        <w:t>Submission Requirements</w:t>
      </w:r>
    </w:p>
    <w:p w:rsidR="00267697" w:rsidRDefault="007476DE"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B</w:t>
      </w:r>
      <w:r w:rsidRPr="00E1371A">
        <w:rPr>
          <w:rFonts w:ascii="Foundry Form Sans" w:hAnsi="Foundry Form Sans" w:cs="Arial"/>
        </w:rPr>
        <w:t xml:space="preserve">idders should note the </w:t>
      </w:r>
      <w:r>
        <w:rPr>
          <w:rFonts w:ascii="Foundry Form Sans" w:hAnsi="Foundry Form Sans" w:cs="Arial"/>
        </w:rPr>
        <w:t xml:space="preserve">below </w:t>
      </w:r>
      <w:r w:rsidRPr="00E1371A">
        <w:rPr>
          <w:rFonts w:ascii="Foundry Form Sans" w:hAnsi="Foundry Form Sans" w:cs="Arial"/>
        </w:rPr>
        <w:t xml:space="preserve">requirements </w:t>
      </w:r>
      <w:r>
        <w:rPr>
          <w:rFonts w:ascii="Foundry Form Sans" w:hAnsi="Foundry Form Sans" w:cs="Arial"/>
        </w:rPr>
        <w:t xml:space="preserve">and </w:t>
      </w:r>
      <w:r w:rsidRPr="00E1371A">
        <w:rPr>
          <w:rFonts w:ascii="Foundry Form Sans" w:hAnsi="Foundry Form Sans" w:cs="Arial"/>
        </w:rPr>
        <w:t xml:space="preserve">provide </w:t>
      </w:r>
      <w:r w:rsidR="00267697">
        <w:rPr>
          <w:rFonts w:ascii="Foundry Form Sans" w:hAnsi="Foundry Form Sans" w:cs="Arial"/>
        </w:rPr>
        <w:t>a</w:t>
      </w:r>
      <w:r w:rsidR="00267697" w:rsidRPr="00267697">
        <w:rPr>
          <w:rFonts w:ascii="Foundry Form Sans" w:hAnsi="Foundry Form Sans" w:cs="Arial"/>
        </w:rPr>
        <w:t xml:space="preserve"> written statement which backs up all assumptions. Where values are not sufficiently substantiated or deemed unrealistic, the GLA reserves the right to award zero marks for the question.</w:t>
      </w:r>
    </w:p>
    <w:p w:rsidR="006A2AD1" w:rsidRDefault="006A2AD1" w:rsidP="00446F42">
      <w:pPr>
        <w:pStyle w:val="ListParagraph"/>
        <w:widowControl w:val="0"/>
        <w:adjustRightInd w:val="0"/>
        <w:spacing w:before="120" w:after="120"/>
        <w:ind w:left="284"/>
        <w:jc w:val="both"/>
        <w:textAlignment w:val="baseline"/>
        <w:outlineLvl w:val="1"/>
        <w:rPr>
          <w:rFonts w:ascii="Foundry Form Sans" w:hAnsi="Foundry Form Sans" w:cs="Arial"/>
          <w:sz w:val="22"/>
        </w:rPr>
      </w:pPr>
    </w:p>
    <w:p w:rsidR="00834767" w:rsidRDefault="00095C64" w:rsidP="009F133B">
      <w:pPr>
        <w:pStyle w:val="BodyText"/>
        <w:spacing w:after="120" w:line="23" w:lineRule="atLeast"/>
        <w:jc w:val="both"/>
        <w:rPr>
          <w:rFonts w:ascii="Foundry Form Sans" w:hAnsi="Foundry Form Sans"/>
          <w:b/>
        </w:rPr>
      </w:pPr>
      <w:r w:rsidRPr="000353B5">
        <w:rPr>
          <w:rFonts w:ascii="Foundry Form Sans" w:hAnsi="Foundry Form Sans"/>
          <w:b/>
        </w:rPr>
        <w:t xml:space="preserve">Section </w:t>
      </w:r>
      <w:r w:rsidR="00242FB4" w:rsidRPr="000353B5">
        <w:rPr>
          <w:rFonts w:ascii="Foundry Form Sans" w:hAnsi="Foundry Form Sans"/>
          <w:b/>
        </w:rPr>
        <w:t>A - Q</w:t>
      </w:r>
      <w:r w:rsidR="00A77166">
        <w:rPr>
          <w:rFonts w:ascii="Foundry Form Sans" w:hAnsi="Foundry Form Sans"/>
          <w:b/>
        </w:rPr>
        <w:t xml:space="preserve">uality </w:t>
      </w:r>
      <w:r w:rsidR="00242FB4" w:rsidRPr="000353B5">
        <w:rPr>
          <w:rFonts w:ascii="Foundry Form Sans" w:hAnsi="Foundry Form Sans"/>
          <w:b/>
        </w:rPr>
        <w:t>Requirements</w:t>
      </w:r>
    </w:p>
    <w:p w:rsidR="007476DE" w:rsidRDefault="007476DE" w:rsidP="009F133B">
      <w:pPr>
        <w:pStyle w:val="BodyText"/>
        <w:numPr>
          <w:ilvl w:val="2"/>
          <w:numId w:val="42"/>
        </w:numPr>
        <w:spacing w:after="120" w:line="23" w:lineRule="atLeast"/>
        <w:ind w:left="284"/>
        <w:jc w:val="both"/>
        <w:rPr>
          <w:rFonts w:ascii="Foundry Form Sans" w:hAnsi="Foundry Form Sans" w:cs="Arial"/>
        </w:rPr>
      </w:pPr>
      <w:r w:rsidRPr="00E1371A">
        <w:rPr>
          <w:rFonts w:ascii="Foundry Form Sans" w:hAnsi="Foundry Form Sans" w:cs="Arial"/>
          <w:szCs w:val="24"/>
        </w:rPr>
        <w:t>The Quality section will test the Bidders tenders in relation to the project aims and objec</w:t>
      </w:r>
      <w:r w:rsidRPr="00F94A06">
        <w:rPr>
          <w:rFonts w:ascii="Foundry Form Sans" w:hAnsi="Foundry Form Sans" w:cs="Arial"/>
          <w:szCs w:val="24"/>
        </w:rPr>
        <w:t>tives as set out in section 2.</w:t>
      </w:r>
      <w:r w:rsidR="00E772EB">
        <w:rPr>
          <w:rFonts w:ascii="Foundry Form Sans" w:hAnsi="Foundry Form Sans" w:cs="Arial"/>
          <w:szCs w:val="24"/>
        </w:rPr>
        <w:t>4</w:t>
      </w:r>
      <w:r>
        <w:rPr>
          <w:rFonts w:ascii="Foundry Form Sans" w:hAnsi="Foundry Form Sans" w:cs="Arial"/>
          <w:szCs w:val="24"/>
        </w:rPr>
        <w:t>, submissions should be structured into the following sections.</w:t>
      </w:r>
    </w:p>
    <w:p w:rsidR="007476DE" w:rsidRPr="00E1371A" w:rsidRDefault="007476DE" w:rsidP="009F133B">
      <w:pPr>
        <w:pStyle w:val="Level2"/>
        <w:numPr>
          <w:ilvl w:val="0"/>
          <w:numId w:val="0"/>
        </w:numPr>
        <w:spacing w:before="120" w:after="120" w:line="23" w:lineRule="atLeast"/>
        <w:ind w:left="284"/>
        <w:jc w:val="both"/>
        <w:rPr>
          <w:rFonts w:ascii="Foundry Form Sans" w:hAnsi="Foundry Form Sans" w:cs="Arial"/>
          <w:sz w:val="22"/>
        </w:rPr>
      </w:pPr>
      <w:r w:rsidRPr="00E1371A">
        <w:rPr>
          <w:rFonts w:ascii="Foundry Form Sans" w:hAnsi="Foundry Form Sans" w:cs="Arial"/>
          <w:sz w:val="22"/>
          <w:szCs w:val="24"/>
        </w:rPr>
        <w:t xml:space="preserve"> </w:t>
      </w:r>
    </w:p>
    <w:p w:rsidR="00242FB4" w:rsidRPr="000353B5" w:rsidRDefault="00597C24" w:rsidP="009F133B">
      <w:pPr>
        <w:pStyle w:val="Level2"/>
        <w:numPr>
          <w:ilvl w:val="0"/>
          <w:numId w:val="0"/>
        </w:numPr>
        <w:spacing w:before="120" w:after="120" w:line="23" w:lineRule="atLeast"/>
        <w:ind w:left="284"/>
        <w:jc w:val="both"/>
        <w:rPr>
          <w:rFonts w:ascii="Foundry Form Sans" w:hAnsi="Foundry Form Sans" w:cs="Arial"/>
          <w:sz w:val="22"/>
          <w:szCs w:val="24"/>
          <w:u w:val="single"/>
        </w:rPr>
      </w:pPr>
      <w:r>
        <w:rPr>
          <w:rFonts w:ascii="Foundry Form Sans" w:hAnsi="Foundry Form Sans" w:cs="Arial"/>
          <w:sz w:val="22"/>
          <w:szCs w:val="24"/>
          <w:u w:val="single"/>
        </w:rPr>
        <w:t xml:space="preserve">A.1 Project </w:t>
      </w:r>
      <w:r w:rsidR="00242FB4" w:rsidRPr="000353B5">
        <w:rPr>
          <w:rFonts w:ascii="Foundry Form Sans" w:hAnsi="Foundry Form Sans" w:cs="Arial"/>
          <w:sz w:val="22"/>
          <w:szCs w:val="24"/>
          <w:u w:val="single"/>
        </w:rPr>
        <w:t>Team Approach</w:t>
      </w:r>
      <w:r>
        <w:rPr>
          <w:rFonts w:ascii="Foundry Form Sans" w:hAnsi="Foundry Form Sans" w:cs="Arial"/>
          <w:sz w:val="22"/>
          <w:szCs w:val="24"/>
          <w:u w:val="single"/>
        </w:rPr>
        <w:t>/Project Management</w:t>
      </w:r>
      <w:r w:rsidR="00242FB4" w:rsidRPr="000353B5">
        <w:rPr>
          <w:rFonts w:ascii="Foundry Form Sans" w:hAnsi="Foundry Form Sans" w:cs="Arial"/>
          <w:sz w:val="22"/>
          <w:szCs w:val="24"/>
          <w:u w:val="single"/>
        </w:rPr>
        <w:t xml:space="preserve"> – </w:t>
      </w:r>
      <w:r w:rsidR="00D11259" w:rsidRPr="000353B5">
        <w:rPr>
          <w:rFonts w:ascii="Foundry Form Sans" w:hAnsi="Foundry Form Sans" w:cs="Arial"/>
          <w:sz w:val="22"/>
          <w:szCs w:val="24"/>
          <w:u w:val="single"/>
        </w:rPr>
        <w:t xml:space="preserve">maximum </w:t>
      </w:r>
      <w:r w:rsidR="007D7DDA">
        <w:rPr>
          <w:rFonts w:ascii="Foundry Form Sans" w:hAnsi="Foundry Form Sans" w:cs="Arial"/>
          <w:sz w:val="22"/>
          <w:szCs w:val="24"/>
          <w:u w:val="single"/>
        </w:rPr>
        <w:t>3</w:t>
      </w:r>
      <w:r w:rsidR="00D11259" w:rsidRPr="000353B5">
        <w:rPr>
          <w:rFonts w:ascii="Foundry Form Sans" w:hAnsi="Foundry Form Sans" w:cs="Arial"/>
          <w:sz w:val="22"/>
          <w:szCs w:val="24"/>
          <w:u w:val="single"/>
        </w:rPr>
        <w:t>no.</w:t>
      </w:r>
      <w:r w:rsidR="00242FB4" w:rsidRPr="000353B5">
        <w:rPr>
          <w:rFonts w:ascii="Foundry Form Sans" w:hAnsi="Foundry Form Sans" w:cs="Arial"/>
          <w:sz w:val="22"/>
          <w:szCs w:val="24"/>
          <w:u w:val="single"/>
        </w:rPr>
        <w:t xml:space="preserve"> </w:t>
      </w:r>
      <w:r>
        <w:rPr>
          <w:rFonts w:ascii="Foundry Form Sans" w:hAnsi="Foundry Form Sans" w:cs="Arial"/>
          <w:sz w:val="22"/>
          <w:szCs w:val="24"/>
          <w:u w:val="single"/>
        </w:rPr>
        <w:t>s</w:t>
      </w:r>
      <w:r w:rsidR="00242FB4" w:rsidRPr="000353B5">
        <w:rPr>
          <w:rFonts w:ascii="Foundry Form Sans" w:hAnsi="Foundry Form Sans" w:cs="Arial"/>
          <w:sz w:val="22"/>
          <w:szCs w:val="24"/>
          <w:u w:val="single"/>
        </w:rPr>
        <w:t>ides A4</w:t>
      </w:r>
    </w:p>
    <w:p w:rsidR="00F51B25" w:rsidRDefault="00DA2708"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Please </w:t>
      </w:r>
      <w:r w:rsidR="00F51B25">
        <w:rPr>
          <w:rFonts w:ascii="Foundry Form Sans" w:hAnsi="Foundry Form Sans" w:cs="Arial"/>
          <w:szCs w:val="24"/>
        </w:rPr>
        <w:t xml:space="preserve">set out your project team approach and project management methodology. Submissions should </w:t>
      </w:r>
      <w:r w:rsidR="007A2058">
        <w:rPr>
          <w:rFonts w:ascii="Foundry Form Sans" w:hAnsi="Foundry Form Sans" w:cs="Arial"/>
          <w:szCs w:val="24"/>
        </w:rPr>
        <w:t>provide</w:t>
      </w:r>
      <w:r w:rsidR="00F51B25">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F94A06" w:rsidRPr="00503B0A">
        <w:rPr>
          <w:rFonts w:ascii="Foundry Form Sans" w:hAnsi="Foundry Form Sans" w:cs="Arial"/>
          <w:szCs w:val="24"/>
        </w:rPr>
        <w:t xml:space="preserve">full details of </w:t>
      </w:r>
      <w:r w:rsidR="00232F16" w:rsidRPr="00503B0A">
        <w:rPr>
          <w:rFonts w:ascii="Foundry Form Sans" w:hAnsi="Foundry Form Sans" w:cs="Arial"/>
          <w:szCs w:val="24"/>
        </w:rPr>
        <w:t>the project team and their qualifications and experience in order to design, plan, and deliver this exciting development opportunity</w:t>
      </w:r>
      <w:r w:rsidR="00F51B25" w:rsidRPr="00503B0A">
        <w:rPr>
          <w:rFonts w:ascii="Foundry Form Sans" w:hAnsi="Foundry Form Sans" w:cs="Arial"/>
          <w:szCs w:val="24"/>
        </w:rPr>
        <w:t>;</w:t>
      </w:r>
      <w:r w:rsidR="00232F16" w:rsidRPr="00503B0A">
        <w:rPr>
          <w:rFonts w:ascii="Foundry Form Sans" w:hAnsi="Foundry Form Sans" w:cs="Arial"/>
          <w:szCs w:val="24"/>
        </w:rPr>
        <w:t xml:space="preserve"> </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42FB4" w:rsidRPr="00503B0A">
        <w:rPr>
          <w:rFonts w:ascii="Foundry Form Sans" w:hAnsi="Foundry Form Sans" w:cs="Arial"/>
          <w:szCs w:val="24"/>
        </w:rPr>
        <w:t>a resource chart and organogram, clearly indicating the individuals within your organisation or consortium whom will play a lead role in the delivery of the project</w:t>
      </w:r>
      <w:r w:rsidR="00232F16" w:rsidRPr="00503B0A">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9F5BB8">
        <w:rPr>
          <w:rFonts w:ascii="Foundry Form Sans" w:hAnsi="Foundry Form Sans" w:cs="Arial"/>
          <w:szCs w:val="24"/>
        </w:rPr>
        <w:t xml:space="preserve">CV’s demonstrating </w:t>
      </w:r>
      <w:r w:rsidR="00242FB4" w:rsidRPr="00503B0A">
        <w:rPr>
          <w:rFonts w:ascii="Foundry Form Sans" w:hAnsi="Foundry Form Sans" w:cs="Arial"/>
          <w:szCs w:val="24"/>
        </w:rPr>
        <w:t xml:space="preserve">relevant experience and suitability for this </w:t>
      </w:r>
      <w:r w:rsidR="00597C24" w:rsidRPr="00503B0A">
        <w:rPr>
          <w:rFonts w:ascii="Foundry Form Sans" w:hAnsi="Foundry Form Sans" w:cs="Arial"/>
          <w:szCs w:val="24"/>
        </w:rPr>
        <w:t xml:space="preserve">project </w:t>
      </w:r>
      <w:r w:rsidR="00424EE2" w:rsidRPr="00503B0A">
        <w:rPr>
          <w:rFonts w:ascii="Foundry Form Sans" w:hAnsi="Foundry Form Sans" w:cs="Arial"/>
          <w:szCs w:val="24"/>
        </w:rPr>
        <w:t>(though these may be excluded from the page limits)</w:t>
      </w:r>
      <w:r w:rsidR="00232F16" w:rsidRPr="00503B0A">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32F16" w:rsidRPr="00503B0A">
        <w:rPr>
          <w:rFonts w:ascii="Foundry Form Sans" w:hAnsi="Foundry Form Sans" w:cs="Arial"/>
          <w:szCs w:val="24"/>
        </w:rPr>
        <w:t xml:space="preserve">information on </w:t>
      </w:r>
      <w:r w:rsidR="00242FB4" w:rsidRPr="00503B0A">
        <w:rPr>
          <w:rFonts w:ascii="Foundry Form Sans" w:hAnsi="Foundry Form Sans" w:cs="Arial"/>
          <w:szCs w:val="24"/>
        </w:rPr>
        <w:t xml:space="preserve">how you intend to work with the key project stakeholders to define the project </w:t>
      </w:r>
      <w:r>
        <w:rPr>
          <w:rFonts w:ascii="Foundry Form Sans" w:hAnsi="Foundry Form Sans" w:cs="Arial"/>
          <w:szCs w:val="24"/>
        </w:rPr>
        <w:t>-</w:t>
      </w:r>
      <w:r w:rsidR="00242FB4" w:rsidRPr="00503B0A">
        <w:rPr>
          <w:rFonts w:ascii="Foundry Form Sans" w:hAnsi="Foundry Form Sans" w:cs="Arial"/>
          <w:szCs w:val="24"/>
        </w:rPr>
        <w:t>objectives and achieve buy in and approval at key stages of the project</w:t>
      </w:r>
      <w:r w:rsidR="00232F16" w:rsidRPr="00503B0A">
        <w:rPr>
          <w:rFonts w:ascii="Foundry Form Sans" w:hAnsi="Foundry Form Sans" w:cs="Arial"/>
          <w:szCs w:val="24"/>
        </w:rPr>
        <w:t>;</w:t>
      </w:r>
      <w:r w:rsidR="00242FB4" w:rsidRPr="00503B0A">
        <w:rPr>
          <w:rFonts w:ascii="Foundry Form Sans" w:hAnsi="Foundry Form Sans" w:cs="Arial"/>
          <w:szCs w:val="24"/>
        </w:rPr>
        <w:t xml:space="preserve"> </w:t>
      </w:r>
    </w:p>
    <w:p w:rsidR="00232F1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32F16" w:rsidRPr="00503B0A">
        <w:rPr>
          <w:rFonts w:ascii="Foundry Form Sans" w:hAnsi="Foundry Form Sans" w:cs="Arial"/>
          <w:szCs w:val="24"/>
        </w:rPr>
        <w:t>d</w:t>
      </w:r>
      <w:r w:rsidR="00242FB4" w:rsidRPr="00503B0A">
        <w:rPr>
          <w:rFonts w:ascii="Foundry Form Sans" w:hAnsi="Foundry Form Sans" w:cs="Arial"/>
          <w:szCs w:val="24"/>
        </w:rPr>
        <w:t>etails of any professional consultants and sub-consultants that you intend to engage on this project and the contractual arrangements that you will put it into place</w:t>
      </w:r>
      <w:r w:rsidR="00232F16" w:rsidRPr="00503B0A">
        <w:rPr>
          <w:rFonts w:ascii="Foundry Form Sans" w:hAnsi="Foundry Form Sans" w:cs="Arial"/>
          <w:szCs w:val="24"/>
        </w:rPr>
        <w:t>;</w:t>
      </w:r>
      <w:r w:rsidR="00242FB4" w:rsidRPr="00503B0A">
        <w:rPr>
          <w:rFonts w:ascii="Foundry Form Sans" w:hAnsi="Foundry Form Sans" w:cs="Arial"/>
          <w:szCs w:val="24"/>
        </w:rPr>
        <w:t xml:space="preserve"> </w:t>
      </w:r>
    </w:p>
    <w:p w:rsidR="00232F16" w:rsidRPr="00503B0A" w:rsidRDefault="009F5BB8"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confirmation of provision of </w:t>
      </w:r>
      <w:r w:rsidR="00F43E25" w:rsidRPr="00503B0A">
        <w:rPr>
          <w:rFonts w:ascii="Foundry Form Sans" w:hAnsi="Foundry Form Sans" w:cs="Arial"/>
          <w:szCs w:val="24"/>
        </w:rPr>
        <w:t>warrant</w:t>
      </w:r>
      <w:r>
        <w:rPr>
          <w:rFonts w:ascii="Foundry Form Sans" w:hAnsi="Foundry Form Sans" w:cs="Arial"/>
          <w:szCs w:val="24"/>
        </w:rPr>
        <w:t>ies</w:t>
      </w:r>
      <w:r w:rsidR="00F43E25" w:rsidRPr="00503B0A">
        <w:rPr>
          <w:rFonts w:ascii="Foundry Form Sans" w:hAnsi="Foundry Form Sans" w:cs="Arial"/>
          <w:szCs w:val="24"/>
        </w:rPr>
        <w:t xml:space="preserve"> </w:t>
      </w:r>
      <w:r w:rsidR="00356A65" w:rsidRPr="00503B0A">
        <w:rPr>
          <w:rFonts w:ascii="Foundry Form Sans" w:hAnsi="Foundry Form Sans" w:cs="Arial"/>
          <w:szCs w:val="24"/>
        </w:rPr>
        <w:t xml:space="preserve">from consultants and sub-consultants </w:t>
      </w:r>
      <w:r w:rsidR="00F43E25" w:rsidRPr="00503B0A">
        <w:rPr>
          <w:rFonts w:ascii="Foundry Form Sans" w:hAnsi="Foundry Form Sans" w:cs="Arial"/>
          <w:szCs w:val="24"/>
        </w:rPr>
        <w:t xml:space="preserve">in favour of </w:t>
      </w:r>
      <w:r w:rsidR="00F850A6" w:rsidRPr="00503B0A">
        <w:rPr>
          <w:rFonts w:ascii="Foundry Form Sans" w:hAnsi="Foundry Form Sans" w:cs="Arial"/>
          <w:szCs w:val="24"/>
        </w:rPr>
        <w:t>GLA</w:t>
      </w:r>
      <w:r w:rsidR="00773BAD" w:rsidRPr="00503B0A">
        <w:rPr>
          <w:rFonts w:ascii="Foundry Form Sans" w:hAnsi="Foundry Form Sans" w:cs="Arial"/>
          <w:szCs w:val="24"/>
        </w:rPr>
        <w:t xml:space="preserve"> </w:t>
      </w:r>
      <w:r w:rsidR="002A6358" w:rsidRPr="00503B0A">
        <w:rPr>
          <w:rFonts w:ascii="Foundry Form Sans" w:hAnsi="Foundry Form Sans" w:cs="Arial"/>
          <w:szCs w:val="24"/>
        </w:rPr>
        <w:t>.</w:t>
      </w:r>
    </w:p>
    <w:p w:rsidR="00EC2591" w:rsidRPr="00503B0A" w:rsidRDefault="00232F1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In the use of consultants, a</w:t>
      </w:r>
      <w:r w:rsidR="00237787" w:rsidRPr="00503B0A">
        <w:rPr>
          <w:rFonts w:ascii="Foundry Form Sans" w:hAnsi="Foundry Form Sans" w:cs="Arial"/>
          <w:szCs w:val="24"/>
        </w:rPr>
        <w:t>ppropriate c</w:t>
      </w:r>
      <w:r w:rsidR="00EC2591" w:rsidRPr="00503B0A">
        <w:rPr>
          <w:rFonts w:ascii="Foundry Form Sans" w:hAnsi="Foundry Form Sans" w:cs="Arial"/>
          <w:szCs w:val="24"/>
        </w:rPr>
        <w:t xml:space="preserve">onsideration should be given to the appointment of a </w:t>
      </w:r>
      <w:r w:rsidR="00237787" w:rsidRPr="00503B0A">
        <w:rPr>
          <w:rFonts w:ascii="Foundry Form Sans" w:hAnsi="Foundry Form Sans" w:cs="Arial"/>
          <w:szCs w:val="24"/>
        </w:rPr>
        <w:t>suitable architect design team. The Mayor of London has</w:t>
      </w:r>
      <w:r w:rsidR="00AA0039" w:rsidRPr="00503B0A">
        <w:rPr>
          <w:rFonts w:ascii="Foundry Form Sans" w:hAnsi="Foundry Form Sans" w:cs="Arial"/>
          <w:szCs w:val="24"/>
        </w:rPr>
        <w:t xml:space="preserve"> </w:t>
      </w:r>
      <w:r w:rsidR="00237787" w:rsidRPr="00503B0A">
        <w:rPr>
          <w:rFonts w:ascii="Foundry Form Sans" w:hAnsi="Foundry Form Sans" w:cs="Arial"/>
          <w:szCs w:val="24"/>
        </w:rPr>
        <w:t xml:space="preserve">procured the appointment of a TfL/GLA </w:t>
      </w:r>
      <w:r w:rsidR="00EC2591" w:rsidRPr="00503B0A">
        <w:rPr>
          <w:rFonts w:ascii="Foundry Form Sans" w:hAnsi="Foundry Form Sans" w:cs="Arial"/>
          <w:szCs w:val="24"/>
        </w:rPr>
        <w:t>Architecture and Urban Planning Framework,</w:t>
      </w:r>
      <w:r w:rsidR="00237787" w:rsidRPr="00503B0A">
        <w:rPr>
          <w:rFonts w:ascii="Foundry Form Sans" w:hAnsi="Foundry Form Sans" w:cs="Arial"/>
          <w:szCs w:val="24"/>
        </w:rPr>
        <w:t xml:space="preserve"> in particular</w:t>
      </w:r>
      <w:r w:rsidR="00EC2591" w:rsidRPr="00503B0A">
        <w:rPr>
          <w:rFonts w:ascii="Foundry Form Sans" w:hAnsi="Foundry Form Sans" w:cs="Arial"/>
          <w:szCs w:val="24"/>
        </w:rPr>
        <w:t xml:space="preserve"> </w:t>
      </w:r>
      <w:r w:rsidR="00237787" w:rsidRPr="00503B0A">
        <w:rPr>
          <w:rFonts w:ascii="Foundry Form Sans" w:hAnsi="Foundry Form Sans" w:cs="Arial"/>
          <w:szCs w:val="24"/>
        </w:rPr>
        <w:t xml:space="preserve">relevance to the development </w:t>
      </w:r>
      <w:r w:rsidR="00516262" w:rsidRPr="00503B0A">
        <w:rPr>
          <w:rFonts w:ascii="Foundry Form Sans" w:hAnsi="Foundry Form Sans" w:cs="Arial"/>
          <w:szCs w:val="24"/>
        </w:rPr>
        <w:t xml:space="preserve">of </w:t>
      </w:r>
      <w:r w:rsidR="00237787" w:rsidRPr="00503B0A">
        <w:rPr>
          <w:rFonts w:ascii="Foundry Form Sans" w:hAnsi="Foundry Form Sans" w:cs="Arial"/>
          <w:szCs w:val="24"/>
        </w:rPr>
        <w:t>high</w:t>
      </w:r>
      <w:r w:rsidR="00516262" w:rsidRPr="00503B0A">
        <w:rPr>
          <w:rFonts w:ascii="Foundry Form Sans" w:hAnsi="Foundry Form Sans" w:cs="Arial"/>
          <w:szCs w:val="24"/>
        </w:rPr>
        <w:t>-</w:t>
      </w:r>
      <w:r w:rsidR="00237787" w:rsidRPr="00503B0A">
        <w:rPr>
          <w:rFonts w:ascii="Foundry Form Sans" w:hAnsi="Foundry Form Sans" w:cs="Arial"/>
          <w:szCs w:val="24"/>
        </w:rPr>
        <w:t>quality architecture</w:t>
      </w:r>
      <w:r w:rsidR="00516262" w:rsidRPr="00503B0A">
        <w:rPr>
          <w:rFonts w:ascii="Foundry Form Sans" w:hAnsi="Foundry Form Sans" w:cs="Arial"/>
          <w:szCs w:val="24"/>
        </w:rPr>
        <w:t xml:space="preserve"> and urban design: </w:t>
      </w:r>
      <w:r w:rsidR="00EC2591" w:rsidRPr="00503B0A">
        <w:rPr>
          <w:rFonts w:ascii="Foundry Form Sans" w:hAnsi="Foundry Form Sans" w:cs="Arial"/>
          <w:szCs w:val="24"/>
        </w:rPr>
        <w:t xml:space="preserve">Lot 2 </w:t>
      </w:r>
      <w:r w:rsidR="00516262" w:rsidRPr="00503B0A">
        <w:rPr>
          <w:rFonts w:ascii="Foundry Form Sans" w:hAnsi="Foundry Form Sans" w:cs="Arial"/>
          <w:szCs w:val="24"/>
        </w:rPr>
        <w:t xml:space="preserve">- </w:t>
      </w:r>
      <w:r w:rsidR="00237787" w:rsidRPr="00503B0A">
        <w:rPr>
          <w:rFonts w:ascii="Foundry Form Sans" w:hAnsi="Foundry Form Sans" w:cs="Arial"/>
          <w:szCs w:val="24"/>
        </w:rPr>
        <w:t>“</w:t>
      </w:r>
      <w:r w:rsidR="00EC2591" w:rsidRPr="00503B0A">
        <w:rPr>
          <w:rFonts w:ascii="Foundry Form Sans" w:hAnsi="Foundry Form Sans" w:cs="Arial"/>
          <w:szCs w:val="24"/>
        </w:rPr>
        <w:t>Architecture</w:t>
      </w:r>
      <w:r w:rsidR="00237787" w:rsidRPr="00503B0A">
        <w:rPr>
          <w:rFonts w:ascii="Foundry Form Sans" w:hAnsi="Foundry Form Sans" w:cs="Arial"/>
          <w:szCs w:val="24"/>
        </w:rPr>
        <w:t>”</w:t>
      </w:r>
      <w:r w:rsidR="00516262" w:rsidRPr="00503B0A">
        <w:rPr>
          <w:rFonts w:ascii="Foundry Form Sans" w:hAnsi="Foundry Form Sans" w:cs="Arial"/>
          <w:szCs w:val="24"/>
        </w:rPr>
        <w:t>;</w:t>
      </w:r>
      <w:r w:rsidR="00EC2591" w:rsidRPr="00503B0A">
        <w:rPr>
          <w:rFonts w:ascii="Foundry Form Sans" w:hAnsi="Foundry Form Sans" w:cs="Arial"/>
          <w:szCs w:val="24"/>
        </w:rPr>
        <w:t xml:space="preserve"> and Lot 3</w:t>
      </w:r>
      <w:r w:rsidR="00516262" w:rsidRPr="00503B0A">
        <w:rPr>
          <w:rFonts w:ascii="Foundry Form Sans" w:hAnsi="Foundry Form Sans" w:cs="Arial"/>
          <w:szCs w:val="24"/>
        </w:rPr>
        <w:t xml:space="preserve"> -</w:t>
      </w:r>
      <w:r w:rsidR="00EC2591" w:rsidRPr="00503B0A">
        <w:rPr>
          <w:rFonts w:ascii="Foundry Form Sans" w:hAnsi="Foundry Form Sans" w:cs="Arial"/>
          <w:szCs w:val="24"/>
        </w:rPr>
        <w:t xml:space="preserve"> </w:t>
      </w:r>
      <w:r w:rsidR="00237787" w:rsidRPr="00503B0A">
        <w:rPr>
          <w:rFonts w:ascii="Foundry Form Sans" w:hAnsi="Foundry Form Sans" w:cs="Arial"/>
          <w:szCs w:val="24"/>
        </w:rPr>
        <w:t>“</w:t>
      </w:r>
      <w:r w:rsidR="00EC2591" w:rsidRPr="00503B0A">
        <w:rPr>
          <w:rFonts w:ascii="Foundry Form Sans" w:hAnsi="Foundry Form Sans" w:cs="Arial"/>
          <w:szCs w:val="24"/>
        </w:rPr>
        <w:t>Site Masterplanning &amp; Development Feasibility</w:t>
      </w:r>
      <w:r w:rsidR="00237787" w:rsidRPr="00503B0A">
        <w:rPr>
          <w:rFonts w:ascii="Foundry Form Sans" w:hAnsi="Foundry Form Sans" w:cs="Arial"/>
          <w:szCs w:val="24"/>
        </w:rPr>
        <w:t>”</w:t>
      </w:r>
      <w:r w:rsidR="00AA0039" w:rsidRPr="00503B0A">
        <w:rPr>
          <w:rFonts w:ascii="Foundry Form Sans" w:hAnsi="Foundry Form Sans" w:cs="Arial"/>
          <w:szCs w:val="24"/>
        </w:rPr>
        <w:t>, however it is not mandatory to use this panel.</w:t>
      </w:r>
    </w:p>
    <w:p w:rsidR="00242FB4" w:rsidRPr="000353B5" w:rsidRDefault="009B721F"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In certain specific circumstances</w:t>
      </w:r>
      <w:r w:rsidR="009F133B">
        <w:rPr>
          <w:rFonts w:ascii="Foundry Form Sans" w:hAnsi="Foundry Form Sans" w:cs="Arial"/>
          <w:szCs w:val="24"/>
        </w:rPr>
        <w:t>,</w:t>
      </w:r>
      <w:r w:rsidR="009E55A6">
        <w:rPr>
          <w:rFonts w:ascii="Foundry Form Sans" w:hAnsi="Foundry Form Sans" w:cs="Arial"/>
          <w:szCs w:val="24"/>
        </w:rPr>
        <w:t xml:space="preserve"> as set out in the LDP Framework Agreement</w:t>
      </w:r>
      <w:r w:rsidR="002D3198">
        <w:rPr>
          <w:rFonts w:ascii="Foundry Form Sans" w:hAnsi="Foundry Form Sans" w:cs="Arial"/>
          <w:szCs w:val="24"/>
        </w:rPr>
        <w:t>,</w:t>
      </w:r>
      <w:r>
        <w:rPr>
          <w:rFonts w:ascii="Foundry Form Sans" w:hAnsi="Foundry Form Sans" w:cs="Arial"/>
          <w:szCs w:val="24"/>
        </w:rPr>
        <w:t xml:space="preserve"> </w:t>
      </w:r>
      <w:r w:rsidR="002D3198">
        <w:rPr>
          <w:rFonts w:ascii="Foundry Form Sans" w:hAnsi="Foundry Form Sans" w:cs="Arial"/>
          <w:szCs w:val="24"/>
        </w:rPr>
        <w:t>delivery</w:t>
      </w:r>
      <w:r w:rsidR="00D03969">
        <w:rPr>
          <w:rFonts w:ascii="Foundry Form Sans" w:hAnsi="Foundry Form Sans" w:cs="Arial"/>
          <w:szCs w:val="24"/>
        </w:rPr>
        <w:t xml:space="preserve"> </w:t>
      </w:r>
      <w:r w:rsidR="008E2A35" w:rsidRPr="00027DF3">
        <w:rPr>
          <w:rFonts w:ascii="Foundry Form Sans" w:hAnsi="Foundry Form Sans" w:cs="Arial"/>
          <w:szCs w:val="24"/>
        </w:rPr>
        <w:t xml:space="preserve">partners may choose to </w:t>
      </w:r>
      <w:r w:rsidR="00D76539" w:rsidRPr="00027DF3">
        <w:rPr>
          <w:rFonts w:ascii="Foundry Form Sans" w:hAnsi="Foundry Form Sans" w:cs="Arial"/>
          <w:szCs w:val="24"/>
        </w:rPr>
        <w:t xml:space="preserve">work with </w:t>
      </w:r>
      <w:r w:rsidR="008E2A35" w:rsidRPr="00027DF3">
        <w:rPr>
          <w:rFonts w:ascii="Foundry Form Sans" w:hAnsi="Foundry Form Sans" w:cs="Arial"/>
          <w:szCs w:val="24"/>
        </w:rPr>
        <w:t>other organisation</w:t>
      </w:r>
      <w:r w:rsidR="00D76539" w:rsidRPr="00027DF3">
        <w:rPr>
          <w:rFonts w:ascii="Foundry Form Sans" w:hAnsi="Foundry Form Sans" w:cs="Arial"/>
          <w:szCs w:val="24"/>
        </w:rPr>
        <w:t>s</w:t>
      </w:r>
      <w:r w:rsidR="00A77166">
        <w:rPr>
          <w:rFonts w:ascii="Foundry Form Sans" w:hAnsi="Foundry Form Sans" w:cs="Arial"/>
          <w:szCs w:val="24"/>
        </w:rPr>
        <w:t xml:space="preserve"> with the ability</w:t>
      </w:r>
      <w:r w:rsidR="008E2A35" w:rsidRPr="00027DF3">
        <w:rPr>
          <w:rFonts w:ascii="Foundry Form Sans" w:hAnsi="Foundry Form Sans" w:cs="Arial"/>
          <w:szCs w:val="24"/>
        </w:rPr>
        <w:t xml:space="preserve"> to deliver a specialist offer</w:t>
      </w:r>
      <w:r w:rsidR="00300BFA">
        <w:rPr>
          <w:rFonts w:ascii="Foundry Form Sans" w:hAnsi="Foundry Form Sans" w:cs="Arial"/>
          <w:szCs w:val="24"/>
        </w:rPr>
        <w:t xml:space="preserve"> as a consortium</w:t>
      </w:r>
      <w:r w:rsidR="008E2A35" w:rsidRPr="00027DF3">
        <w:rPr>
          <w:rFonts w:ascii="Foundry Form Sans" w:hAnsi="Foundry Form Sans" w:cs="Arial"/>
          <w:szCs w:val="24"/>
        </w:rPr>
        <w:t>.</w:t>
      </w:r>
      <w:r w:rsidR="00773BAD">
        <w:rPr>
          <w:rFonts w:ascii="Foundry Form Sans" w:hAnsi="Foundry Form Sans" w:cs="Arial"/>
          <w:szCs w:val="24"/>
        </w:rPr>
        <w:t xml:space="preserve">  </w:t>
      </w:r>
      <w:r w:rsidR="00300BFA">
        <w:rPr>
          <w:rFonts w:ascii="Foundry Form Sans" w:hAnsi="Foundry Form Sans" w:cs="Arial"/>
          <w:szCs w:val="24"/>
        </w:rPr>
        <w:t xml:space="preserve">Any Bidder choosing to do this must include </w:t>
      </w:r>
      <w:r w:rsidR="00773BAD">
        <w:rPr>
          <w:rFonts w:ascii="Foundry Form Sans" w:hAnsi="Foundry Form Sans" w:cs="Arial"/>
          <w:szCs w:val="24"/>
        </w:rPr>
        <w:t>a clear organisation chart detailing the relationships and structure between the parties</w:t>
      </w:r>
      <w:r w:rsidR="00300BFA">
        <w:rPr>
          <w:rFonts w:ascii="Foundry Form Sans" w:hAnsi="Foundry Form Sans" w:cs="Arial"/>
          <w:szCs w:val="24"/>
        </w:rPr>
        <w:t>,</w:t>
      </w:r>
      <w:r w:rsidR="008E2A35">
        <w:rPr>
          <w:rFonts w:ascii="Foundry Form Sans" w:hAnsi="Foundry Form Sans" w:cs="Arial"/>
          <w:szCs w:val="24"/>
        </w:rPr>
        <w:t xml:space="preserve"> </w:t>
      </w:r>
      <w:r w:rsidR="00773BAD">
        <w:rPr>
          <w:rFonts w:ascii="Foundry Form Sans" w:hAnsi="Foundry Form Sans" w:cs="Arial"/>
          <w:szCs w:val="24"/>
        </w:rPr>
        <w:t xml:space="preserve">along with </w:t>
      </w:r>
      <w:r>
        <w:rPr>
          <w:rFonts w:ascii="Foundry Form Sans" w:hAnsi="Foundry Form Sans" w:cs="Arial"/>
          <w:szCs w:val="24"/>
        </w:rPr>
        <w:t>a</w:t>
      </w:r>
      <w:r w:rsidR="00C25AEE">
        <w:rPr>
          <w:rFonts w:ascii="Foundry Form Sans" w:hAnsi="Foundry Form Sans" w:cs="Arial"/>
          <w:szCs w:val="24"/>
        </w:rPr>
        <w:t xml:space="preserve"> </w:t>
      </w:r>
      <w:r w:rsidR="00773BAD" w:rsidRPr="000353B5">
        <w:rPr>
          <w:rFonts w:ascii="Foundry Form Sans" w:hAnsi="Foundry Form Sans" w:cs="Arial"/>
          <w:szCs w:val="24"/>
        </w:rPr>
        <w:t>statement of how knowledge will be shared between members and details of the risk sharing arr</w:t>
      </w:r>
      <w:r w:rsidR="00A77166">
        <w:rPr>
          <w:rFonts w:ascii="Foundry Form Sans" w:hAnsi="Foundry Form Sans" w:cs="Arial"/>
          <w:szCs w:val="24"/>
        </w:rPr>
        <w:t>angements within the consortium.</w:t>
      </w:r>
    </w:p>
    <w:p w:rsidR="00516262" w:rsidRPr="00503B0A" w:rsidRDefault="00516262" w:rsidP="009F133B">
      <w:pPr>
        <w:pStyle w:val="BodyText"/>
        <w:spacing w:after="120" w:line="23" w:lineRule="atLeast"/>
        <w:ind w:left="-436"/>
        <w:jc w:val="both"/>
        <w:rPr>
          <w:rFonts w:ascii="Foundry Form Sans" w:hAnsi="Foundry Form Sans" w:cs="Arial"/>
          <w:szCs w:val="24"/>
          <w:u w:val="single"/>
        </w:rPr>
      </w:pPr>
    </w:p>
    <w:p w:rsidR="009F5BB8" w:rsidRDefault="009F5BB8" w:rsidP="009F133B">
      <w:pPr>
        <w:pStyle w:val="BodyText"/>
        <w:numPr>
          <w:ilvl w:val="2"/>
          <w:numId w:val="42"/>
        </w:numPr>
        <w:spacing w:after="120" w:line="23" w:lineRule="atLeast"/>
        <w:ind w:left="284"/>
        <w:jc w:val="both"/>
        <w:rPr>
          <w:rFonts w:ascii="Foundry Form Sans" w:hAnsi="Foundry Form Sans" w:cs="Arial"/>
          <w:szCs w:val="24"/>
          <w:u w:val="single"/>
        </w:rPr>
      </w:pPr>
      <w:r>
        <w:rPr>
          <w:rFonts w:ascii="Foundry Form Sans" w:hAnsi="Foundry Form Sans" w:cs="Arial"/>
          <w:szCs w:val="24"/>
          <w:u w:val="single"/>
        </w:rPr>
        <w:br w:type="page"/>
      </w:r>
    </w:p>
    <w:p w:rsidR="00242FB4" w:rsidRPr="00503B0A" w:rsidRDefault="00597C24" w:rsidP="009F133B">
      <w:pPr>
        <w:pStyle w:val="BodyText"/>
        <w:numPr>
          <w:ilvl w:val="2"/>
          <w:numId w:val="42"/>
        </w:numPr>
        <w:spacing w:after="120" w:line="23" w:lineRule="atLeast"/>
        <w:ind w:left="284"/>
        <w:jc w:val="both"/>
        <w:rPr>
          <w:rFonts w:ascii="Foundry Form Sans" w:hAnsi="Foundry Form Sans" w:cs="Arial"/>
          <w:szCs w:val="24"/>
          <w:u w:val="single"/>
        </w:rPr>
      </w:pPr>
      <w:r w:rsidRPr="00503B0A">
        <w:rPr>
          <w:rFonts w:ascii="Foundry Form Sans" w:hAnsi="Foundry Form Sans" w:cs="Arial"/>
          <w:szCs w:val="24"/>
          <w:u w:val="single"/>
        </w:rPr>
        <w:lastRenderedPageBreak/>
        <w:t xml:space="preserve">A.2 </w:t>
      </w:r>
      <w:r w:rsidR="00F65A46" w:rsidRPr="00503B0A">
        <w:rPr>
          <w:rFonts w:ascii="Foundry Form Sans" w:hAnsi="Foundry Form Sans" w:cs="Arial"/>
          <w:szCs w:val="24"/>
          <w:u w:val="single"/>
        </w:rPr>
        <w:t>Scheme Proposal and Design Approach</w:t>
      </w:r>
      <w:r w:rsidR="00187A6F" w:rsidRPr="00503B0A">
        <w:rPr>
          <w:rFonts w:ascii="Foundry Form Sans" w:hAnsi="Foundry Form Sans" w:cs="Arial"/>
          <w:szCs w:val="24"/>
          <w:u w:val="single"/>
        </w:rPr>
        <w:t xml:space="preserve"> – </w:t>
      </w:r>
      <w:r w:rsidR="00D11259" w:rsidRPr="00503B0A">
        <w:rPr>
          <w:rFonts w:ascii="Foundry Form Sans" w:hAnsi="Foundry Form Sans" w:cs="Arial"/>
          <w:szCs w:val="24"/>
          <w:u w:val="single"/>
        </w:rPr>
        <w:t xml:space="preserve">maximum </w:t>
      </w:r>
      <w:r w:rsidR="00952192" w:rsidRPr="00503B0A">
        <w:rPr>
          <w:rFonts w:ascii="Foundry Form Sans" w:hAnsi="Foundry Form Sans" w:cs="Arial"/>
          <w:szCs w:val="24"/>
          <w:u w:val="single"/>
        </w:rPr>
        <w:t>7</w:t>
      </w:r>
      <w:r w:rsidR="00D11259" w:rsidRPr="00503B0A">
        <w:rPr>
          <w:rFonts w:ascii="Foundry Form Sans" w:hAnsi="Foundry Form Sans" w:cs="Arial"/>
          <w:szCs w:val="24"/>
          <w:u w:val="single"/>
        </w:rPr>
        <w:t>no.</w:t>
      </w:r>
      <w:r w:rsidR="00187A6F" w:rsidRPr="00503B0A">
        <w:rPr>
          <w:rFonts w:ascii="Foundry Form Sans" w:hAnsi="Foundry Form Sans" w:cs="Arial"/>
          <w:szCs w:val="24"/>
          <w:u w:val="single"/>
        </w:rPr>
        <w:t xml:space="preserve"> </w:t>
      </w:r>
      <w:r w:rsidR="00300BFA" w:rsidRPr="00503B0A">
        <w:rPr>
          <w:rFonts w:ascii="Foundry Form Sans" w:hAnsi="Foundry Form Sans" w:cs="Arial"/>
          <w:szCs w:val="24"/>
          <w:u w:val="single"/>
        </w:rPr>
        <w:t>s</w:t>
      </w:r>
      <w:r w:rsidR="00187A6F" w:rsidRPr="00503B0A">
        <w:rPr>
          <w:rFonts w:ascii="Foundry Form Sans" w:hAnsi="Foundry Form Sans" w:cs="Arial"/>
          <w:szCs w:val="24"/>
          <w:u w:val="single"/>
        </w:rPr>
        <w:t>ides (</w:t>
      </w:r>
      <w:r w:rsidR="00424EE2" w:rsidRPr="00503B0A">
        <w:rPr>
          <w:rFonts w:ascii="Foundry Form Sans" w:hAnsi="Foundry Form Sans" w:cs="Arial"/>
          <w:szCs w:val="24"/>
          <w:u w:val="single"/>
        </w:rPr>
        <w:t>plus</w:t>
      </w:r>
      <w:r w:rsidR="00187A6F" w:rsidRPr="00503B0A">
        <w:rPr>
          <w:rFonts w:ascii="Foundry Form Sans" w:hAnsi="Foundry Form Sans" w:cs="Arial"/>
          <w:szCs w:val="24"/>
          <w:u w:val="single"/>
        </w:rPr>
        <w:t xml:space="preserve"> minimum </w:t>
      </w:r>
      <w:r w:rsidR="00952192" w:rsidRPr="00503B0A">
        <w:rPr>
          <w:rFonts w:ascii="Foundry Form Sans" w:hAnsi="Foundry Form Sans" w:cs="Arial"/>
          <w:szCs w:val="24"/>
          <w:u w:val="single"/>
        </w:rPr>
        <w:t>3</w:t>
      </w:r>
      <w:r w:rsidR="00663D2A" w:rsidRPr="00503B0A">
        <w:rPr>
          <w:rFonts w:ascii="Foundry Form Sans" w:hAnsi="Foundry Form Sans" w:cs="Arial"/>
          <w:szCs w:val="24"/>
          <w:u w:val="single"/>
        </w:rPr>
        <w:t>no.</w:t>
      </w:r>
      <w:r w:rsidR="00242FB4" w:rsidRPr="00503B0A">
        <w:rPr>
          <w:rFonts w:ascii="Foundry Form Sans" w:hAnsi="Foundry Form Sans" w:cs="Arial"/>
          <w:szCs w:val="24"/>
          <w:u w:val="single"/>
        </w:rPr>
        <w:t xml:space="preserve"> RIBA Stage 2 Drawings</w:t>
      </w:r>
      <w:r w:rsidR="00267697" w:rsidRPr="00503B0A">
        <w:rPr>
          <w:rFonts w:ascii="Foundry Form Sans" w:hAnsi="Foundry Form Sans" w:cs="Arial"/>
          <w:szCs w:val="24"/>
          <w:u w:val="single"/>
        </w:rPr>
        <w:t xml:space="preserve"> which can be at A3</w:t>
      </w:r>
      <w:r w:rsidR="00187A6F" w:rsidRPr="00503B0A">
        <w:rPr>
          <w:rFonts w:ascii="Foundry Form Sans" w:hAnsi="Foundry Form Sans" w:cs="Arial"/>
          <w:szCs w:val="24"/>
          <w:u w:val="single"/>
        </w:rPr>
        <w:t>)</w:t>
      </w:r>
    </w:p>
    <w:p w:rsidR="00232F16" w:rsidRDefault="00DA2708"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Please set out your scheme </w:t>
      </w:r>
      <w:r w:rsidR="00F51B25">
        <w:rPr>
          <w:rFonts w:ascii="Foundry Form Sans" w:hAnsi="Foundry Form Sans" w:cs="Arial"/>
          <w:szCs w:val="24"/>
        </w:rPr>
        <w:t xml:space="preserve">proposal and </w:t>
      </w:r>
      <w:r>
        <w:rPr>
          <w:rFonts w:ascii="Foundry Form Sans" w:hAnsi="Foundry Form Sans" w:cs="Arial"/>
          <w:szCs w:val="24"/>
        </w:rPr>
        <w:t>design</w:t>
      </w:r>
      <w:r w:rsidR="00F51B25">
        <w:rPr>
          <w:rFonts w:ascii="Foundry Form Sans" w:hAnsi="Foundry Form Sans" w:cs="Arial"/>
          <w:szCs w:val="24"/>
        </w:rPr>
        <w:t xml:space="preserve"> approach</w:t>
      </w:r>
      <w:r>
        <w:rPr>
          <w:rFonts w:ascii="Foundry Form Sans" w:hAnsi="Foundry Form Sans" w:cs="Arial"/>
          <w:szCs w:val="24"/>
        </w:rPr>
        <w:t xml:space="preserve">. </w:t>
      </w:r>
      <w:r w:rsidR="009F5BB8">
        <w:rPr>
          <w:rFonts w:ascii="Foundry Form Sans" w:hAnsi="Foundry Form Sans" w:cs="Arial"/>
          <w:szCs w:val="24"/>
        </w:rPr>
        <w:t>You</w:t>
      </w:r>
      <w:r w:rsidR="00242FB4" w:rsidRPr="000353B5">
        <w:rPr>
          <w:rFonts w:ascii="Foundry Form Sans" w:hAnsi="Foundry Form Sans" w:cs="Arial"/>
          <w:szCs w:val="24"/>
        </w:rPr>
        <w:t xml:space="preserve"> should detail </w:t>
      </w:r>
      <w:r w:rsidR="009F5BB8">
        <w:rPr>
          <w:rFonts w:ascii="Foundry Form Sans" w:hAnsi="Foundry Form Sans" w:cs="Arial"/>
          <w:szCs w:val="24"/>
        </w:rPr>
        <w:t>your</w:t>
      </w:r>
      <w:r w:rsidR="00DD46C8" w:rsidRPr="000353B5">
        <w:rPr>
          <w:rFonts w:ascii="Foundry Form Sans" w:hAnsi="Foundry Form Sans" w:cs="Arial"/>
          <w:szCs w:val="24"/>
        </w:rPr>
        <w:t xml:space="preserve"> approach </w:t>
      </w:r>
      <w:r w:rsidR="00187A6F" w:rsidRPr="000353B5">
        <w:rPr>
          <w:rFonts w:ascii="Foundry Form Sans" w:hAnsi="Foundry Form Sans" w:cs="Arial"/>
          <w:szCs w:val="24"/>
        </w:rPr>
        <w:t xml:space="preserve">to </w:t>
      </w:r>
      <w:r w:rsidR="00242FB4" w:rsidRPr="000353B5">
        <w:rPr>
          <w:rFonts w:ascii="Foundry Form Sans" w:hAnsi="Foundry Form Sans" w:cs="Arial"/>
          <w:szCs w:val="24"/>
        </w:rPr>
        <w:t xml:space="preserve">ensuring that the architecture and design </w:t>
      </w:r>
      <w:r w:rsidR="00187A6F" w:rsidRPr="000353B5">
        <w:rPr>
          <w:rFonts w:ascii="Foundry Form Sans" w:hAnsi="Foundry Form Sans" w:cs="Arial"/>
          <w:szCs w:val="24"/>
        </w:rPr>
        <w:t xml:space="preserve">of the scheme will achieve </w:t>
      </w:r>
      <w:r w:rsidR="00242FB4" w:rsidRPr="000353B5">
        <w:rPr>
          <w:rFonts w:ascii="Foundry Form Sans" w:hAnsi="Foundry Form Sans" w:cs="Arial"/>
          <w:szCs w:val="24"/>
        </w:rPr>
        <w:t>the p</w:t>
      </w:r>
      <w:r w:rsidR="00B32054" w:rsidRPr="000353B5">
        <w:rPr>
          <w:rFonts w:ascii="Foundry Form Sans" w:hAnsi="Foundry Form Sans" w:cs="Arial"/>
          <w:szCs w:val="24"/>
        </w:rPr>
        <w:t>roject</w:t>
      </w:r>
      <w:r w:rsidR="0035730D">
        <w:rPr>
          <w:rFonts w:ascii="Foundry Form Sans" w:hAnsi="Foundry Form Sans" w:cs="Arial"/>
          <w:szCs w:val="24"/>
        </w:rPr>
        <w:t>’</w:t>
      </w:r>
      <w:r w:rsidR="00B32054" w:rsidRPr="000353B5">
        <w:rPr>
          <w:rFonts w:ascii="Foundry Form Sans" w:hAnsi="Foundry Form Sans" w:cs="Arial"/>
          <w:szCs w:val="24"/>
        </w:rPr>
        <w:t>s aims and objectives set-</w:t>
      </w:r>
      <w:r w:rsidR="00242FB4" w:rsidRPr="000353B5">
        <w:rPr>
          <w:rFonts w:ascii="Foundry Form Sans" w:hAnsi="Foundry Form Sans" w:cs="Arial"/>
          <w:szCs w:val="24"/>
        </w:rPr>
        <w:t xml:space="preserve">out </w:t>
      </w:r>
      <w:r w:rsidR="00B32054" w:rsidRPr="000353B5">
        <w:rPr>
          <w:rFonts w:ascii="Foundry Form Sans" w:hAnsi="Foundry Form Sans" w:cs="Arial"/>
          <w:szCs w:val="24"/>
        </w:rPr>
        <w:t xml:space="preserve">within this </w:t>
      </w:r>
      <w:r w:rsidR="00242FB4" w:rsidRPr="000353B5">
        <w:rPr>
          <w:rFonts w:ascii="Foundry Form Sans" w:hAnsi="Foundry Form Sans" w:cs="Arial"/>
          <w:szCs w:val="24"/>
        </w:rPr>
        <w:t>document</w:t>
      </w:r>
      <w:r w:rsidR="001E4C85">
        <w:rPr>
          <w:rFonts w:ascii="Foundry Form Sans" w:hAnsi="Foundry Form Sans" w:cs="Arial"/>
          <w:szCs w:val="24"/>
        </w:rPr>
        <w:t xml:space="preserve"> (particularly the aims and objectives in section 2.3)</w:t>
      </w:r>
      <w:r w:rsidR="00242FB4" w:rsidRPr="000353B5">
        <w:rPr>
          <w:rFonts w:ascii="Foundry Form Sans" w:hAnsi="Foundry Form Sans" w:cs="Arial"/>
          <w:szCs w:val="24"/>
        </w:rPr>
        <w:t xml:space="preserve">. </w:t>
      </w:r>
      <w:r w:rsidR="00017D66" w:rsidRPr="000353B5">
        <w:rPr>
          <w:rFonts w:ascii="Foundry Form Sans" w:hAnsi="Foundry Form Sans" w:cs="Arial"/>
          <w:szCs w:val="24"/>
        </w:rPr>
        <w:t xml:space="preserve">Critically </w:t>
      </w:r>
      <w:r w:rsidR="000E75E0">
        <w:rPr>
          <w:rFonts w:ascii="Foundry Form Sans" w:hAnsi="Foundry Form Sans" w:cs="Arial"/>
          <w:szCs w:val="24"/>
        </w:rPr>
        <w:t xml:space="preserve">you </w:t>
      </w:r>
      <w:r w:rsidR="00B32054" w:rsidRPr="000353B5">
        <w:rPr>
          <w:rFonts w:ascii="Foundry Form Sans" w:hAnsi="Foundry Form Sans" w:cs="Arial"/>
          <w:szCs w:val="24"/>
        </w:rPr>
        <w:t>must de</w:t>
      </w:r>
      <w:r w:rsidR="009F5BB8">
        <w:rPr>
          <w:rFonts w:ascii="Foundry Form Sans" w:hAnsi="Foundry Form Sans" w:cs="Arial"/>
          <w:szCs w:val="24"/>
        </w:rPr>
        <w:t>monstrate</w:t>
      </w:r>
      <w:r w:rsidR="00232F16">
        <w:rPr>
          <w:rFonts w:ascii="Foundry Form Sans" w:hAnsi="Foundry Form Sans" w:cs="Arial"/>
          <w:szCs w:val="24"/>
        </w:rPr>
        <w:t>:</w:t>
      </w:r>
    </w:p>
    <w:p w:rsidR="00232F16"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B32054" w:rsidRPr="000353B5">
        <w:rPr>
          <w:rFonts w:ascii="Foundry Form Sans" w:hAnsi="Foundry Form Sans" w:cs="Arial"/>
          <w:szCs w:val="24"/>
        </w:rPr>
        <w:t xml:space="preserve">a clear understanding of the </w:t>
      </w:r>
      <w:r w:rsidR="00EA3881">
        <w:rPr>
          <w:rFonts w:ascii="Foundry Form Sans" w:hAnsi="Foundry Form Sans" w:cs="Arial"/>
          <w:szCs w:val="24"/>
        </w:rPr>
        <w:t>site constraints</w:t>
      </w:r>
      <w:r w:rsidR="009F5BB8">
        <w:rPr>
          <w:rFonts w:ascii="Foundry Form Sans" w:hAnsi="Foundry Form Sans" w:cs="Arial"/>
          <w:szCs w:val="24"/>
        </w:rPr>
        <w:t>; and how you</w:t>
      </w:r>
      <w:r w:rsidR="00232F16">
        <w:rPr>
          <w:rFonts w:ascii="Foundry Form Sans" w:hAnsi="Foundry Form Sans" w:cs="Arial"/>
          <w:szCs w:val="24"/>
        </w:rPr>
        <w:t xml:space="preserve"> will respond to the key challenges,</w:t>
      </w:r>
      <w:r w:rsidR="00EA3881">
        <w:rPr>
          <w:rFonts w:ascii="Foundry Form Sans" w:hAnsi="Foundry Form Sans" w:cs="Arial"/>
          <w:szCs w:val="24"/>
        </w:rPr>
        <w:t xml:space="preserve"> </w:t>
      </w:r>
      <w:r w:rsidR="00232F16">
        <w:rPr>
          <w:rFonts w:ascii="Foundry Form Sans" w:hAnsi="Foundry Form Sans" w:cs="Arial"/>
          <w:szCs w:val="24"/>
        </w:rPr>
        <w:t>specifically the Gallions River Crossing</w:t>
      </w:r>
      <w:r w:rsidR="00232F16" w:rsidRPr="000353B5">
        <w:rPr>
          <w:rFonts w:ascii="Foundry Form Sans" w:hAnsi="Foundry Form Sans" w:cs="Arial"/>
          <w:szCs w:val="24"/>
        </w:rPr>
        <w:t xml:space="preserve"> </w:t>
      </w:r>
      <w:r w:rsidR="00232F16">
        <w:rPr>
          <w:rFonts w:ascii="Foundry Form Sans" w:hAnsi="Foundry Form Sans" w:cs="Arial"/>
          <w:szCs w:val="24"/>
        </w:rPr>
        <w:t>and underground services;</w:t>
      </w:r>
      <w:r w:rsidR="00232F16" w:rsidDel="00232F16">
        <w:rPr>
          <w:rFonts w:ascii="Foundry Form Sans" w:hAnsi="Foundry Form Sans" w:cs="Arial"/>
          <w:szCs w:val="24"/>
        </w:rPr>
        <w:t xml:space="preserve"> </w:t>
      </w:r>
    </w:p>
    <w:p w:rsidR="00232F1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32F16" w:rsidRPr="00232F16">
        <w:rPr>
          <w:rFonts w:ascii="Foundry Form Sans" w:hAnsi="Foundry Form Sans" w:cs="Arial"/>
          <w:szCs w:val="24"/>
        </w:rPr>
        <w:t xml:space="preserve">use of </w:t>
      </w:r>
      <w:r w:rsidR="00EA3881" w:rsidRPr="00232F16">
        <w:rPr>
          <w:rFonts w:ascii="Foundry Form Sans" w:hAnsi="Foundry Form Sans" w:cs="Arial"/>
          <w:szCs w:val="24"/>
        </w:rPr>
        <w:t>innovative methods of delivery</w:t>
      </w:r>
      <w:r w:rsidR="007A78ED">
        <w:rPr>
          <w:rFonts w:ascii="Foundry Form Sans" w:hAnsi="Foundry Form Sans" w:cs="Arial"/>
          <w:szCs w:val="24"/>
        </w:rPr>
        <w:t>, possibly</w:t>
      </w:r>
      <w:r w:rsidR="00EA3881" w:rsidRPr="00232F16">
        <w:rPr>
          <w:rFonts w:ascii="Foundry Form Sans" w:hAnsi="Foundry Form Sans" w:cs="Arial"/>
          <w:szCs w:val="24"/>
        </w:rPr>
        <w:t xml:space="preserve"> </w:t>
      </w:r>
      <w:r w:rsidR="00356A65">
        <w:rPr>
          <w:rFonts w:ascii="Foundry Form Sans" w:hAnsi="Foundry Form Sans" w:cs="Arial"/>
          <w:szCs w:val="24"/>
        </w:rPr>
        <w:t xml:space="preserve">including Modern Methods of Construction (MMC) </w:t>
      </w:r>
      <w:r w:rsidR="00EA3881" w:rsidRPr="00232F16">
        <w:rPr>
          <w:rFonts w:ascii="Foundry Form Sans" w:hAnsi="Foundry Form Sans" w:cs="Arial"/>
          <w:szCs w:val="24"/>
        </w:rPr>
        <w:t xml:space="preserve">to develop the Royal Albert Basin as a new residential </w:t>
      </w:r>
      <w:r w:rsidR="00C25AEE" w:rsidRPr="00232F16">
        <w:rPr>
          <w:rFonts w:ascii="Foundry Form Sans" w:hAnsi="Foundry Form Sans" w:cs="Arial"/>
          <w:szCs w:val="24"/>
        </w:rPr>
        <w:t>community</w:t>
      </w:r>
      <w:r w:rsidR="00232F16" w:rsidRPr="00503B0A">
        <w:rPr>
          <w:rFonts w:ascii="Foundry Form Sans" w:hAnsi="Foundry Form Sans" w:cs="Arial"/>
          <w:szCs w:val="24"/>
        </w:rPr>
        <w:t>;</w:t>
      </w:r>
    </w:p>
    <w:p w:rsidR="005F114B"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5F114B">
        <w:rPr>
          <w:rFonts w:ascii="Foundry Form Sans" w:hAnsi="Foundry Form Sans" w:cs="Arial"/>
          <w:szCs w:val="24"/>
        </w:rPr>
        <w:t xml:space="preserve">how </w:t>
      </w:r>
      <w:r w:rsidR="009F5BB8">
        <w:rPr>
          <w:rFonts w:ascii="Foundry Form Sans" w:hAnsi="Foundry Form Sans" w:cs="Arial"/>
          <w:szCs w:val="24"/>
        </w:rPr>
        <w:t>your</w:t>
      </w:r>
      <w:r w:rsidR="005F114B">
        <w:rPr>
          <w:rFonts w:ascii="Foundry Form Sans" w:hAnsi="Foundry Form Sans" w:cs="Arial"/>
          <w:szCs w:val="24"/>
        </w:rPr>
        <w:t xml:space="preserve"> design meets the Project Aims and Objectives (see Section 2.</w:t>
      </w:r>
      <w:r w:rsidR="00E772EB">
        <w:rPr>
          <w:rFonts w:ascii="Foundry Form Sans" w:hAnsi="Foundry Form Sans" w:cs="Arial"/>
          <w:szCs w:val="24"/>
        </w:rPr>
        <w:t>4</w:t>
      </w:r>
      <w:r w:rsidR="005F114B">
        <w:rPr>
          <w:rFonts w:ascii="Foundry Form Sans" w:hAnsi="Foundry Form Sans" w:cs="Arial"/>
          <w:szCs w:val="24"/>
        </w:rPr>
        <w:t xml:space="preserve">), including the provision of affordable homes </w:t>
      </w:r>
    </w:p>
    <w:p w:rsidR="00356A65"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42FB4" w:rsidRPr="00232F16">
        <w:rPr>
          <w:rFonts w:ascii="Foundry Form Sans" w:hAnsi="Foundry Form Sans" w:cs="Arial"/>
          <w:szCs w:val="24"/>
        </w:rPr>
        <w:t>provi</w:t>
      </w:r>
      <w:r w:rsidR="005F114B">
        <w:rPr>
          <w:rFonts w:ascii="Foundry Form Sans" w:hAnsi="Foundry Form Sans" w:cs="Arial"/>
          <w:szCs w:val="24"/>
        </w:rPr>
        <w:t>sion of</w:t>
      </w:r>
      <w:r w:rsidR="00242FB4" w:rsidRPr="001C39A4">
        <w:rPr>
          <w:rFonts w:ascii="Foundry Form Sans" w:hAnsi="Foundry Form Sans" w:cs="Arial"/>
          <w:szCs w:val="24"/>
        </w:rPr>
        <w:t xml:space="preserve"> </w:t>
      </w:r>
      <w:r w:rsidR="00F27F7E" w:rsidRPr="00232F16">
        <w:rPr>
          <w:rFonts w:ascii="Foundry Form Sans" w:hAnsi="Foundry Form Sans" w:cs="Arial"/>
          <w:szCs w:val="24"/>
        </w:rPr>
        <w:t xml:space="preserve">adequate site development analysis and a </w:t>
      </w:r>
      <w:r w:rsidR="00663D2A" w:rsidRPr="00232F16">
        <w:rPr>
          <w:rFonts w:ascii="Foundry Form Sans" w:hAnsi="Foundry Form Sans" w:cs="Arial"/>
          <w:szCs w:val="24"/>
        </w:rPr>
        <w:t>site layout</w:t>
      </w:r>
      <w:r w:rsidR="00F27F7E" w:rsidRPr="00232F16">
        <w:rPr>
          <w:rFonts w:ascii="Foundry Form Sans" w:hAnsi="Foundry Form Sans" w:cs="Arial"/>
          <w:szCs w:val="24"/>
        </w:rPr>
        <w:t xml:space="preserve"> that</w:t>
      </w:r>
      <w:r w:rsidR="00663D2A" w:rsidRPr="00232F16">
        <w:rPr>
          <w:rFonts w:ascii="Foundry Form Sans" w:hAnsi="Foundry Form Sans" w:cs="Arial"/>
          <w:szCs w:val="24"/>
        </w:rPr>
        <w:t xml:space="preserve"> indic</w:t>
      </w:r>
      <w:r w:rsidR="00F27F7E" w:rsidRPr="00232F16">
        <w:rPr>
          <w:rFonts w:ascii="Foundry Form Sans" w:hAnsi="Foundry Form Sans" w:cs="Arial"/>
          <w:szCs w:val="24"/>
        </w:rPr>
        <w:t xml:space="preserve">ates the </w:t>
      </w:r>
      <w:r w:rsidR="00242FB4" w:rsidRPr="00232F16">
        <w:rPr>
          <w:rFonts w:ascii="Foundry Form Sans" w:hAnsi="Foundry Form Sans" w:cs="Arial"/>
          <w:szCs w:val="24"/>
        </w:rPr>
        <w:t>quantum</w:t>
      </w:r>
      <w:r w:rsidR="004E3BE2" w:rsidRPr="00232F16">
        <w:rPr>
          <w:rFonts w:ascii="Foundry Form Sans" w:hAnsi="Foundry Form Sans" w:cs="Arial"/>
          <w:szCs w:val="24"/>
        </w:rPr>
        <w:t>,</w:t>
      </w:r>
      <w:r w:rsidR="00242FB4" w:rsidRPr="00232F16">
        <w:rPr>
          <w:rFonts w:ascii="Foundry Form Sans" w:hAnsi="Foundry Form Sans" w:cs="Arial"/>
          <w:szCs w:val="24"/>
        </w:rPr>
        <w:t xml:space="preserve"> mix</w:t>
      </w:r>
      <w:r w:rsidR="004E3BE2" w:rsidRPr="00232F16">
        <w:rPr>
          <w:rFonts w:ascii="Foundry Form Sans" w:hAnsi="Foundry Form Sans" w:cs="Arial"/>
          <w:szCs w:val="24"/>
        </w:rPr>
        <w:t xml:space="preserve">, and </w:t>
      </w:r>
      <w:r w:rsidR="00663D2A" w:rsidRPr="00232F16">
        <w:rPr>
          <w:rFonts w:ascii="Foundry Form Sans" w:hAnsi="Foundry Form Sans" w:cs="Arial"/>
          <w:szCs w:val="24"/>
        </w:rPr>
        <w:t>overall</w:t>
      </w:r>
      <w:r w:rsidR="00017D66" w:rsidRPr="00232F16">
        <w:rPr>
          <w:rFonts w:ascii="Foundry Form Sans" w:hAnsi="Foundry Form Sans" w:cs="Arial"/>
          <w:szCs w:val="24"/>
        </w:rPr>
        <w:t xml:space="preserve"> </w:t>
      </w:r>
      <w:r w:rsidR="004E3BE2" w:rsidRPr="00232F16">
        <w:rPr>
          <w:rFonts w:ascii="Foundry Form Sans" w:hAnsi="Foundry Form Sans" w:cs="Arial"/>
          <w:szCs w:val="24"/>
        </w:rPr>
        <w:t>quality</w:t>
      </w:r>
      <w:r w:rsidR="00242FB4" w:rsidRPr="00232F16">
        <w:rPr>
          <w:rFonts w:ascii="Foundry Form Sans" w:hAnsi="Foundry Form Sans" w:cs="Arial"/>
          <w:szCs w:val="24"/>
        </w:rPr>
        <w:t xml:space="preserve"> of development that makes </w:t>
      </w:r>
      <w:r w:rsidR="00F27F7E" w:rsidRPr="00232F16">
        <w:rPr>
          <w:rFonts w:ascii="Foundry Form Sans" w:hAnsi="Foundry Form Sans" w:cs="Arial"/>
          <w:szCs w:val="24"/>
        </w:rPr>
        <w:t xml:space="preserve">a </w:t>
      </w:r>
      <w:r w:rsidR="00242FB4" w:rsidRPr="00232F16">
        <w:rPr>
          <w:rFonts w:ascii="Foundry Form Sans" w:hAnsi="Foundry Form Sans" w:cs="Arial"/>
          <w:szCs w:val="24"/>
        </w:rPr>
        <w:t>viable</w:t>
      </w:r>
      <w:r w:rsidR="00F27F7E" w:rsidRPr="00232F16">
        <w:rPr>
          <w:rFonts w:ascii="Foundry Form Sans" w:hAnsi="Foundry Form Sans" w:cs="Arial"/>
          <w:szCs w:val="24"/>
        </w:rPr>
        <w:t xml:space="preserve"> </w:t>
      </w:r>
      <w:r w:rsidR="00FC6AEE" w:rsidRPr="00232F16">
        <w:rPr>
          <w:rFonts w:ascii="Foundry Form Sans" w:hAnsi="Foundry Form Sans" w:cs="Arial"/>
          <w:szCs w:val="24"/>
        </w:rPr>
        <w:t xml:space="preserve">and exemplary </w:t>
      </w:r>
      <w:r w:rsidR="00F27F7E" w:rsidRPr="00232F16">
        <w:rPr>
          <w:rFonts w:ascii="Foundry Form Sans" w:hAnsi="Foundry Form Sans" w:cs="Arial"/>
          <w:szCs w:val="24"/>
        </w:rPr>
        <w:t>scheme</w:t>
      </w:r>
      <w:r w:rsidR="00356A65">
        <w:rPr>
          <w:rFonts w:ascii="Foundry Form Sans" w:hAnsi="Foundry Form Sans" w:cs="Arial"/>
          <w:szCs w:val="24"/>
        </w:rPr>
        <w:t>;</w:t>
      </w:r>
    </w:p>
    <w:p w:rsidR="00663D2A" w:rsidRDefault="009F5BB8"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w:t>
      </w:r>
      <w:r w:rsidR="00503B0A">
        <w:rPr>
          <w:rFonts w:ascii="Foundry Form Sans" w:hAnsi="Foundry Form Sans" w:cs="Arial"/>
          <w:szCs w:val="24"/>
        </w:rPr>
        <w:t xml:space="preserve"> </w:t>
      </w:r>
      <w:r>
        <w:rPr>
          <w:rFonts w:ascii="Foundry Form Sans" w:hAnsi="Foundry Form Sans" w:cs="Arial"/>
          <w:szCs w:val="24"/>
        </w:rPr>
        <w:t xml:space="preserve">a </w:t>
      </w:r>
      <w:r w:rsidR="00356A65">
        <w:rPr>
          <w:rFonts w:ascii="Foundry Form Sans" w:hAnsi="Foundry Form Sans" w:cs="Arial"/>
          <w:szCs w:val="24"/>
        </w:rPr>
        <w:t xml:space="preserve">landscape design that includes the temporary use of the </w:t>
      </w:r>
      <w:r w:rsidR="00E772EB">
        <w:rPr>
          <w:rFonts w:ascii="Foundry Form Sans" w:hAnsi="Foundry Form Sans" w:cs="Arial"/>
          <w:szCs w:val="24"/>
        </w:rPr>
        <w:t xml:space="preserve">Temporary Open Space Land </w:t>
      </w:r>
      <w:r w:rsidR="00356A65">
        <w:rPr>
          <w:rFonts w:ascii="Foundry Form Sans" w:hAnsi="Foundry Form Sans" w:cs="Arial"/>
          <w:szCs w:val="24"/>
        </w:rPr>
        <w:t xml:space="preserve">to provide amenity space. </w:t>
      </w:r>
      <w:r w:rsidR="00663D2A" w:rsidRPr="00232F16">
        <w:rPr>
          <w:rFonts w:ascii="Foundry Form Sans" w:hAnsi="Foundry Form Sans" w:cs="Arial"/>
          <w:szCs w:val="24"/>
        </w:rPr>
        <w:t xml:space="preserve"> </w:t>
      </w:r>
    </w:p>
    <w:p w:rsidR="007079CA" w:rsidRPr="00503B0A" w:rsidRDefault="007079CA" w:rsidP="009F133B">
      <w:pPr>
        <w:pStyle w:val="BodyText"/>
        <w:spacing w:after="120" w:line="23" w:lineRule="atLeast"/>
        <w:ind w:left="284"/>
        <w:jc w:val="both"/>
        <w:rPr>
          <w:rFonts w:ascii="Foundry Form Sans" w:hAnsi="Foundry Form Sans" w:cs="Arial"/>
          <w:szCs w:val="24"/>
          <w:u w:val="single"/>
        </w:rPr>
      </w:pPr>
    </w:p>
    <w:p w:rsidR="009F5BB8" w:rsidRPr="009F5BB8"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9F5BB8">
        <w:rPr>
          <w:rFonts w:ascii="Foundry Form Sans" w:hAnsi="Foundry Form Sans" w:cs="Arial"/>
          <w:szCs w:val="24"/>
        </w:rPr>
        <w:t>Responses should include a Design and Access statement and</w:t>
      </w:r>
      <w:r w:rsidR="009F5BB8">
        <w:rPr>
          <w:rFonts w:ascii="Foundry Form Sans" w:hAnsi="Foundry Form Sans" w:cs="Arial"/>
          <w:szCs w:val="24"/>
        </w:rPr>
        <w:t xml:space="preserve">, as set out above, </w:t>
      </w:r>
      <w:r w:rsidRPr="009F5BB8">
        <w:rPr>
          <w:rFonts w:ascii="Foundry Form Sans" w:hAnsi="Foundry Form Sans" w:cs="Arial"/>
          <w:szCs w:val="24"/>
        </w:rPr>
        <w:t xml:space="preserve">a </w:t>
      </w:r>
      <w:r w:rsidR="00132590" w:rsidRPr="009F5BB8">
        <w:rPr>
          <w:rFonts w:ascii="Foundry Form Sans" w:hAnsi="Foundry Form Sans" w:cs="Arial"/>
          <w:szCs w:val="24"/>
        </w:rPr>
        <w:t>minimum</w:t>
      </w:r>
      <w:r w:rsidRPr="009F5BB8">
        <w:rPr>
          <w:rFonts w:ascii="Foundry Form Sans" w:hAnsi="Foundry Form Sans" w:cs="Arial"/>
          <w:szCs w:val="24"/>
        </w:rPr>
        <w:t xml:space="preserve"> of </w:t>
      </w:r>
      <w:r w:rsidR="009F5BB8" w:rsidRPr="009F5BB8">
        <w:rPr>
          <w:rFonts w:ascii="Foundry Form Sans" w:hAnsi="Foundry Form Sans" w:cs="Arial"/>
          <w:szCs w:val="24"/>
        </w:rPr>
        <w:t>3</w:t>
      </w:r>
      <w:r w:rsidR="00663D2A" w:rsidRPr="009F5BB8">
        <w:rPr>
          <w:rFonts w:ascii="Foundry Form Sans" w:hAnsi="Foundry Form Sans" w:cs="Arial"/>
          <w:szCs w:val="24"/>
        </w:rPr>
        <w:t>no.</w:t>
      </w:r>
      <w:r w:rsidRPr="009F5BB8">
        <w:rPr>
          <w:rFonts w:ascii="Foundry Form Sans" w:hAnsi="Foundry Form Sans" w:cs="Arial"/>
          <w:szCs w:val="24"/>
        </w:rPr>
        <w:t xml:space="preserve"> </w:t>
      </w:r>
      <w:r w:rsidR="00132590" w:rsidRPr="009F5BB8">
        <w:rPr>
          <w:rFonts w:ascii="Foundry Form Sans" w:hAnsi="Foundry Form Sans" w:cs="Arial"/>
          <w:szCs w:val="24"/>
        </w:rPr>
        <w:t xml:space="preserve">legible </w:t>
      </w:r>
      <w:r w:rsidR="00AF4BF9" w:rsidRPr="009F5BB8">
        <w:rPr>
          <w:rFonts w:ascii="Foundry Form Sans" w:hAnsi="Foundry Form Sans" w:cs="Arial"/>
          <w:szCs w:val="24"/>
        </w:rPr>
        <w:t xml:space="preserve">drawings to RIBA stage 2 </w:t>
      </w:r>
      <w:r w:rsidR="009B721F" w:rsidRPr="009F5BB8">
        <w:rPr>
          <w:rFonts w:ascii="Foundry Form Sans" w:hAnsi="Foundry Form Sans" w:cs="Arial"/>
          <w:szCs w:val="24"/>
        </w:rPr>
        <w:t>(which may be</w:t>
      </w:r>
      <w:r w:rsidR="00A77166" w:rsidRPr="009F5BB8">
        <w:rPr>
          <w:rFonts w:ascii="Foundry Form Sans" w:hAnsi="Foundry Form Sans" w:cs="Arial"/>
          <w:szCs w:val="24"/>
        </w:rPr>
        <w:t xml:space="preserve"> A3</w:t>
      </w:r>
      <w:r w:rsidR="009B721F" w:rsidRPr="009F5BB8">
        <w:rPr>
          <w:rFonts w:ascii="Foundry Form Sans" w:hAnsi="Foundry Form Sans" w:cs="Arial"/>
          <w:szCs w:val="24"/>
        </w:rPr>
        <w:t>)</w:t>
      </w:r>
      <w:r w:rsidR="00A77166" w:rsidRPr="009F5BB8">
        <w:rPr>
          <w:rFonts w:ascii="Foundry Form Sans" w:hAnsi="Foundry Form Sans" w:cs="Arial"/>
          <w:szCs w:val="24"/>
        </w:rPr>
        <w:t xml:space="preserve"> </w:t>
      </w:r>
      <w:r w:rsidR="00AF4BF9" w:rsidRPr="009F5BB8">
        <w:rPr>
          <w:rFonts w:ascii="Foundry Form Sans" w:hAnsi="Foundry Form Sans" w:cs="Arial"/>
          <w:szCs w:val="24"/>
        </w:rPr>
        <w:t>that</w:t>
      </w:r>
      <w:r w:rsidRPr="009F5BB8">
        <w:rPr>
          <w:rFonts w:ascii="Foundry Form Sans" w:hAnsi="Foundry Form Sans" w:cs="Arial"/>
          <w:szCs w:val="24"/>
        </w:rPr>
        <w:t xml:space="preserve"> illustrates and explains your approach to: </w:t>
      </w:r>
    </w:p>
    <w:p w:rsidR="00F46EC4" w:rsidRPr="00503B0A" w:rsidRDefault="00F46EC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Use</w:t>
      </w:r>
      <w:r w:rsidRPr="00503B0A">
        <w:rPr>
          <w:rFonts w:ascii="Foundry Form Sans" w:hAnsi="Foundry Form Sans" w:cs="Arial"/>
          <w:szCs w:val="24"/>
        </w:rPr>
        <w:t xml:space="preserve"> – provide details of the housing tenure mix, distribution and any details of ancillary non-residential uses and how they will enhance and support the </w:t>
      </w:r>
      <w:r w:rsidR="004A6004" w:rsidRPr="00503B0A">
        <w:rPr>
          <w:rFonts w:ascii="Foundry Form Sans" w:hAnsi="Foundry Form Sans" w:cs="Arial"/>
          <w:szCs w:val="24"/>
        </w:rPr>
        <w:t>emerging Royal Albert Basin</w:t>
      </w:r>
      <w:r w:rsidRPr="00503B0A">
        <w:rPr>
          <w:rFonts w:ascii="Foundry Form Sans" w:hAnsi="Foundry Form Sans" w:cs="Arial"/>
          <w:szCs w:val="24"/>
        </w:rPr>
        <w:t xml:space="preserve"> </w:t>
      </w:r>
      <w:r w:rsidR="004A6004" w:rsidRPr="00503B0A">
        <w:rPr>
          <w:rFonts w:ascii="Foundry Form Sans" w:hAnsi="Foundry Form Sans" w:cs="Arial"/>
          <w:szCs w:val="24"/>
        </w:rPr>
        <w:t>local centre</w:t>
      </w:r>
      <w:r w:rsidRPr="00503B0A">
        <w:rPr>
          <w:rFonts w:ascii="Foundry Form Sans" w:hAnsi="Foundry Form Sans" w:cs="Arial"/>
          <w:szCs w:val="24"/>
        </w:rPr>
        <w:t>;</w:t>
      </w:r>
    </w:p>
    <w:p w:rsidR="00242FB4"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Amount</w:t>
      </w:r>
      <w:r w:rsidRPr="000353B5">
        <w:rPr>
          <w:rFonts w:ascii="Foundry Form Sans" w:hAnsi="Foundry Form Sans" w:cs="Arial"/>
          <w:szCs w:val="24"/>
        </w:rPr>
        <w:t xml:space="preserve"> </w:t>
      </w:r>
      <w:r w:rsidR="00270ECA" w:rsidRPr="000353B5">
        <w:rPr>
          <w:rFonts w:ascii="Foundry Form Sans" w:hAnsi="Foundry Form Sans" w:cs="Arial"/>
          <w:szCs w:val="24"/>
        </w:rPr>
        <w:t>–</w:t>
      </w:r>
      <w:r w:rsidRPr="000353B5">
        <w:rPr>
          <w:rFonts w:ascii="Foundry Form Sans" w:hAnsi="Foundry Form Sans" w:cs="Arial"/>
          <w:szCs w:val="24"/>
        </w:rPr>
        <w:t xml:space="preserve"> How</w:t>
      </w:r>
      <w:r w:rsidR="00270ECA" w:rsidRPr="000353B5">
        <w:rPr>
          <w:rFonts w:ascii="Foundry Form Sans" w:hAnsi="Foundry Form Sans" w:cs="Arial"/>
          <w:szCs w:val="24"/>
        </w:rPr>
        <w:t xml:space="preserve"> </w:t>
      </w:r>
      <w:r w:rsidRPr="000353B5">
        <w:rPr>
          <w:rFonts w:ascii="Foundry Form Sans" w:hAnsi="Foundry Form Sans" w:cs="Arial"/>
          <w:szCs w:val="24"/>
        </w:rPr>
        <w:t xml:space="preserve">much would be built on the </w:t>
      </w:r>
      <w:r w:rsidR="00514E0E">
        <w:rPr>
          <w:rFonts w:ascii="Foundry Form Sans" w:hAnsi="Foundry Form Sans" w:cs="Arial"/>
          <w:szCs w:val="24"/>
        </w:rPr>
        <w:t>Site</w:t>
      </w:r>
      <w:r w:rsidRPr="000353B5">
        <w:rPr>
          <w:rFonts w:ascii="Foundry Form Sans" w:hAnsi="Foundry Form Sans" w:cs="Arial"/>
          <w:szCs w:val="24"/>
        </w:rPr>
        <w:t xml:space="preserve"> </w:t>
      </w:r>
      <w:r w:rsidR="0056176E" w:rsidRPr="000353B5">
        <w:rPr>
          <w:rFonts w:ascii="Foundry Form Sans" w:hAnsi="Foundry Form Sans" w:cs="Arial"/>
          <w:szCs w:val="24"/>
        </w:rPr>
        <w:t>including</w:t>
      </w:r>
      <w:r w:rsidRPr="000353B5">
        <w:rPr>
          <w:rFonts w:ascii="Foundry Form Sans" w:hAnsi="Foundry Form Sans" w:cs="Arial"/>
          <w:szCs w:val="24"/>
        </w:rPr>
        <w:t xml:space="preserve"> </w:t>
      </w:r>
      <w:r w:rsidR="005D612D" w:rsidRPr="000353B5">
        <w:rPr>
          <w:rFonts w:ascii="Foundry Form Sans" w:hAnsi="Foundry Form Sans" w:cs="Arial"/>
          <w:szCs w:val="24"/>
        </w:rPr>
        <w:t xml:space="preserve">appropriate housing typologies and density for the </w:t>
      </w:r>
      <w:r w:rsidR="00514E0E">
        <w:rPr>
          <w:rFonts w:ascii="Foundry Form Sans" w:hAnsi="Foundry Form Sans" w:cs="Arial"/>
          <w:szCs w:val="24"/>
        </w:rPr>
        <w:t>Site</w:t>
      </w:r>
      <w:r w:rsidR="00C879F2" w:rsidRPr="000353B5">
        <w:rPr>
          <w:rFonts w:ascii="Foundry Form Sans" w:hAnsi="Foundry Form Sans" w:cs="Arial"/>
          <w:szCs w:val="24"/>
        </w:rPr>
        <w:t xml:space="preserve">, the </w:t>
      </w:r>
      <w:r w:rsidR="00A6242B" w:rsidRPr="000353B5">
        <w:rPr>
          <w:rFonts w:ascii="Foundry Form Sans" w:hAnsi="Foundry Form Sans" w:cs="Arial"/>
          <w:szCs w:val="24"/>
        </w:rPr>
        <w:t>number of housing units</w:t>
      </w:r>
      <w:r w:rsidR="007079CA">
        <w:rPr>
          <w:rFonts w:ascii="Foundry Form Sans" w:hAnsi="Foundry Form Sans" w:cs="Arial"/>
          <w:szCs w:val="24"/>
        </w:rPr>
        <w:t>, including affordable housing,</w:t>
      </w:r>
      <w:r w:rsidR="00A6242B" w:rsidRPr="000353B5">
        <w:rPr>
          <w:rFonts w:ascii="Foundry Form Sans" w:hAnsi="Foundry Form Sans" w:cs="Arial"/>
          <w:szCs w:val="24"/>
        </w:rPr>
        <w:t xml:space="preserve"> and </w:t>
      </w:r>
      <w:r w:rsidR="00FC6AEE" w:rsidRPr="000353B5">
        <w:rPr>
          <w:rFonts w:ascii="Foundry Form Sans" w:hAnsi="Foundry Form Sans" w:cs="Arial"/>
          <w:szCs w:val="24"/>
        </w:rPr>
        <w:t>ancillary</w:t>
      </w:r>
      <w:r w:rsidR="00F46EC4">
        <w:rPr>
          <w:rFonts w:ascii="Foundry Form Sans" w:hAnsi="Foundry Form Sans" w:cs="Arial"/>
          <w:szCs w:val="24"/>
        </w:rPr>
        <w:t xml:space="preserve"> non-residential</w:t>
      </w:r>
      <w:r w:rsidR="00A6242B" w:rsidRPr="000353B5">
        <w:rPr>
          <w:rFonts w:ascii="Foundry Form Sans" w:hAnsi="Foundry Form Sans" w:cs="Arial"/>
          <w:szCs w:val="24"/>
        </w:rPr>
        <w:t xml:space="preserve"> floor space proposed</w:t>
      </w:r>
      <w:r w:rsidR="0086152D" w:rsidRPr="000353B5">
        <w:rPr>
          <w:rFonts w:ascii="Foundry Form Sans" w:hAnsi="Foundry Form Sans" w:cs="Arial"/>
          <w:szCs w:val="24"/>
        </w:rPr>
        <w:t>;</w:t>
      </w:r>
    </w:p>
    <w:p w:rsidR="00242FB4"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 xml:space="preserve">Design </w:t>
      </w:r>
      <w:r w:rsidR="00533291" w:rsidRPr="00503B0A">
        <w:rPr>
          <w:rFonts w:ascii="Foundry Form Sans" w:hAnsi="Foundry Form Sans" w:cs="Arial"/>
          <w:b/>
          <w:szCs w:val="24"/>
        </w:rPr>
        <w:t>and Sustainability</w:t>
      </w:r>
      <w:r w:rsidR="00270ECA" w:rsidRPr="000353B5">
        <w:rPr>
          <w:rFonts w:ascii="Foundry Form Sans" w:hAnsi="Foundry Form Sans" w:cs="Arial"/>
          <w:szCs w:val="24"/>
        </w:rPr>
        <w:t xml:space="preserve"> –</w:t>
      </w:r>
      <w:r w:rsidR="00C6478A" w:rsidRPr="000353B5">
        <w:rPr>
          <w:rFonts w:ascii="Foundry Form Sans" w:hAnsi="Foundry Form Sans" w:cs="Arial"/>
          <w:szCs w:val="24"/>
        </w:rPr>
        <w:t xml:space="preserve"> How</w:t>
      </w:r>
      <w:r w:rsidR="00270ECA" w:rsidRPr="000353B5">
        <w:rPr>
          <w:rFonts w:ascii="Foundry Form Sans" w:hAnsi="Foundry Form Sans" w:cs="Arial"/>
          <w:szCs w:val="24"/>
        </w:rPr>
        <w:t xml:space="preserve"> </w:t>
      </w:r>
      <w:r w:rsidRPr="000353B5">
        <w:rPr>
          <w:rFonts w:ascii="Foundry Form Sans" w:hAnsi="Foundry Form Sans" w:cs="Arial"/>
          <w:szCs w:val="24"/>
        </w:rPr>
        <w:t>this development</w:t>
      </w:r>
      <w:r w:rsidR="00C879F2" w:rsidRPr="000353B5">
        <w:rPr>
          <w:rFonts w:ascii="Foundry Form Sans" w:hAnsi="Foundry Form Sans" w:cs="Arial"/>
          <w:szCs w:val="24"/>
        </w:rPr>
        <w:t xml:space="preserve"> </w:t>
      </w:r>
      <w:r w:rsidR="00C6478A" w:rsidRPr="000353B5">
        <w:rPr>
          <w:rFonts w:ascii="Foundry Form Sans" w:hAnsi="Foundry Form Sans" w:cs="Arial"/>
          <w:szCs w:val="24"/>
        </w:rPr>
        <w:t xml:space="preserve">will </w:t>
      </w:r>
      <w:r w:rsidR="00C879F2" w:rsidRPr="000353B5">
        <w:rPr>
          <w:rFonts w:ascii="Foundry Form Sans" w:hAnsi="Foundry Form Sans" w:cs="Arial"/>
          <w:szCs w:val="24"/>
        </w:rPr>
        <w:t xml:space="preserve">meet design standards </w:t>
      </w:r>
      <w:r w:rsidR="008131D3" w:rsidRPr="000353B5">
        <w:rPr>
          <w:rFonts w:ascii="Foundry Form Sans" w:hAnsi="Foundry Form Sans" w:cs="Arial"/>
          <w:szCs w:val="24"/>
        </w:rPr>
        <w:t xml:space="preserve">including London Housing Design Guide and </w:t>
      </w:r>
      <w:r w:rsidR="00FA687B">
        <w:rPr>
          <w:rFonts w:ascii="Foundry Form Sans" w:hAnsi="Foundry Form Sans" w:cs="Arial"/>
          <w:szCs w:val="24"/>
        </w:rPr>
        <w:t xml:space="preserve">requirement for </w:t>
      </w:r>
      <w:r w:rsidR="008131D3" w:rsidRPr="000353B5">
        <w:rPr>
          <w:rFonts w:ascii="Foundry Form Sans" w:hAnsi="Foundry Form Sans" w:cs="Arial"/>
          <w:szCs w:val="24"/>
        </w:rPr>
        <w:t>all resid</w:t>
      </w:r>
      <w:r w:rsidR="00326888">
        <w:rPr>
          <w:rFonts w:ascii="Foundry Form Sans" w:hAnsi="Foundry Form Sans" w:cs="Arial"/>
          <w:szCs w:val="24"/>
        </w:rPr>
        <w:t>ential units must achieve</w:t>
      </w:r>
      <w:r w:rsidR="003F1376">
        <w:rPr>
          <w:rFonts w:ascii="Foundry Form Sans" w:hAnsi="Foundry Form Sans" w:cs="Arial"/>
          <w:szCs w:val="24"/>
        </w:rPr>
        <w:t xml:space="preserve"> the equivalent of</w:t>
      </w:r>
      <w:r w:rsidR="00326888">
        <w:rPr>
          <w:rFonts w:ascii="Foundry Form Sans" w:hAnsi="Foundry Form Sans" w:cs="Arial"/>
          <w:szCs w:val="24"/>
        </w:rPr>
        <w:t xml:space="preserve"> Code</w:t>
      </w:r>
      <w:r w:rsidR="008131D3" w:rsidRPr="000353B5">
        <w:rPr>
          <w:rFonts w:ascii="Foundry Form Sans" w:hAnsi="Foundry Form Sans" w:cs="Arial"/>
          <w:szCs w:val="24"/>
        </w:rPr>
        <w:t xml:space="preserve"> for Sustainable Homes</w:t>
      </w:r>
      <w:r w:rsidR="00326888">
        <w:rPr>
          <w:rFonts w:ascii="Foundry Form Sans" w:hAnsi="Foundry Form Sans" w:cs="Arial"/>
          <w:szCs w:val="24"/>
        </w:rPr>
        <w:t xml:space="preserve"> Level 4</w:t>
      </w:r>
      <w:r w:rsidR="008131D3" w:rsidRPr="000353B5">
        <w:rPr>
          <w:rFonts w:ascii="Foundry Form Sans" w:hAnsi="Foundry Form Sans" w:cs="Arial"/>
          <w:szCs w:val="24"/>
        </w:rPr>
        <w:t xml:space="preserve">.  Any non-residential elements of the Development will be required to meet the "Very Good" standard </w:t>
      </w:r>
      <w:r w:rsidR="00C6478A" w:rsidRPr="000353B5">
        <w:rPr>
          <w:rFonts w:ascii="Foundry Form Sans" w:hAnsi="Foundry Form Sans" w:cs="Arial"/>
          <w:szCs w:val="24"/>
        </w:rPr>
        <w:t xml:space="preserve">within </w:t>
      </w:r>
      <w:r w:rsidR="008131D3" w:rsidRPr="000353B5">
        <w:rPr>
          <w:rFonts w:ascii="Foundry Form Sans" w:hAnsi="Foundry Form Sans" w:cs="Arial"/>
          <w:szCs w:val="24"/>
        </w:rPr>
        <w:t>BRE's BREEAM scheme</w:t>
      </w:r>
      <w:r w:rsidR="00F47BD6">
        <w:rPr>
          <w:rFonts w:ascii="Foundry Form Sans" w:hAnsi="Foundry Form Sans" w:cs="Arial"/>
          <w:szCs w:val="24"/>
        </w:rPr>
        <w:t xml:space="preserve"> or equivalent</w:t>
      </w:r>
      <w:r w:rsidR="00C6478A" w:rsidRPr="000353B5">
        <w:rPr>
          <w:rFonts w:ascii="Foundry Form Sans" w:hAnsi="Foundry Form Sans" w:cs="Arial"/>
          <w:szCs w:val="24"/>
        </w:rPr>
        <w:t>,</w:t>
      </w:r>
      <w:r w:rsidR="008131D3" w:rsidRPr="000353B5">
        <w:rPr>
          <w:rFonts w:ascii="Foundry Form Sans" w:hAnsi="Foundry Form Sans" w:cs="Arial"/>
          <w:szCs w:val="24"/>
        </w:rPr>
        <w:t xml:space="preserve"> with an aspiration t</w:t>
      </w:r>
      <w:r w:rsidR="0086152D" w:rsidRPr="000353B5">
        <w:rPr>
          <w:rFonts w:ascii="Foundry Form Sans" w:hAnsi="Foundry Form Sans" w:cs="Arial"/>
          <w:szCs w:val="24"/>
        </w:rPr>
        <w:t>o meet the "Excellent" standard;</w:t>
      </w:r>
    </w:p>
    <w:p w:rsidR="00242FB4"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Layout</w:t>
      </w:r>
      <w:r w:rsidRPr="000353B5">
        <w:rPr>
          <w:rFonts w:ascii="Foundry Form Sans" w:hAnsi="Foundry Form Sans" w:cs="Arial"/>
          <w:szCs w:val="24"/>
        </w:rPr>
        <w:t xml:space="preserve"> </w:t>
      </w:r>
      <w:r w:rsidR="00270ECA" w:rsidRPr="000353B5">
        <w:rPr>
          <w:rFonts w:ascii="Foundry Form Sans" w:hAnsi="Foundry Form Sans" w:cs="Arial"/>
          <w:szCs w:val="24"/>
        </w:rPr>
        <w:t>–</w:t>
      </w:r>
      <w:r w:rsidRPr="000353B5">
        <w:rPr>
          <w:rFonts w:ascii="Foundry Form Sans" w:hAnsi="Foundry Form Sans" w:cs="Arial"/>
          <w:szCs w:val="24"/>
        </w:rPr>
        <w:t xml:space="preserve"> How</w:t>
      </w:r>
      <w:r w:rsidR="00270ECA" w:rsidRPr="000353B5">
        <w:rPr>
          <w:rFonts w:ascii="Foundry Form Sans" w:hAnsi="Foundry Form Sans" w:cs="Arial"/>
          <w:szCs w:val="24"/>
        </w:rPr>
        <w:t xml:space="preserve"> </w:t>
      </w:r>
      <w:r w:rsidRPr="000353B5">
        <w:rPr>
          <w:rFonts w:ascii="Foundry Form Sans" w:hAnsi="Foundry Form Sans" w:cs="Arial"/>
          <w:szCs w:val="24"/>
        </w:rPr>
        <w:t xml:space="preserve">the buildings and public and private/semi private spaces will be arranged on the </w:t>
      </w:r>
      <w:r w:rsidR="00514E0E">
        <w:rPr>
          <w:rFonts w:ascii="Foundry Form Sans" w:hAnsi="Foundry Form Sans" w:cs="Arial"/>
          <w:szCs w:val="24"/>
        </w:rPr>
        <w:t>Site</w:t>
      </w:r>
      <w:r w:rsidRPr="000353B5">
        <w:rPr>
          <w:rFonts w:ascii="Foundry Form Sans" w:hAnsi="Foundry Form Sans" w:cs="Arial"/>
          <w:szCs w:val="24"/>
        </w:rPr>
        <w:t xml:space="preserve">, </w:t>
      </w:r>
      <w:r w:rsidR="004A6004">
        <w:rPr>
          <w:rFonts w:ascii="Foundry Form Sans" w:hAnsi="Foundry Form Sans" w:cs="Arial"/>
          <w:szCs w:val="24"/>
        </w:rPr>
        <w:t xml:space="preserve">particularly in considering the relationship with the </w:t>
      </w:r>
      <w:r w:rsidR="00704A99">
        <w:rPr>
          <w:rFonts w:ascii="Foundry Form Sans" w:hAnsi="Foundry Form Sans" w:cs="Arial"/>
          <w:szCs w:val="24"/>
        </w:rPr>
        <w:t xml:space="preserve">river and </w:t>
      </w:r>
      <w:r w:rsidR="004A6004">
        <w:rPr>
          <w:rFonts w:ascii="Foundry Form Sans" w:hAnsi="Foundry Form Sans" w:cs="Arial"/>
          <w:szCs w:val="24"/>
        </w:rPr>
        <w:t xml:space="preserve">safeguarded land and a potential future river crossing to the north of the </w:t>
      </w:r>
      <w:r w:rsidR="00514E0E">
        <w:rPr>
          <w:rFonts w:ascii="Foundry Form Sans" w:hAnsi="Foundry Form Sans" w:cs="Arial"/>
          <w:szCs w:val="24"/>
        </w:rPr>
        <w:t>Site</w:t>
      </w:r>
      <w:r w:rsidR="004A6004">
        <w:rPr>
          <w:rFonts w:ascii="Foundry Form Sans" w:hAnsi="Foundry Form Sans" w:cs="Arial"/>
          <w:szCs w:val="24"/>
        </w:rPr>
        <w:t>. T</w:t>
      </w:r>
      <w:r w:rsidRPr="000353B5">
        <w:rPr>
          <w:rFonts w:ascii="Foundry Form Sans" w:hAnsi="Foundry Form Sans" w:cs="Arial"/>
          <w:szCs w:val="24"/>
        </w:rPr>
        <w:t xml:space="preserve">he relationship </w:t>
      </w:r>
      <w:r w:rsidR="004A6004">
        <w:rPr>
          <w:rFonts w:ascii="Foundry Form Sans" w:hAnsi="Foundry Form Sans" w:cs="Arial"/>
          <w:szCs w:val="24"/>
        </w:rPr>
        <w:t>to surrounding</w:t>
      </w:r>
      <w:r w:rsidRPr="000353B5">
        <w:rPr>
          <w:rFonts w:ascii="Foundry Form Sans" w:hAnsi="Foundry Form Sans" w:cs="Arial"/>
          <w:szCs w:val="24"/>
        </w:rPr>
        <w:t xml:space="preserve"> build</w:t>
      </w:r>
      <w:r w:rsidR="0086152D" w:rsidRPr="000353B5">
        <w:rPr>
          <w:rFonts w:ascii="Foundry Form Sans" w:hAnsi="Foundry Form Sans" w:cs="Arial"/>
          <w:szCs w:val="24"/>
        </w:rPr>
        <w:t>ing</w:t>
      </w:r>
      <w:r w:rsidR="004A6004">
        <w:rPr>
          <w:rFonts w:ascii="Foundry Form Sans" w:hAnsi="Foundry Form Sans" w:cs="Arial"/>
          <w:szCs w:val="24"/>
        </w:rPr>
        <w:t>s, public</w:t>
      </w:r>
      <w:r w:rsidR="0086152D" w:rsidRPr="000353B5">
        <w:rPr>
          <w:rFonts w:ascii="Foundry Form Sans" w:hAnsi="Foundry Form Sans" w:cs="Arial"/>
          <w:szCs w:val="24"/>
        </w:rPr>
        <w:t xml:space="preserve"> </w:t>
      </w:r>
      <w:r w:rsidR="004A6004">
        <w:rPr>
          <w:rFonts w:ascii="Foundry Form Sans" w:hAnsi="Foundry Form Sans" w:cs="Arial"/>
          <w:szCs w:val="24"/>
        </w:rPr>
        <w:t>spaces and infrastructure will also be considered</w:t>
      </w:r>
      <w:r w:rsidR="0086152D" w:rsidRPr="000353B5">
        <w:rPr>
          <w:rFonts w:ascii="Foundry Form Sans" w:hAnsi="Foundry Form Sans" w:cs="Arial"/>
          <w:szCs w:val="24"/>
        </w:rPr>
        <w:t>;</w:t>
      </w:r>
    </w:p>
    <w:p w:rsidR="00242FB4"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 xml:space="preserve">Scale </w:t>
      </w:r>
      <w:r w:rsidR="00270ECA" w:rsidRPr="000353B5">
        <w:rPr>
          <w:rFonts w:ascii="Foundry Form Sans" w:hAnsi="Foundry Form Sans" w:cs="Arial"/>
          <w:szCs w:val="24"/>
        </w:rPr>
        <w:t>–</w:t>
      </w:r>
      <w:r w:rsidRPr="000353B5">
        <w:rPr>
          <w:rFonts w:ascii="Foundry Form Sans" w:hAnsi="Foundry Form Sans" w:cs="Arial"/>
          <w:szCs w:val="24"/>
        </w:rPr>
        <w:t xml:space="preserve"> </w:t>
      </w:r>
      <w:r w:rsidR="00300BFA">
        <w:rPr>
          <w:rFonts w:ascii="Foundry Form Sans" w:hAnsi="Foundry Form Sans" w:cs="Arial"/>
          <w:szCs w:val="24"/>
        </w:rPr>
        <w:t>S</w:t>
      </w:r>
      <w:r w:rsidR="00AF4BF9" w:rsidRPr="000353B5">
        <w:rPr>
          <w:rFonts w:ascii="Foundry Form Sans" w:hAnsi="Foundry Form Sans" w:cs="Arial"/>
          <w:szCs w:val="24"/>
        </w:rPr>
        <w:t xml:space="preserve">ize of </w:t>
      </w:r>
      <w:r w:rsidRPr="000353B5">
        <w:rPr>
          <w:rFonts w:ascii="Foundry Form Sans" w:hAnsi="Foundry Form Sans" w:cs="Arial"/>
          <w:szCs w:val="24"/>
        </w:rPr>
        <w:t>buildings and spaces (their</w:t>
      </w:r>
      <w:r w:rsidR="0086152D" w:rsidRPr="000353B5">
        <w:rPr>
          <w:rFonts w:ascii="Foundry Form Sans" w:hAnsi="Foundry Form Sans" w:cs="Arial"/>
          <w:szCs w:val="24"/>
        </w:rPr>
        <w:t xml:space="preserve"> proportions in</w:t>
      </w:r>
      <w:r w:rsidR="00AF4BF9" w:rsidRPr="000353B5">
        <w:rPr>
          <w:rFonts w:ascii="Foundry Form Sans" w:hAnsi="Foundry Form Sans" w:cs="Arial"/>
          <w:szCs w:val="24"/>
        </w:rPr>
        <w:t xml:space="preserve"> height, width and </w:t>
      </w:r>
      <w:r w:rsidR="00FA687B">
        <w:rPr>
          <w:rFonts w:ascii="Foundry Form Sans" w:hAnsi="Foundry Form Sans" w:cs="Arial"/>
          <w:szCs w:val="24"/>
        </w:rPr>
        <w:t>depth</w:t>
      </w:r>
      <w:r w:rsidR="00AF4BF9" w:rsidRPr="000353B5">
        <w:rPr>
          <w:rFonts w:ascii="Foundry Form Sans" w:hAnsi="Foundry Form Sans" w:cs="Arial"/>
          <w:szCs w:val="24"/>
        </w:rPr>
        <w:t xml:space="preserve">) and </w:t>
      </w:r>
      <w:r w:rsidR="00FC6AEE" w:rsidRPr="000353B5">
        <w:rPr>
          <w:rFonts w:ascii="Foundry Form Sans" w:hAnsi="Foundry Form Sans" w:cs="Arial"/>
          <w:szCs w:val="24"/>
        </w:rPr>
        <w:t xml:space="preserve">also outline how you will ensure that the scale of the development is in accordance to planning/development restrictions and </w:t>
      </w:r>
      <w:r w:rsidR="00AF4BF9" w:rsidRPr="000353B5">
        <w:rPr>
          <w:rFonts w:ascii="Foundry Form Sans" w:hAnsi="Foundry Form Sans" w:cs="Arial"/>
          <w:szCs w:val="24"/>
        </w:rPr>
        <w:t xml:space="preserve">the </w:t>
      </w:r>
      <w:r w:rsidR="00FC6AEE" w:rsidRPr="000353B5">
        <w:rPr>
          <w:rFonts w:ascii="Foundry Form Sans" w:hAnsi="Foundry Form Sans" w:cs="Arial"/>
          <w:szCs w:val="24"/>
        </w:rPr>
        <w:t>objectives</w:t>
      </w:r>
      <w:r w:rsidR="0086152D" w:rsidRPr="000353B5">
        <w:rPr>
          <w:rFonts w:ascii="Foundry Form Sans" w:hAnsi="Foundry Form Sans" w:cs="Arial"/>
          <w:szCs w:val="24"/>
        </w:rPr>
        <w:t>;</w:t>
      </w:r>
    </w:p>
    <w:p w:rsidR="00242FB4"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Landscaping</w:t>
      </w:r>
      <w:r w:rsidR="0086152D" w:rsidRPr="00503B0A">
        <w:rPr>
          <w:rFonts w:ascii="Foundry Form Sans" w:hAnsi="Foundry Form Sans" w:cs="Arial"/>
          <w:b/>
          <w:szCs w:val="24"/>
        </w:rPr>
        <w:t xml:space="preserve"> and Public Realm</w:t>
      </w:r>
      <w:r w:rsidRPr="000353B5">
        <w:rPr>
          <w:rFonts w:ascii="Foundry Form Sans" w:hAnsi="Foundry Form Sans" w:cs="Arial"/>
          <w:szCs w:val="24"/>
        </w:rPr>
        <w:t xml:space="preserve"> </w:t>
      </w:r>
      <w:r w:rsidR="00270ECA" w:rsidRPr="000353B5">
        <w:rPr>
          <w:rFonts w:ascii="Foundry Form Sans" w:hAnsi="Foundry Form Sans" w:cs="Arial"/>
          <w:szCs w:val="24"/>
        </w:rPr>
        <w:t>–</w:t>
      </w:r>
      <w:r w:rsidR="003F3DE8" w:rsidRPr="000353B5">
        <w:rPr>
          <w:rFonts w:ascii="Foundry Form Sans" w:hAnsi="Foundry Form Sans" w:cs="Arial"/>
          <w:szCs w:val="24"/>
        </w:rPr>
        <w:t xml:space="preserve"> </w:t>
      </w:r>
      <w:r w:rsidR="0086152D" w:rsidRPr="000353B5">
        <w:rPr>
          <w:rFonts w:ascii="Foundry Form Sans" w:hAnsi="Foundry Form Sans" w:cs="Arial"/>
          <w:szCs w:val="24"/>
        </w:rPr>
        <w:t>How</w:t>
      </w:r>
      <w:r w:rsidR="00270ECA" w:rsidRPr="000353B5">
        <w:rPr>
          <w:rFonts w:ascii="Foundry Form Sans" w:hAnsi="Foundry Form Sans" w:cs="Arial"/>
          <w:szCs w:val="24"/>
        </w:rPr>
        <w:t xml:space="preserve"> </w:t>
      </w:r>
      <w:r w:rsidR="0086152D" w:rsidRPr="000353B5">
        <w:rPr>
          <w:rFonts w:ascii="Foundry Form Sans" w:hAnsi="Foundry Form Sans" w:cs="Arial"/>
          <w:szCs w:val="24"/>
        </w:rPr>
        <w:t>open spaces</w:t>
      </w:r>
      <w:r w:rsidR="00E83000">
        <w:rPr>
          <w:rFonts w:ascii="Foundry Form Sans" w:hAnsi="Foundry Form Sans" w:cs="Arial"/>
          <w:szCs w:val="24"/>
        </w:rPr>
        <w:t xml:space="preserve">, both within the development and </w:t>
      </w:r>
      <w:r w:rsidR="00E772EB">
        <w:rPr>
          <w:rFonts w:ascii="Foundry Form Sans" w:hAnsi="Foundry Form Sans" w:cs="Arial"/>
          <w:szCs w:val="24"/>
        </w:rPr>
        <w:t>on the Temporary Open Space Land</w:t>
      </w:r>
      <w:r w:rsidR="0086152D" w:rsidRPr="000353B5">
        <w:rPr>
          <w:rFonts w:ascii="Foundry Form Sans" w:hAnsi="Foundry Form Sans" w:cs="Arial"/>
          <w:szCs w:val="24"/>
        </w:rPr>
        <w:t xml:space="preserve">, </w:t>
      </w:r>
      <w:r w:rsidRPr="000353B5">
        <w:rPr>
          <w:rFonts w:ascii="Foundry Form Sans" w:hAnsi="Foundry Form Sans" w:cs="Arial"/>
          <w:szCs w:val="24"/>
        </w:rPr>
        <w:t>will be treated to enhance and p</w:t>
      </w:r>
      <w:r w:rsidR="0086152D" w:rsidRPr="000353B5">
        <w:rPr>
          <w:rFonts w:ascii="Foundry Form Sans" w:hAnsi="Foundry Form Sans" w:cs="Arial"/>
          <w:szCs w:val="24"/>
        </w:rPr>
        <w:t xml:space="preserve">rotect the </w:t>
      </w:r>
      <w:r w:rsidR="00AF4BF9" w:rsidRPr="000353B5">
        <w:rPr>
          <w:rFonts w:ascii="Foundry Form Sans" w:hAnsi="Foundry Form Sans" w:cs="Arial"/>
          <w:szCs w:val="24"/>
        </w:rPr>
        <w:t xml:space="preserve">unique </w:t>
      </w:r>
      <w:r w:rsidR="0086152D" w:rsidRPr="000353B5">
        <w:rPr>
          <w:rFonts w:ascii="Foundry Form Sans" w:hAnsi="Foundry Form Sans" w:cs="Arial"/>
          <w:szCs w:val="24"/>
        </w:rPr>
        <w:t>character and environment of the place and provide public and private amenity, integrating accessible routes within the existing street and pedestrian network</w:t>
      </w:r>
      <w:r w:rsidR="004A6004">
        <w:rPr>
          <w:rFonts w:ascii="Foundry Form Sans" w:hAnsi="Foundry Form Sans" w:cs="Arial"/>
          <w:szCs w:val="24"/>
        </w:rPr>
        <w:t>, and to the river and river walk</w:t>
      </w:r>
      <w:r w:rsidR="0086152D" w:rsidRPr="000353B5">
        <w:rPr>
          <w:rFonts w:ascii="Foundry Form Sans" w:hAnsi="Foundry Form Sans" w:cs="Arial"/>
          <w:szCs w:val="24"/>
        </w:rPr>
        <w:t>;</w:t>
      </w:r>
    </w:p>
    <w:p w:rsidR="00242FB4" w:rsidRDefault="003F3DE8"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 xml:space="preserve">Build Quality and </w:t>
      </w:r>
      <w:r w:rsidR="00242FB4" w:rsidRPr="00503B0A">
        <w:rPr>
          <w:rFonts w:ascii="Foundry Form Sans" w:hAnsi="Foundry Form Sans" w:cs="Arial"/>
          <w:b/>
          <w:szCs w:val="24"/>
        </w:rPr>
        <w:t>Appearance</w:t>
      </w:r>
      <w:r w:rsidR="00242FB4" w:rsidRPr="000353B5">
        <w:rPr>
          <w:rFonts w:ascii="Foundry Form Sans" w:hAnsi="Foundry Form Sans" w:cs="Arial"/>
          <w:szCs w:val="24"/>
        </w:rPr>
        <w:t xml:space="preserve"> </w:t>
      </w:r>
      <w:r w:rsidR="00270ECA" w:rsidRPr="000353B5">
        <w:rPr>
          <w:rFonts w:ascii="Foundry Form Sans" w:hAnsi="Foundry Form Sans" w:cs="Arial"/>
          <w:szCs w:val="24"/>
        </w:rPr>
        <w:t>–</w:t>
      </w:r>
      <w:r w:rsidR="00242FB4" w:rsidRPr="000353B5">
        <w:rPr>
          <w:rFonts w:ascii="Foundry Form Sans" w:hAnsi="Foundry Form Sans" w:cs="Arial"/>
          <w:szCs w:val="24"/>
        </w:rPr>
        <w:t xml:space="preserve"> What</w:t>
      </w:r>
      <w:r w:rsidR="00270ECA" w:rsidRPr="000353B5">
        <w:rPr>
          <w:rFonts w:ascii="Foundry Form Sans" w:hAnsi="Foundry Form Sans" w:cs="Arial"/>
          <w:szCs w:val="24"/>
        </w:rPr>
        <w:t xml:space="preserve"> </w:t>
      </w:r>
      <w:r w:rsidR="00242FB4" w:rsidRPr="000353B5">
        <w:rPr>
          <w:rFonts w:ascii="Foundry Form Sans" w:hAnsi="Foundry Form Sans" w:cs="Arial"/>
          <w:szCs w:val="24"/>
        </w:rPr>
        <w:t xml:space="preserve">the building and spaces will look like, for example, </w:t>
      </w:r>
      <w:r w:rsidRPr="000353B5">
        <w:rPr>
          <w:rFonts w:ascii="Foundry Form Sans" w:hAnsi="Foundry Form Sans" w:cs="Arial"/>
          <w:szCs w:val="24"/>
        </w:rPr>
        <w:t>building materials and architectural details</w:t>
      </w:r>
      <w:r w:rsidR="00C6478A" w:rsidRPr="000353B5">
        <w:rPr>
          <w:rFonts w:ascii="Foundry Form Sans" w:hAnsi="Foundry Form Sans" w:cs="Arial"/>
          <w:szCs w:val="24"/>
        </w:rPr>
        <w:t xml:space="preserve"> compliant with</w:t>
      </w:r>
      <w:r w:rsidR="00202FF6" w:rsidRPr="000353B5">
        <w:rPr>
          <w:rFonts w:ascii="Foundry Form Sans" w:hAnsi="Foundry Form Sans" w:cs="Arial"/>
          <w:szCs w:val="24"/>
        </w:rPr>
        <w:t xml:space="preserve"> relevant design/</w:t>
      </w:r>
      <w:r w:rsidR="00C6478A" w:rsidRPr="000353B5">
        <w:rPr>
          <w:rFonts w:ascii="Foundry Form Sans" w:hAnsi="Foundry Form Sans" w:cs="Arial"/>
          <w:szCs w:val="24"/>
        </w:rPr>
        <w:t>construction</w:t>
      </w:r>
      <w:r w:rsidR="00202FF6" w:rsidRPr="000353B5">
        <w:rPr>
          <w:rFonts w:ascii="Foundry Form Sans" w:hAnsi="Foundry Form Sans" w:cs="Arial"/>
          <w:szCs w:val="24"/>
        </w:rPr>
        <w:t xml:space="preserve"> standards</w:t>
      </w:r>
      <w:r w:rsidR="00270ECA" w:rsidRPr="000353B5">
        <w:rPr>
          <w:rFonts w:ascii="Foundry Form Sans" w:hAnsi="Foundry Form Sans" w:cs="Arial"/>
          <w:szCs w:val="24"/>
        </w:rPr>
        <w:t>;</w:t>
      </w:r>
    </w:p>
    <w:p w:rsidR="003F3DE8" w:rsidRDefault="00CE340F"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 xml:space="preserve">Connectivity </w:t>
      </w:r>
      <w:r w:rsidRPr="000353B5">
        <w:rPr>
          <w:rFonts w:ascii="Foundry Form Sans" w:hAnsi="Foundry Form Sans" w:cs="Arial"/>
          <w:szCs w:val="24"/>
        </w:rPr>
        <w:t xml:space="preserve">– </w:t>
      </w:r>
      <w:r w:rsidR="00C6478A" w:rsidRPr="000353B5">
        <w:rPr>
          <w:rFonts w:ascii="Foundry Form Sans" w:hAnsi="Foundry Form Sans" w:cs="Arial"/>
          <w:szCs w:val="24"/>
        </w:rPr>
        <w:t>How this d</w:t>
      </w:r>
      <w:r w:rsidR="00353F55" w:rsidRPr="000353B5">
        <w:rPr>
          <w:rFonts w:ascii="Foundry Form Sans" w:hAnsi="Foundry Form Sans" w:cs="Arial"/>
          <w:szCs w:val="24"/>
        </w:rPr>
        <w:t xml:space="preserve">evelopment </w:t>
      </w:r>
      <w:r w:rsidR="00C6478A" w:rsidRPr="000353B5">
        <w:rPr>
          <w:rFonts w:ascii="Foundry Form Sans" w:hAnsi="Foundry Form Sans" w:cs="Arial"/>
          <w:szCs w:val="24"/>
        </w:rPr>
        <w:t xml:space="preserve">will </w:t>
      </w:r>
      <w:r w:rsidR="00353F55" w:rsidRPr="000353B5">
        <w:rPr>
          <w:rFonts w:ascii="Foundry Form Sans" w:hAnsi="Foundry Form Sans" w:cs="Arial"/>
          <w:szCs w:val="24"/>
        </w:rPr>
        <w:t xml:space="preserve">provide clear, safe, permeable structures that significantly improve the directness, visibility and quality of pedestrian access </w:t>
      </w:r>
      <w:r w:rsidRPr="000353B5">
        <w:rPr>
          <w:rFonts w:ascii="Foundry Form Sans" w:hAnsi="Foundry Form Sans" w:cs="Arial"/>
          <w:szCs w:val="24"/>
        </w:rPr>
        <w:t xml:space="preserve">to public transport, </w:t>
      </w:r>
      <w:r w:rsidR="006A2AD1">
        <w:rPr>
          <w:rFonts w:ascii="Foundry Form Sans" w:hAnsi="Foundry Form Sans" w:cs="Arial"/>
          <w:szCs w:val="24"/>
        </w:rPr>
        <w:t>general road access and</w:t>
      </w:r>
      <w:r w:rsidR="00353F55" w:rsidRPr="000353B5">
        <w:rPr>
          <w:rFonts w:ascii="Foundry Form Sans" w:hAnsi="Foundry Form Sans" w:cs="Arial"/>
          <w:szCs w:val="24"/>
        </w:rPr>
        <w:t xml:space="preserve"> </w:t>
      </w:r>
      <w:r w:rsidRPr="000353B5">
        <w:rPr>
          <w:rFonts w:ascii="Foundry Form Sans" w:hAnsi="Foundry Form Sans" w:cs="Arial"/>
          <w:szCs w:val="24"/>
        </w:rPr>
        <w:t xml:space="preserve">local movement </w:t>
      </w:r>
      <w:r w:rsidR="00C6478A" w:rsidRPr="000353B5">
        <w:rPr>
          <w:rFonts w:ascii="Foundry Form Sans" w:hAnsi="Foundry Form Sans" w:cs="Arial"/>
          <w:szCs w:val="24"/>
        </w:rPr>
        <w:t>(walking and cycling</w:t>
      </w:r>
      <w:r w:rsidR="001D3205" w:rsidRPr="000353B5">
        <w:rPr>
          <w:rFonts w:ascii="Foundry Form Sans" w:hAnsi="Foundry Form Sans" w:cs="Arial"/>
          <w:szCs w:val="24"/>
        </w:rPr>
        <w:t>)</w:t>
      </w:r>
      <w:r w:rsidR="00270ECA" w:rsidRPr="000353B5">
        <w:rPr>
          <w:rFonts w:ascii="Foundry Form Sans" w:hAnsi="Foundry Form Sans" w:cs="Arial"/>
          <w:szCs w:val="24"/>
        </w:rPr>
        <w:t>;</w:t>
      </w:r>
      <w:r w:rsidR="004A6004">
        <w:rPr>
          <w:rFonts w:ascii="Foundry Form Sans" w:hAnsi="Foundry Form Sans" w:cs="Arial"/>
          <w:szCs w:val="24"/>
        </w:rPr>
        <w:t xml:space="preserve"> </w:t>
      </w:r>
    </w:p>
    <w:p w:rsidR="00591DDD" w:rsidRPr="000353B5" w:rsidRDefault="00270ECA"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Accessibility</w:t>
      </w:r>
      <w:r w:rsidRPr="00503B0A">
        <w:rPr>
          <w:rFonts w:ascii="Foundry Form Sans" w:hAnsi="Foundry Form Sans" w:cs="Arial"/>
          <w:szCs w:val="24"/>
        </w:rPr>
        <w:t xml:space="preserve"> – </w:t>
      </w:r>
      <w:r w:rsidR="004B040A" w:rsidRPr="00503B0A">
        <w:rPr>
          <w:rFonts w:ascii="Foundry Form Sans" w:hAnsi="Foundry Form Sans" w:cs="Arial"/>
          <w:szCs w:val="24"/>
        </w:rPr>
        <w:t>The</w:t>
      </w:r>
      <w:r w:rsidRPr="00503B0A">
        <w:rPr>
          <w:rFonts w:ascii="Foundry Form Sans" w:hAnsi="Foundry Form Sans" w:cs="Arial"/>
          <w:szCs w:val="24"/>
        </w:rPr>
        <w:t xml:space="preserve"> </w:t>
      </w:r>
      <w:r w:rsidR="00300BFA" w:rsidRPr="00503B0A">
        <w:rPr>
          <w:rFonts w:ascii="Foundry Form Sans" w:hAnsi="Foundry Form Sans" w:cs="Arial"/>
          <w:szCs w:val="24"/>
        </w:rPr>
        <w:t>d</w:t>
      </w:r>
      <w:r w:rsidR="004B040A" w:rsidRPr="00503B0A">
        <w:rPr>
          <w:rFonts w:ascii="Foundry Form Sans" w:hAnsi="Foundry Form Sans" w:cs="Arial"/>
          <w:szCs w:val="24"/>
        </w:rPr>
        <w:t>evelopment should be fully accessible to disabled people and meet the principles of inclusive design (compliance with London Plan Policy) as set out in the Supplementary Planning Guidance "Accessible London: Achieving an Inclusive Environment</w:t>
      </w:r>
      <w:r w:rsidR="00300BFA" w:rsidRPr="00503B0A">
        <w:rPr>
          <w:rFonts w:ascii="Foundry Form Sans" w:hAnsi="Foundry Form Sans" w:cs="Arial"/>
          <w:szCs w:val="24"/>
        </w:rPr>
        <w:t>"</w:t>
      </w:r>
      <w:r w:rsidR="00616BFA">
        <w:rPr>
          <w:rFonts w:ascii="Foundry Form Sans" w:hAnsi="Foundry Form Sans" w:cs="Arial"/>
          <w:szCs w:val="24"/>
        </w:rPr>
        <w:t>;</w:t>
      </w:r>
    </w:p>
    <w:p w:rsidR="004A6004" w:rsidRPr="00503B0A" w:rsidRDefault="00270ECA"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lastRenderedPageBreak/>
        <w:t>Amenities</w:t>
      </w:r>
      <w:r w:rsidRPr="00503B0A">
        <w:rPr>
          <w:rFonts w:ascii="Foundry Form Sans" w:hAnsi="Foundry Form Sans" w:cs="Arial"/>
          <w:szCs w:val="24"/>
        </w:rPr>
        <w:t xml:space="preserve"> – </w:t>
      </w:r>
      <w:r w:rsidR="003138FE" w:rsidRPr="00503B0A">
        <w:rPr>
          <w:rFonts w:ascii="Foundry Form Sans" w:hAnsi="Foundry Form Sans" w:cs="Arial"/>
          <w:szCs w:val="24"/>
        </w:rPr>
        <w:t>Identify</w:t>
      </w:r>
      <w:r w:rsidRPr="00503B0A">
        <w:rPr>
          <w:rFonts w:ascii="Foundry Form Sans" w:hAnsi="Foundry Form Sans" w:cs="Arial"/>
          <w:szCs w:val="24"/>
        </w:rPr>
        <w:t xml:space="preserve"> </w:t>
      </w:r>
      <w:r w:rsidR="003138FE" w:rsidRPr="00503B0A">
        <w:rPr>
          <w:rFonts w:ascii="Foundry Form Sans" w:hAnsi="Foundry Form Sans" w:cs="Arial"/>
          <w:szCs w:val="24"/>
        </w:rPr>
        <w:t>any unique architectural des</w:t>
      </w:r>
      <w:r w:rsidR="001D3205" w:rsidRPr="00503B0A">
        <w:rPr>
          <w:rFonts w:ascii="Foundry Form Sans" w:hAnsi="Foundry Form Sans" w:cs="Arial"/>
          <w:szCs w:val="24"/>
        </w:rPr>
        <w:t xml:space="preserve">ign and housing layouts, shared and serviced </w:t>
      </w:r>
      <w:r w:rsidR="003138FE" w:rsidRPr="00503B0A">
        <w:rPr>
          <w:rFonts w:ascii="Foundry Form Sans" w:hAnsi="Foundry Form Sans" w:cs="Arial"/>
          <w:szCs w:val="24"/>
        </w:rPr>
        <w:t xml:space="preserve">amenities and characteristic(s) that </w:t>
      </w:r>
      <w:r w:rsidR="004A6004" w:rsidRPr="00503B0A">
        <w:rPr>
          <w:rFonts w:ascii="Foundry Form Sans" w:hAnsi="Foundry Form Sans" w:cs="Arial"/>
          <w:szCs w:val="24"/>
        </w:rPr>
        <w:t>respond to the site constraints</w:t>
      </w:r>
      <w:r w:rsidR="00616BFA">
        <w:rPr>
          <w:rFonts w:ascii="Foundry Form Sans" w:hAnsi="Foundry Form Sans" w:cs="Arial"/>
          <w:szCs w:val="24"/>
        </w:rPr>
        <w:t>;</w:t>
      </w:r>
    </w:p>
    <w:p w:rsidR="009C6324" w:rsidRPr="00503B0A" w:rsidRDefault="00FA687B"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b/>
          <w:szCs w:val="24"/>
        </w:rPr>
        <w:t>Public Realm</w:t>
      </w:r>
      <w:r w:rsidRPr="00503B0A">
        <w:rPr>
          <w:rFonts w:ascii="Foundry Form Sans" w:hAnsi="Foundry Form Sans" w:cs="Arial"/>
          <w:szCs w:val="24"/>
        </w:rPr>
        <w:t xml:space="preserve"> - The development should support and strengthen the connections, legibility of routes and amenity provision </w:t>
      </w:r>
      <w:r w:rsidR="00704A99" w:rsidRPr="00503B0A">
        <w:rPr>
          <w:rFonts w:ascii="Foundry Form Sans" w:hAnsi="Foundry Form Sans" w:cs="Arial"/>
          <w:szCs w:val="24"/>
        </w:rPr>
        <w:t xml:space="preserve">from </w:t>
      </w:r>
      <w:r w:rsidR="00C511C6" w:rsidRPr="00503B0A">
        <w:rPr>
          <w:rFonts w:ascii="Foundry Form Sans" w:hAnsi="Foundry Form Sans" w:cs="Arial"/>
          <w:szCs w:val="24"/>
        </w:rPr>
        <w:t>Gallions Reach DLR station to the river and to the adjoining development sites</w:t>
      </w:r>
      <w:r w:rsidR="009C6324" w:rsidRPr="00503B0A">
        <w:rPr>
          <w:rFonts w:ascii="Foundry Form Sans" w:hAnsi="Foundry Form Sans" w:cs="Arial"/>
          <w:szCs w:val="24"/>
        </w:rPr>
        <w:t>.</w:t>
      </w:r>
    </w:p>
    <w:p w:rsidR="00C40AFD" w:rsidRPr="00503B0A" w:rsidRDefault="00C40AFD" w:rsidP="009F133B">
      <w:pPr>
        <w:pStyle w:val="BodyText"/>
        <w:spacing w:after="120" w:line="23" w:lineRule="atLeast"/>
        <w:ind w:left="284"/>
        <w:jc w:val="both"/>
        <w:rPr>
          <w:rFonts w:ascii="Foundry Form Sans" w:hAnsi="Foundry Form Sans" w:cs="Arial"/>
          <w:szCs w:val="24"/>
        </w:rPr>
      </w:pPr>
    </w:p>
    <w:p w:rsidR="00D11259" w:rsidRPr="00503B0A" w:rsidRDefault="00300BFA" w:rsidP="009F133B">
      <w:pPr>
        <w:pStyle w:val="BodyText"/>
        <w:spacing w:after="120" w:line="23" w:lineRule="atLeast"/>
        <w:ind w:left="360"/>
        <w:jc w:val="both"/>
        <w:rPr>
          <w:rFonts w:ascii="Foundry Form Sans" w:hAnsi="Foundry Form Sans" w:cs="Arial"/>
          <w:szCs w:val="24"/>
          <w:u w:val="single"/>
        </w:rPr>
      </w:pPr>
      <w:r w:rsidRPr="00503B0A">
        <w:rPr>
          <w:rFonts w:ascii="Foundry Form Sans" w:hAnsi="Foundry Form Sans" w:cs="Arial"/>
          <w:szCs w:val="24"/>
          <w:u w:val="single"/>
        </w:rPr>
        <w:t xml:space="preserve">A.3 </w:t>
      </w:r>
      <w:r w:rsidR="00107B5E" w:rsidRPr="00503B0A">
        <w:rPr>
          <w:rFonts w:ascii="Foundry Form Sans" w:hAnsi="Foundry Form Sans" w:cs="Arial"/>
          <w:szCs w:val="24"/>
          <w:u w:val="single"/>
        </w:rPr>
        <w:t xml:space="preserve">Approach to Gaining Planning Permission </w:t>
      </w:r>
      <w:r w:rsidR="00D11259" w:rsidRPr="00503B0A">
        <w:rPr>
          <w:rFonts w:ascii="Foundry Form Sans" w:hAnsi="Foundry Form Sans" w:cs="Arial"/>
          <w:szCs w:val="24"/>
          <w:u w:val="single"/>
        </w:rPr>
        <w:t xml:space="preserve">– maximum </w:t>
      </w:r>
      <w:r w:rsidR="00267697" w:rsidRPr="00503B0A">
        <w:rPr>
          <w:rFonts w:ascii="Foundry Form Sans" w:hAnsi="Foundry Form Sans" w:cs="Arial"/>
          <w:szCs w:val="24"/>
          <w:u w:val="single"/>
        </w:rPr>
        <w:t>2</w:t>
      </w:r>
      <w:r w:rsidR="00D11259" w:rsidRPr="00503B0A">
        <w:rPr>
          <w:rFonts w:ascii="Foundry Form Sans" w:hAnsi="Foundry Form Sans" w:cs="Arial"/>
          <w:szCs w:val="24"/>
          <w:u w:val="single"/>
        </w:rPr>
        <w:t xml:space="preserve">no. </w:t>
      </w:r>
      <w:r w:rsidRPr="00503B0A">
        <w:rPr>
          <w:rFonts w:ascii="Foundry Form Sans" w:hAnsi="Foundry Form Sans" w:cs="Arial"/>
          <w:szCs w:val="24"/>
          <w:u w:val="single"/>
        </w:rPr>
        <w:t>s</w:t>
      </w:r>
      <w:r w:rsidR="00D11259" w:rsidRPr="00503B0A">
        <w:rPr>
          <w:rFonts w:ascii="Foundry Form Sans" w:hAnsi="Foundry Form Sans" w:cs="Arial"/>
          <w:szCs w:val="24"/>
          <w:u w:val="single"/>
        </w:rPr>
        <w:t>ides A4</w:t>
      </w:r>
    </w:p>
    <w:p w:rsidR="0036206D" w:rsidRPr="00503B0A" w:rsidRDefault="00DA2708"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Please outline your approach to gaining planning permission. </w:t>
      </w:r>
      <w:r w:rsidR="00FF3B55" w:rsidRPr="00503B0A">
        <w:rPr>
          <w:rFonts w:ascii="Foundry Form Sans" w:hAnsi="Foundry Form Sans" w:cs="Arial"/>
          <w:szCs w:val="24"/>
        </w:rPr>
        <w:t xml:space="preserve">Achieving planning permission is one of the key conditions included within the development agreement. </w:t>
      </w:r>
      <w:r w:rsidR="001E4C85" w:rsidRPr="00503B0A">
        <w:rPr>
          <w:rFonts w:ascii="Foundry Form Sans" w:hAnsi="Foundry Form Sans" w:cs="Arial"/>
          <w:szCs w:val="24"/>
        </w:rPr>
        <w:t xml:space="preserve">A strategy for the approach to gaining planning </w:t>
      </w:r>
      <w:r w:rsidR="00D11259" w:rsidRPr="00503B0A">
        <w:rPr>
          <w:rFonts w:ascii="Foundry Form Sans" w:hAnsi="Foundry Form Sans" w:cs="Arial"/>
          <w:szCs w:val="24"/>
        </w:rPr>
        <w:t>consent</w:t>
      </w:r>
      <w:r w:rsidR="00204132" w:rsidRPr="00503B0A">
        <w:rPr>
          <w:rFonts w:ascii="Foundry Form Sans" w:hAnsi="Foundry Form Sans" w:cs="Arial"/>
          <w:szCs w:val="24"/>
        </w:rPr>
        <w:t>(</w:t>
      </w:r>
      <w:r w:rsidR="00CA562E" w:rsidRPr="00503B0A">
        <w:rPr>
          <w:rFonts w:ascii="Foundry Form Sans" w:hAnsi="Foundry Form Sans" w:cs="Arial"/>
          <w:szCs w:val="24"/>
        </w:rPr>
        <w:t>s</w:t>
      </w:r>
      <w:r w:rsidR="00204132" w:rsidRPr="00503B0A">
        <w:rPr>
          <w:rFonts w:ascii="Foundry Form Sans" w:hAnsi="Foundry Form Sans" w:cs="Arial"/>
          <w:szCs w:val="24"/>
        </w:rPr>
        <w:t>)</w:t>
      </w:r>
      <w:r w:rsidR="00D11259" w:rsidRPr="00503B0A">
        <w:rPr>
          <w:rFonts w:ascii="Foundry Form Sans" w:hAnsi="Foundry Form Sans" w:cs="Arial"/>
          <w:szCs w:val="24"/>
        </w:rPr>
        <w:t xml:space="preserve"> for the proposed development </w:t>
      </w:r>
      <w:r w:rsidR="001E4C85" w:rsidRPr="00503B0A">
        <w:rPr>
          <w:rFonts w:ascii="Foundry Form Sans" w:hAnsi="Foundry Form Sans" w:cs="Arial"/>
          <w:szCs w:val="24"/>
        </w:rPr>
        <w:t xml:space="preserve">should be provided. </w:t>
      </w:r>
      <w:r w:rsidR="00D11259" w:rsidRPr="00503B0A">
        <w:rPr>
          <w:rFonts w:ascii="Foundry Form Sans" w:hAnsi="Foundry Form Sans" w:cs="Arial"/>
          <w:szCs w:val="24"/>
        </w:rPr>
        <w:t>Bidders should set out</w:t>
      </w:r>
      <w:r w:rsidR="0036206D" w:rsidRPr="00503B0A">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9F5BB8">
        <w:rPr>
          <w:rFonts w:ascii="Foundry Form Sans" w:hAnsi="Foundry Form Sans" w:cs="Arial"/>
          <w:szCs w:val="24"/>
        </w:rPr>
        <w:t>your</w:t>
      </w:r>
      <w:r w:rsidR="00D11259" w:rsidRPr="00503B0A">
        <w:rPr>
          <w:rFonts w:ascii="Foundry Form Sans" w:hAnsi="Foundry Form Sans" w:cs="Arial"/>
          <w:szCs w:val="24"/>
        </w:rPr>
        <w:t xml:space="preserve"> approach to achieving </w:t>
      </w:r>
      <w:r w:rsidR="0036206D" w:rsidRPr="00503B0A">
        <w:rPr>
          <w:rFonts w:ascii="Foundry Form Sans" w:hAnsi="Foundry Form Sans" w:cs="Arial"/>
          <w:szCs w:val="24"/>
        </w:rPr>
        <w:t xml:space="preserve">planning permission </w:t>
      </w:r>
      <w:r w:rsidR="00D11259" w:rsidRPr="00503B0A">
        <w:rPr>
          <w:rFonts w:ascii="Foundry Form Sans" w:hAnsi="Foundry Form Sans" w:cs="Arial"/>
          <w:szCs w:val="24"/>
        </w:rPr>
        <w:t>identifying the key stages of the process, any challenges and how these would be overcome</w:t>
      </w:r>
      <w:r w:rsidR="00227CFC" w:rsidRPr="00503B0A">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6206D" w:rsidRPr="00503B0A">
        <w:rPr>
          <w:rFonts w:ascii="Foundry Form Sans" w:hAnsi="Foundry Form Sans" w:cs="Arial"/>
          <w:szCs w:val="24"/>
        </w:rPr>
        <w:t xml:space="preserve">a clear approach to the required minimum provision of affordable homes on the </w:t>
      </w:r>
      <w:r w:rsidR="00514E0E">
        <w:rPr>
          <w:rFonts w:ascii="Foundry Form Sans" w:hAnsi="Foundry Form Sans" w:cs="Arial"/>
          <w:szCs w:val="24"/>
        </w:rPr>
        <w:t>Site</w:t>
      </w:r>
      <w:r w:rsidR="00227CFC" w:rsidRPr="00503B0A">
        <w:rPr>
          <w:rFonts w:ascii="Foundry Form Sans" w:hAnsi="Foundry Form Sans" w:cs="Arial"/>
          <w:szCs w:val="24"/>
        </w:rPr>
        <w:t>;</w:t>
      </w:r>
    </w:p>
    <w:p w:rsidR="0036206D"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AA0039" w:rsidRPr="00503B0A">
        <w:rPr>
          <w:rFonts w:ascii="Foundry Form Sans" w:hAnsi="Foundry Form Sans" w:cs="Arial"/>
          <w:szCs w:val="24"/>
        </w:rPr>
        <w:t>an appropriate planning strategy and application process</w:t>
      </w:r>
      <w:r w:rsidR="00227CFC" w:rsidRPr="00503B0A">
        <w:rPr>
          <w:rFonts w:ascii="Foundry Form Sans" w:hAnsi="Foundry Form Sans" w:cs="Arial"/>
          <w:szCs w:val="24"/>
        </w:rPr>
        <w:t>;</w:t>
      </w:r>
    </w:p>
    <w:p w:rsidR="00227CFC"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6206D" w:rsidRPr="00503B0A">
        <w:rPr>
          <w:rFonts w:ascii="Foundry Form Sans" w:hAnsi="Foundry Form Sans" w:cs="Arial"/>
          <w:szCs w:val="24"/>
        </w:rPr>
        <w:t xml:space="preserve">how </w:t>
      </w:r>
      <w:r w:rsidR="00D11259" w:rsidRPr="00503B0A">
        <w:rPr>
          <w:rFonts w:ascii="Foundry Form Sans" w:hAnsi="Foundry Form Sans" w:cs="Arial"/>
          <w:szCs w:val="24"/>
        </w:rPr>
        <w:t>any subsequent applications or reser</w:t>
      </w:r>
      <w:r w:rsidR="00396964" w:rsidRPr="00503B0A">
        <w:rPr>
          <w:rFonts w:ascii="Foundry Form Sans" w:hAnsi="Foundry Form Sans" w:cs="Arial"/>
          <w:szCs w:val="24"/>
        </w:rPr>
        <w:t xml:space="preserve">ved matters </w:t>
      </w:r>
      <w:r w:rsidR="00B32825" w:rsidRPr="00503B0A">
        <w:rPr>
          <w:rFonts w:ascii="Foundry Form Sans" w:hAnsi="Foundry Form Sans" w:cs="Arial"/>
          <w:szCs w:val="24"/>
        </w:rPr>
        <w:t>would be dealt with</w:t>
      </w:r>
      <w:r w:rsidR="00227CFC" w:rsidRPr="00503B0A">
        <w:rPr>
          <w:rFonts w:ascii="Foundry Form Sans" w:hAnsi="Foundry Form Sans" w:cs="Arial"/>
          <w:szCs w:val="24"/>
        </w:rPr>
        <w:t>;</w:t>
      </w:r>
    </w:p>
    <w:p w:rsidR="00227CFC"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27CFC" w:rsidRPr="00503B0A">
        <w:rPr>
          <w:rFonts w:ascii="Foundry Form Sans" w:hAnsi="Foundry Form Sans" w:cs="Arial"/>
          <w:szCs w:val="24"/>
        </w:rPr>
        <w:t xml:space="preserve">a review of all relevant material related to the </w:t>
      </w:r>
      <w:r w:rsidR="00514E0E">
        <w:rPr>
          <w:rFonts w:ascii="Foundry Form Sans" w:hAnsi="Foundry Form Sans" w:cs="Arial"/>
          <w:szCs w:val="24"/>
        </w:rPr>
        <w:t>Site</w:t>
      </w:r>
      <w:r w:rsidR="00227CFC" w:rsidRPr="00503B0A">
        <w:rPr>
          <w:rFonts w:ascii="Foundry Form Sans" w:hAnsi="Foundry Form Sans" w:cs="Arial"/>
          <w:szCs w:val="24"/>
        </w:rPr>
        <w:t xml:space="preserve"> and undertake due diligence on the site conditions and planning requirements;</w:t>
      </w:r>
    </w:p>
    <w:p w:rsidR="00227CFC"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27CFC" w:rsidRPr="00503B0A">
        <w:rPr>
          <w:rFonts w:ascii="Foundry Form Sans" w:hAnsi="Foundry Form Sans" w:cs="Arial"/>
          <w:szCs w:val="24"/>
        </w:rPr>
        <w:t>how the residential development meets the standards outlined within the London Plan and the LBN affordable and family housing policy (within the Local Authority Core Strategy), along with the requirements of the London Housing Design Guide, (refer also in conjunction to the London Plan – Housing SPG, March 2016)</w:t>
      </w:r>
      <w:r w:rsidR="00616BFA">
        <w:rPr>
          <w:rFonts w:ascii="Foundry Form Sans" w:hAnsi="Foundry Form Sans" w:cs="Arial"/>
          <w:szCs w:val="24"/>
        </w:rPr>
        <w:t>;</w:t>
      </w:r>
    </w:p>
    <w:p w:rsidR="00227CFC"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27CFC" w:rsidRPr="00503B0A">
        <w:rPr>
          <w:rFonts w:ascii="Foundry Form Sans" w:hAnsi="Foundry Form Sans" w:cs="Arial"/>
          <w:szCs w:val="24"/>
        </w:rPr>
        <w:t>an approach to community and stakeholder consultation considered critical to the pre-application and planning application process</w:t>
      </w:r>
      <w:r w:rsidR="00616BFA">
        <w:rPr>
          <w:rFonts w:ascii="Foundry Form Sans" w:hAnsi="Foundry Form Sans" w:cs="Arial"/>
          <w:szCs w:val="24"/>
        </w:rPr>
        <w:t>;</w:t>
      </w:r>
    </w:p>
    <w:p w:rsidR="00D11259"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27CFC" w:rsidRPr="00503B0A">
        <w:rPr>
          <w:rFonts w:ascii="Foundry Form Sans" w:hAnsi="Foundry Form Sans" w:cs="Arial"/>
          <w:szCs w:val="24"/>
        </w:rPr>
        <w:t>any mitigating measures to ensure planning risks are proactively managed throughout the project delivery.</w:t>
      </w:r>
    </w:p>
    <w:p w:rsidR="009F5BB8" w:rsidRPr="00503B0A" w:rsidRDefault="009F5BB8" w:rsidP="009F133B">
      <w:pPr>
        <w:pStyle w:val="BodyText"/>
        <w:spacing w:after="120" w:line="23" w:lineRule="atLeast"/>
        <w:ind w:left="-436"/>
        <w:jc w:val="both"/>
        <w:rPr>
          <w:rFonts w:ascii="Foundry Form Sans" w:hAnsi="Foundry Form Sans" w:cs="Arial"/>
          <w:szCs w:val="24"/>
        </w:rPr>
      </w:pPr>
    </w:p>
    <w:p w:rsidR="00D11259" w:rsidRPr="00503B0A" w:rsidRDefault="00D11259"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The responses will be reviewed by LB</w:t>
      </w:r>
      <w:r w:rsidR="00300BFA" w:rsidRPr="00503B0A">
        <w:rPr>
          <w:rFonts w:ascii="Foundry Form Sans" w:hAnsi="Foundry Form Sans" w:cs="Arial"/>
          <w:szCs w:val="24"/>
        </w:rPr>
        <w:t>N</w:t>
      </w:r>
      <w:r w:rsidRPr="00503B0A">
        <w:rPr>
          <w:rFonts w:ascii="Foundry Form Sans" w:hAnsi="Foundry Form Sans" w:cs="Arial"/>
          <w:szCs w:val="24"/>
        </w:rPr>
        <w:t xml:space="preserve"> and commentary will be sought from LB</w:t>
      </w:r>
      <w:r w:rsidR="00300BFA" w:rsidRPr="00503B0A">
        <w:rPr>
          <w:rFonts w:ascii="Foundry Form Sans" w:hAnsi="Foundry Form Sans" w:cs="Arial"/>
          <w:szCs w:val="24"/>
        </w:rPr>
        <w:t>N's</w:t>
      </w:r>
      <w:r w:rsidRPr="00503B0A">
        <w:rPr>
          <w:rFonts w:ascii="Foundry Form Sans" w:hAnsi="Foundry Form Sans" w:cs="Arial"/>
          <w:szCs w:val="24"/>
        </w:rPr>
        <w:t xml:space="preserve"> planners with regards to any proposals for the </w:t>
      </w:r>
      <w:r w:rsidR="00514E0E">
        <w:rPr>
          <w:rFonts w:ascii="Foundry Form Sans" w:hAnsi="Foundry Form Sans" w:cs="Arial"/>
          <w:szCs w:val="24"/>
        </w:rPr>
        <w:t>Site</w:t>
      </w:r>
      <w:r w:rsidR="00300BFA" w:rsidRPr="00503B0A">
        <w:rPr>
          <w:rFonts w:ascii="Foundry Form Sans" w:hAnsi="Foundry Form Sans" w:cs="Arial"/>
          <w:szCs w:val="24"/>
        </w:rPr>
        <w:t>.</w:t>
      </w:r>
    </w:p>
    <w:p w:rsidR="0007553A" w:rsidRPr="00503B0A" w:rsidRDefault="0007553A"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If you believe that any particular element of the development is unable to achieve </w:t>
      </w:r>
      <w:r w:rsidR="00AE2CC3" w:rsidRPr="00503B0A">
        <w:rPr>
          <w:rFonts w:ascii="Foundry Form Sans" w:hAnsi="Foundry Form Sans" w:cs="Arial"/>
          <w:szCs w:val="24"/>
        </w:rPr>
        <w:t xml:space="preserve">required </w:t>
      </w:r>
      <w:r w:rsidR="006626B9" w:rsidRPr="00503B0A">
        <w:rPr>
          <w:rFonts w:ascii="Foundry Form Sans" w:hAnsi="Foundry Form Sans" w:cs="Arial"/>
          <w:szCs w:val="24"/>
        </w:rPr>
        <w:t xml:space="preserve">planning targets, </w:t>
      </w:r>
      <w:r w:rsidRPr="00503B0A">
        <w:rPr>
          <w:rFonts w:ascii="Foundry Form Sans" w:hAnsi="Foundry Form Sans" w:cs="Arial"/>
          <w:szCs w:val="24"/>
        </w:rPr>
        <w:t>this should be identified and explained.</w:t>
      </w:r>
    </w:p>
    <w:p w:rsidR="00227CFC" w:rsidRPr="00503B0A" w:rsidRDefault="00227CFC" w:rsidP="009F133B">
      <w:pPr>
        <w:pStyle w:val="BodyText"/>
        <w:spacing w:after="120" w:line="23" w:lineRule="atLeast"/>
        <w:ind w:left="284"/>
        <w:jc w:val="both"/>
        <w:rPr>
          <w:rFonts w:ascii="Foundry Form Sans" w:hAnsi="Foundry Form Sans" w:cs="Arial"/>
          <w:szCs w:val="24"/>
        </w:rPr>
      </w:pPr>
    </w:p>
    <w:p w:rsidR="00F51BBE" w:rsidRPr="00503B0A" w:rsidRDefault="00107385" w:rsidP="009F133B">
      <w:pPr>
        <w:pStyle w:val="BodyText"/>
        <w:spacing w:after="120" w:line="23" w:lineRule="atLeast"/>
        <w:ind w:left="360"/>
        <w:jc w:val="both"/>
        <w:rPr>
          <w:rFonts w:ascii="Foundry Form Sans" w:hAnsi="Foundry Form Sans" w:cs="Arial"/>
          <w:szCs w:val="24"/>
          <w:u w:val="single"/>
        </w:rPr>
      </w:pPr>
      <w:r w:rsidRPr="00503B0A">
        <w:rPr>
          <w:rFonts w:ascii="Foundry Form Sans" w:hAnsi="Foundry Form Sans" w:cs="Arial"/>
          <w:szCs w:val="24"/>
          <w:u w:val="single"/>
        </w:rPr>
        <w:t xml:space="preserve">A.4 </w:t>
      </w:r>
      <w:r w:rsidR="00F51BBE" w:rsidRPr="00503B0A">
        <w:rPr>
          <w:rFonts w:ascii="Foundry Form Sans" w:hAnsi="Foundry Form Sans" w:cs="Arial"/>
          <w:szCs w:val="24"/>
          <w:u w:val="single"/>
        </w:rPr>
        <w:t xml:space="preserve">Construction Strategy – maximum </w:t>
      </w:r>
      <w:r w:rsidR="00C1353C" w:rsidRPr="00503B0A">
        <w:rPr>
          <w:rFonts w:ascii="Foundry Form Sans" w:hAnsi="Foundry Form Sans" w:cs="Arial"/>
          <w:szCs w:val="24"/>
          <w:u w:val="single"/>
        </w:rPr>
        <w:t>2</w:t>
      </w:r>
      <w:r w:rsidR="00F51BBE" w:rsidRPr="00503B0A">
        <w:rPr>
          <w:rFonts w:ascii="Foundry Form Sans" w:hAnsi="Foundry Form Sans" w:cs="Arial"/>
          <w:szCs w:val="24"/>
          <w:u w:val="single"/>
        </w:rPr>
        <w:t xml:space="preserve">no. </w:t>
      </w:r>
      <w:r w:rsidRPr="00503B0A">
        <w:rPr>
          <w:rFonts w:ascii="Foundry Form Sans" w:hAnsi="Foundry Form Sans" w:cs="Arial"/>
          <w:szCs w:val="24"/>
          <w:u w:val="single"/>
        </w:rPr>
        <w:t>s</w:t>
      </w:r>
      <w:r w:rsidR="00F51BBE" w:rsidRPr="00503B0A">
        <w:rPr>
          <w:rFonts w:ascii="Foundry Form Sans" w:hAnsi="Foundry Form Sans" w:cs="Arial"/>
          <w:szCs w:val="24"/>
          <w:u w:val="single"/>
        </w:rPr>
        <w:t>ides A4</w:t>
      </w:r>
    </w:p>
    <w:p w:rsidR="002849DF" w:rsidRPr="00503B0A" w:rsidRDefault="002849DF" w:rsidP="009F133B">
      <w:pPr>
        <w:pStyle w:val="BodyText"/>
        <w:spacing w:after="120" w:line="23" w:lineRule="atLeast"/>
        <w:ind w:left="284"/>
        <w:jc w:val="both"/>
        <w:rPr>
          <w:rFonts w:ascii="Foundry Form Sans" w:hAnsi="Foundry Form Sans" w:cs="Arial"/>
          <w:szCs w:val="24"/>
        </w:rPr>
      </w:pPr>
    </w:p>
    <w:p w:rsidR="00F51B25" w:rsidRPr="00503B0A" w:rsidRDefault="00FF3B5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Please set out your</w:t>
      </w:r>
      <w:r w:rsidR="00F51B25" w:rsidRPr="00503B0A">
        <w:rPr>
          <w:rFonts w:ascii="Foundry Form Sans" w:hAnsi="Foundry Form Sans" w:cs="Arial"/>
          <w:szCs w:val="24"/>
        </w:rPr>
        <w:t xml:space="preserve"> c</w:t>
      </w:r>
      <w:r w:rsidR="001E4C85" w:rsidRPr="00503B0A">
        <w:rPr>
          <w:rFonts w:ascii="Foundry Form Sans" w:hAnsi="Foundry Form Sans" w:cs="Arial"/>
          <w:szCs w:val="24"/>
        </w:rPr>
        <w:t>onstruction</w:t>
      </w:r>
      <w:r w:rsidR="00F51B25" w:rsidRPr="00503B0A">
        <w:rPr>
          <w:rFonts w:ascii="Foundry Form Sans" w:hAnsi="Foundry Form Sans" w:cs="Arial"/>
          <w:szCs w:val="24"/>
        </w:rPr>
        <w:t xml:space="preserve"> s</w:t>
      </w:r>
      <w:r w:rsidR="001E4C85" w:rsidRPr="00503B0A">
        <w:rPr>
          <w:rFonts w:ascii="Foundry Form Sans" w:hAnsi="Foundry Form Sans" w:cs="Arial"/>
          <w:szCs w:val="24"/>
        </w:rPr>
        <w:t>trategy</w:t>
      </w:r>
      <w:r w:rsidR="00F51B25" w:rsidRPr="00503B0A">
        <w:rPr>
          <w:rFonts w:ascii="Foundry Form Sans" w:hAnsi="Foundry Form Sans" w:cs="Arial"/>
          <w:szCs w:val="24"/>
        </w:rPr>
        <w:t xml:space="preserve"> </w:t>
      </w:r>
      <w:r w:rsidR="001E4C85" w:rsidRPr="00503B0A">
        <w:rPr>
          <w:rFonts w:ascii="Foundry Form Sans" w:hAnsi="Foundry Form Sans" w:cs="Arial"/>
          <w:szCs w:val="24"/>
        </w:rPr>
        <w:t>which</w:t>
      </w:r>
      <w:r w:rsidR="009F5BB8">
        <w:rPr>
          <w:rFonts w:ascii="Foundry Form Sans" w:hAnsi="Foundry Form Sans" w:cs="Arial"/>
          <w:szCs w:val="24"/>
        </w:rPr>
        <w:t xml:space="preserve"> should</w:t>
      </w:r>
      <w:r w:rsidR="001E4C85" w:rsidRPr="00503B0A">
        <w:rPr>
          <w:rFonts w:ascii="Foundry Form Sans" w:hAnsi="Foundry Form Sans" w:cs="Arial"/>
          <w:szCs w:val="24"/>
        </w:rPr>
        <w:t xml:space="preserve"> </w:t>
      </w:r>
      <w:r w:rsidR="00843F51" w:rsidRPr="00503B0A">
        <w:rPr>
          <w:rFonts w:ascii="Foundry Form Sans" w:hAnsi="Foundry Form Sans" w:cs="Arial"/>
          <w:szCs w:val="24"/>
        </w:rPr>
        <w:t>include</w:t>
      </w:r>
      <w:r w:rsidR="00F51B25" w:rsidRPr="00503B0A">
        <w:rPr>
          <w:rFonts w:ascii="Foundry Form Sans" w:hAnsi="Foundry Form Sans" w:cs="Arial"/>
          <w:szCs w:val="24"/>
        </w:rPr>
        <w:t>:</w:t>
      </w:r>
    </w:p>
    <w:p w:rsidR="00F51B25"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p>
    <w:p w:rsidR="00121D73" w:rsidRPr="009F5BB8" w:rsidRDefault="00503B0A" w:rsidP="009F133B">
      <w:pPr>
        <w:pStyle w:val="BodyText"/>
        <w:numPr>
          <w:ilvl w:val="2"/>
          <w:numId w:val="42"/>
        </w:numPr>
        <w:spacing w:after="120" w:line="23" w:lineRule="atLeast"/>
        <w:ind w:left="284"/>
        <w:jc w:val="both"/>
        <w:rPr>
          <w:rFonts w:ascii="Foundry Form Sans" w:hAnsi="Foundry Form Sans" w:cs="Arial"/>
          <w:szCs w:val="24"/>
        </w:rPr>
      </w:pPr>
      <w:r w:rsidRPr="009F5BB8">
        <w:rPr>
          <w:rFonts w:ascii="Foundry Form Sans" w:hAnsi="Foundry Form Sans" w:cs="Arial"/>
          <w:szCs w:val="24"/>
        </w:rPr>
        <w:t xml:space="preserve">-  </w:t>
      </w:r>
      <w:r w:rsidR="009F5BB8">
        <w:rPr>
          <w:rFonts w:ascii="Foundry Form Sans" w:hAnsi="Foundry Form Sans" w:cs="Arial"/>
          <w:szCs w:val="24"/>
        </w:rPr>
        <w:t xml:space="preserve">your </w:t>
      </w:r>
      <w:r w:rsidR="00F51B25" w:rsidRPr="009F5BB8">
        <w:rPr>
          <w:rFonts w:ascii="Foundry Form Sans" w:hAnsi="Foundry Form Sans" w:cs="Arial"/>
          <w:szCs w:val="24"/>
        </w:rPr>
        <w:t>a</w:t>
      </w:r>
      <w:r w:rsidR="00121D73" w:rsidRPr="009F5BB8">
        <w:rPr>
          <w:rFonts w:ascii="Foundry Form Sans" w:hAnsi="Foundry Form Sans" w:cs="Arial"/>
          <w:szCs w:val="24"/>
        </w:rPr>
        <w:t xml:space="preserve">pproach to </w:t>
      </w:r>
      <w:r w:rsidR="009F5BB8">
        <w:rPr>
          <w:rFonts w:ascii="Foundry Form Sans" w:hAnsi="Foundry Form Sans" w:cs="Arial"/>
          <w:szCs w:val="24"/>
        </w:rPr>
        <w:t xml:space="preserve">the </w:t>
      </w:r>
      <w:r w:rsidR="00121D73" w:rsidRPr="009F5BB8">
        <w:rPr>
          <w:rFonts w:ascii="Foundry Form Sans" w:hAnsi="Foundry Form Sans" w:cs="Arial"/>
          <w:szCs w:val="24"/>
        </w:rPr>
        <w:t>construction of the</w:t>
      </w:r>
      <w:r w:rsidR="00CD27E3">
        <w:rPr>
          <w:rFonts w:ascii="Foundry Form Sans" w:hAnsi="Foundry Form Sans" w:cs="Arial"/>
          <w:szCs w:val="24"/>
        </w:rPr>
        <w:t xml:space="preserve"> specific</w:t>
      </w:r>
      <w:r w:rsidR="00121D73" w:rsidRPr="009F5BB8">
        <w:rPr>
          <w:rFonts w:ascii="Foundry Form Sans" w:hAnsi="Foundry Form Sans" w:cs="Arial"/>
          <w:szCs w:val="24"/>
        </w:rPr>
        <w:t xml:space="preserve"> development including access, supply chain, including any technical constraints, e.g. services connections, crane height restrictions, </w:t>
      </w:r>
      <w:r w:rsidR="009F5BB8">
        <w:rPr>
          <w:rFonts w:ascii="Foundry Form Sans" w:hAnsi="Foundry Form Sans" w:cs="Arial"/>
          <w:szCs w:val="24"/>
        </w:rPr>
        <w:t xml:space="preserve">proximity to river, </w:t>
      </w:r>
      <w:r w:rsidR="00121D73" w:rsidRPr="009F5BB8">
        <w:rPr>
          <w:rFonts w:ascii="Foundry Form Sans" w:hAnsi="Foundry Form Sans" w:cs="Arial"/>
          <w:szCs w:val="24"/>
        </w:rPr>
        <w:t xml:space="preserve">and how </w:t>
      </w:r>
      <w:r w:rsidR="009F5BB8">
        <w:rPr>
          <w:rFonts w:ascii="Foundry Form Sans" w:hAnsi="Foundry Form Sans" w:cs="Arial"/>
          <w:szCs w:val="24"/>
        </w:rPr>
        <w:t>you</w:t>
      </w:r>
      <w:r w:rsidR="00107385" w:rsidRPr="009F5BB8">
        <w:rPr>
          <w:rFonts w:ascii="Foundry Form Sans" w:hAnsi="Foundry Form Sans" w:cs="Arial"/>
          <w:szCs w:val="24"/>
        </w:rPr>
        <w:t xml:space="preserve"> </w:t>
      </w:r>
      <w:r w:rsidR="00121D73" w:rsidRPr="009F5BB8">
        <w:rPr>
          <w:rFonts w:ascii="Foundry Form Sans" w:hAnsi="Foundry Form Sans" w:cs="Arial"/>
          <w:szCs w:val="24"/>
        </w:rPr>
        <w:t>will overcome them</w:t>
      </w:r>
      <w:r w:rsidR="00616BFA">
        <w:rPr>
          <w:rFonts w:ascii="Foundry Form Sans" w:hAnsi="Foundry Form Sans" w:cs="Arial"/>
          <w:szCs w:val="24"/>
        </w:rPr>
        <w:t>;</w:t>
      </w:r>
    </w:p>
    <w:p w:rsidR="00503B0A" w:rsidRPr="009F5BB8" w:rsidRDefault="00503B0A" w:rsidP="009F133B">
      <w:pPr>
        <w:pStyle w:val="BodyText"/>
        <w:numPr>
          <w:ilvl w:val="2"/>
          <w:numId w:val="42"/>
        </w:numPr>
        <w:spacing w:after="120" w:line="23" w:lineRule="atLeast"/>
        <w:ind w:left="284"/>
        <w:jc w:val="both"/>
        <w:rPr>
          <w:rFonts w:ascii="Foundry Form Sans" w:hAnsi="Foundry Form Sans" w:cs="Arial"/>
          <w:szCs w:val="24"/>
          <w:u w:val="single"/>
        </w:rPr>
      </w:pPr>
      <w:r w:rsidRPr="009F5BB8">
        <w:rPr>
          <w:rFonts w:ascii="Foundry Form Sans" w:hAnsi="Foundry Form Sans" w:cs="Arial"/>
          <w:szCs w:val="24"/>
        </w:rPr>
        <w:t xml:space="preserve">-  </w:t>
      </w:r>
      <w:r w:rsidR="00616BFA">
        <w:rPr>
          <w:rFonts w:ascii="Foundry Form Sans" w:hAnsi="Foundry Form Sans" w:cs="Arial"/>
          <w:szCs w:val="24"/>
        </w:rPr>
        <w:t>i</w:t>
      </w:r>
      <w:r w:rsidR="00843F51" w:rsidRPr="009F5BB8">
        <w:rPr>
          <w:rFonts w:ascii="Foundry Form Sans" w:hAnsi="Foundry Form Sans" w:cs="Arial"/>
          <w:szCs w:val="24"/>
        </w:rPr>
        <w:t>dentif</w:t>
      </w:r>
      <w:r w:rsidR="009F5BB8" w:rsidRPr="009F5BB8">
        <w:rPr>
          <w:rFonts w:ascii="Foundry Form Sans" w:hAnsi="Foundry Form Sans" w:cs="Arial"/>
          <w:szCs w:val="24"/>
        </w:rPr>
        <w:t>ication of</w:t>
      </w:r>
      <w:r w:rsidR="00843F51" w:rsidRPr="009F5BB8">
        <w:rPr>
          <w:rFonts w:ascii="Foundry Form Sans" w:hAnsi="Foundry Form Sans" w:cs="Arial"/>
          <w:szCs w:val="24"/>
        </w:rPr>
        <w:t xml:space="preserve"> any unique aspects in the construction</w:t>
      </w:r>
      <w:r w:rsidR="009F5BB8" w:rsidRPr="009F5BB8">
        <w:rPr>
          <w:rFonts w:ascii="Foundry Form Sans" w:hAnsi="Foundry Form Sans" w:cs="Arial"/>
          <w:szCs w:val="24"/>
        </w:rPr>
        <w:t xml:space="preserve"> of the development, which may include the use of </w:t>
      </w:r>
      <w:r w:rsidR="00616BFA">
        <w:rPr>
          <w:rFonts w:ascii="Foundry Form Sans" w:hAnsi="Foundry Form Sans" w:cs="Arial"/>
          <w:szCs w:val="24"/>
        </w:rPr>
        <w:t>MMC</w:t>
      </w:r>
      <w:r w:rsidR="009F5BB8" w:rsidRPr="009F5BB8">
        <w:rPr>
          <w:rFonts w:ascii="Foundry Form Sans" w:hAnsi="Foundry Form Sans" w:cs="Arial"/>
          <w:szCs w:val="24"/>
        </w:rPr>
        <w:t xml:space="preserve">, </w:t>
      </w:r>
      <w:r w:rsidR="00843F51" w:rsidRPr="009F5BB8">
        <w:rPr>
          <w:rFonts w:ascii="Foundry Form Sans" w:hAnsi="Foundry Form Sans" w:cs="Arial"/>
          <w:szCs w:val="24"/>
        </w:rPr>
        <w:t xml:space="preserve">that </w:t>
      </w:r>
      <w:r w:rsidR="00C1353C" w:rsidRPr="009F5BB8">
        <w:rPr>
          <w:rFonts w:ascii="Foundry Form Sans" w:hAnsi="Foundry Form Sans" w:cs="Arial"/>
          <w:szCs w:val="24"/>
        </w:rPr>
        <w:t>respond sensitively to the constraints</w:t>
      </w:r>
      <w:r w:rsidR="009F5BB8" w:rsidRPr="009F5BB8">
        <w:rPr>
          <w:rFonts w:ascii="Foundry Form Sans" w:hAnsi="Foundry Form Sans" w:cs="Arial"/>
          <w:szCs w:val="24"/>
        </w:rPr>
        <w:t>. This should include</w:t>
      </w:r>
      <w:r w:rsidR="00C1353C" w:rsidRPr="009F5BB8">
        <w:rPr>
          <w:rFonts w:ascii="Foundry Form Sans" w:hAnsi="Foundry Form Sans" w:cs="Arial"/>
          <w:szCs w:val="24"/>
        </w:rPr>
        <w:t xml:space="preserve"> the necessary servicing</w:t>
      </w:r>
      <w:r w:rsidR="00CC4AD1" w:rsidRPr="009F5BB8">
        <w:rPr>
          <w:rFonts w:ascii="Foundry Form Sans" w:hAnsi="Foundry Form Sans" w:cs="Arial"/>
          <w:szCs w:val="24"/>
        </w:rPr>
        <w:t xml:space="preserve">, highways constraints, </w:t>
      </w:r>
      <w:r w:rsidR="009F5BB8" w:rsidRPr="009F5BB8">
        <w:rPr>
          <w:rFonts w:ascii="Foundry Form Sans" w:hAnsi="Foundry Form Sans" w:cs="Arial"/>
          <w:szCs w:val="24"/>
        </w:rPr>
        <w:t xml:space="preserve">proximity to the river and airport, </w:t>
      </w:r>
      <w:r w:rsidR="00CC4AD1" w:rsidRPr="009F5BB8">
        <w:rPr>
          <w:rFonts w:ascii="Foundry Form Sans" w:hAnsi="Foundry Form Sans" w:cs="Arial"/>
          <w:szCs w:val="24"/>
        </w:rPr>
        <w:t>and any future working alongside other contractors</w:t>
      </w:r>
      <w:r w:rsidR="00107385" w:rsidRPr="009F5BB8">
        <w:rPr>
          <w:rFonts w:ascii="Foundry Form Sans" w:hAnsi="Foundry Form Sans" w:cs="Arial"/>
          <w:szCs w:val="24"/>
        </w:rPr>
        <w:t>,</w:t>
      </w:r>
      <w:r w:rsidR="00CC4AD1" w:rsidRPr="009F5BB8">
        <w:rPr>
          <w:rFonts w:ascii="Foundry Form Sans" w:hAnsi="Foundry Form Sans" w:cs="Arial"/>
          <w:szCs w:val="24"/>
        </w:rPr>
        <w:t xml:space="preserve"> e</w:t>
      </w:r>
      <w:r w:rsidR="00107385" w:rsidRPr="009F5BB8">
        <w:rPr>
          <w:rFonts w:ascii="Foundry Form Sans" w:hAnsi="Foundry Form Sans" w:cs="Arial"/>
          <w:szCs w:val="24"/>
        </w:rPr>
        <w:t>.</w:t>
      </w:r>
      <w:r w:rsidR="00CC4AD1" w:rsidRPr="009F5BB8">
        <w:rPr>
          <w:rFonts w:ascii="Foundry Form Sans" w:hAnsi="Foundry Form Sans" w:cs="Arial"/>
          <w:szCs w:val="24"/>
        </w:rPr>
        <w:t>g</w:t>
      </w:r>
      <w:r w:rsidR="00107385" w:rsidRPr="009F5BB8">
        <w:rPr>
          <w:rFonts w:ascii="Foundry Form Sans" w:hAnsi="Foundry Form Sans" w:cs="Arial"/>
          <w:szCs w:val="24"/>
        </w:rPr>
        <w:t>.</w:t>
      </w:r>
      <w:r w:rsidR="00CC4AD1" w:rsidRPr="009F5BB8">
        <w:rPr>
          <w:rFonts w:ascii="Foundry Form Sans" w:hAnsi="Foundry Form Sans" w:cs="Arial"/>
          <w:szCs w:val="24"/>
        </w:rPr>
        <w:t xml:space="preserve"> associated highways and construction teams for </w:t>
      </w:r>
      <w:r w:rsidR="00704A99" w:rsidRPr="009F5BB8">
        <w:rPr>
          <w:rFonts w:ascii="Foundry Form Sans" w:hAnsi="Foundry Form Sans" w:cs="Arial"/>
          <w:szCs w:val="24"/>
        </w:rPr>
        <w:t xml:space="preserve">the </w:t>
      </w:r>
      <w:r w:rsidR="00CC4AD1" w:rsidRPr="009F5BB8">
        <w:rPr>
          <w:rFonts w:ascii="Foundry Form Sans" w:hAnsi="Foundry Form Sans" w:cs="Arial"/>
          <w:szCs w:val="24"/>
        </w:rPr>
        <w:t xml:space="preserve">Gallions </w:t>
      </w:r>
      <w:r w:rsidR="00704A99" w:rsidRPr="009F5BB8">
        <w:rPr>
          <w:rFonts w:ascii="Foundry Form Sans" w:hAnsi="Foundry Form Sans" w:cs="Arial"/>
          <w:szCs w:val="24"/>
        </w:rPr>
        <w:t>Quarter development</w:t>
      </w:r>
      <w:r w:rsidR="00CC4AD1" w:rsidRPr="009F5BB8">
        <w:rPr>
          <w:rFonts w:ascii="Foundry Form Sans" w:hAnsi="Foundry Form Sans" w:cs="Arial"/>
          <w:szCs w:val="24"/>
        </w:rPr>
        <w:t>.</w:t>
      </w:r>
      <w:r w:rsidR="00C1353C" w:rsidRPr="009F5BB8">
        <w:rPr>
          <w:rFonts w:ascii="Foundry Form Sans" w:hAnsi="Foundry Form Sans" w:cs="Arial"/>
          <w:szCs w:val="24"/>
        </w:rPr>
        <w:t xml:space="preserve"> </w:t>
      </w:r>
      <w:r w:rsidRPr="009F5BB8">
        <w:rPr>
          <w:rFonts w:ascii="Foundry Form Sans" w:hAnsi="Foundry Form Sans" w:cs="Arial"/>
          <w:szCs w:val="24"/>
          <w:u w:val="single"/>
        </w:rPr>
        <w:br w:type="page"/>
      </w:r>
    </w:p>
    <w:p w:rsidR="00C40AFD" w:rsidRPr="00503B0A" w:rsidRDefault="00C40AFD" w:rsidP="009F133B">
      <w:pPr>
        <w:pStyle w:val="BodyText"/>
        <w:spacing w:after="120" w:line="23" w:lineRule="atLeast"/>
        <w:ind w:left="284"/>
        <w:jc w:val="both"/>
        <w:rPr>
          <w:rFonts w:ascii="Foundry Form Sans" w:hAnsi="Foundry Form Sans" w:cs="Arial"/>
          <w:szCs w:val="24"/>
          <w:u w:val="single"/>
        </w:rPr>
      </w:pPr>
    </w:p>
    <w:p w:rsidR="00107B5E" w:rsidRPr="00503B0A" w:rsidRDefault="00204132" w:rsidP="009F133B">
      <w:pPr>
        <w:pStyle w:val="BodyText"/>
        <w:spacing w:after="120" w:line="23" w:lineRule="atLeast"/>
        <w:ind w:left="284"/>
        <w:jc w:val="both"/>
        <w:rPr>
          <w:rFonts w:ascii="Foundry Form Sans" w:hAnsi="Foundry Form Sans" w:cs="Arial"/>
          <w:szCs w:val="24"/>
          <w:u w:val="single"/>
        </w:rPr>
      </w:pPr>
      <w:r w:rsidRPr="00503B0A">
        <w:rPr>
          <w:rFonts w:ascii="Foundry Form Sans" w:hAnsi="Foundry Form Sans" w:cs="Arial"/>
          <w:szCs w:val="24"/>
          <w:u w:val="single"/>
        </w:rPr>
        <w:t xml:space="preserve">A.5 </w:t>
      </w:r>
      <w:r w:rsidR="00107B5E" w:rsidRPr="00503B0A">
        <w:rPr>
          <w:rFonts w:ascii="Foundry Form Sans" w:hAnsi="Foundry Form Sans" w:cs="Arial"/>
          <w:szCs w:val="24"/>
          <w:u w:val="single"/>
        </w:rPr>
        <w:t>Long</w:t>
      </w:r>
      <w:r w:rsidR="00616BFA">
        <w:rPr>
          <w:rFonts w:ascii="Foundry Form Sans" w:hAnsi="Foundry Form Sans" w:cs="Arial"/>
          <w:szCs w:val="24"/>
          <w:u w:val="single"/>
        </w:rPr>
        <w:t xml:space="preserve"> </w:t>
      </w:r>
      <w:r w:rsidR="00107B5E" w:rsidRPr="00503B0A">
        <w:rPr>
          <w:rFonts w:ascii="Foundry Form Sans" w:hAnsi="Foundry Form Sans" w:cs="Arial"/>
          <w:szCs w:val="24"/>
          <w:u w:val="single"/>
        </w:rPr>
        <w:t xml:space="preserve">Term Management Proposal – maximum </w:t>
      </w:r>
      <w:r w:rsidR="00267697" w:rsidRPr="00503B0A">
        <w:rPr>
          <w:rFonts w:ascii="Foundry Form Sans" w:hAnsi="Foundry Form Sans" w:cs="Arial"/>
          <w:szCs w:val="24"/>
          <w:u w:val="single"/>
        </w:rPr>
        <w:t>2</w:t>
      </w:r>
      <w:r w:rsidR="00107B5E" w:rsidRPr="00503B0A">
        <w:rPr>
          <w:rFonts w:ascii="Foundry Form Sans" w:hAnsi="Foundry Form Sans" w:cs="Arial"/>
          <w:szCs w:val="24"/>
          <w:u w:val="single"/>
        </w:rPr>
        <w:t xml:space="preserve">no. </w:t>
      </w:r>
      <w:r w:rsidRPr="00503B0A">
        <w:rPr>
          <w:rFonts w:ascii="Foundry Form Sans" w:hAnsi="Foundry Form Sans" w:cs="Arial"/>
          <w:szCs w:val="24"/>
          <w:u w:val="single"/>
        </w:rPr>
        <w:t>s</w:t>
      </w:r>
      <w:r w:rsidR="00107B5E" w:rsidRPr="00503B0A">
        <w:rPr>
          <w:rFonts w:ascii="Foundry Form Sans" w:hAnsi="Foundry Form Sans" w:cs="Arial"/>
          <w:szCs w:val="24"/>
          <w:u w:val="single"/>
        </w:rPr>
        <w:t>ides A4</w:t>
      </w:r>
    </w:p>
    <w:p w:rsidR="002849DF" w:rsidRPr="00503B0A" w:rsidRDefault="002849DF" w:rsidP="009F133B">
      <w:pPr>
        <w:pStyle w:val="BodyText"/>
        <w:spacing w:after="120" w:line="23" w:lineRule="atLeast"/>
        <w:ind w:left="284"/>
        <w:jc w:val="both"/>
        <w:rPr>
          <w:rFonts w:ascii="Foundry Form Sans" w:hAnsi="Foundry Form Sans" w:cs="Arial"/>
          <w:szCs w:val="24"/>
        </w:rPr>
      </w:pPr>
    </w:p>
    <w:p w:rsidR="00F51B25" w:rsidRPr="00503B0A" w:rsidRDefault="00FF3B5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Please set out </w:t>
      </w:r>
      <w:r w:rsidR="00E01125" w:rsidRPr="00503B0A">
        <w:rPr>
          <w:rFonts w:ascii="Foundry Form Sans" w:hAnsi="Foundry Form Sans" w:cs="Arial"/>
          <w:szCs w:val="24"/>
        </w:rPr>
        <w:t>a</w:t>
      </w:r>
      <w:r w:rsidR="000804EA" w:rsidRPr="00503B0A">
        <w:rPr>
          <w:rFonts w:ascii="Foundry Form Sans" w:hAnsi="Foundry Form Sans" w:cs="Arial"/>
          <w:szCs w:val="24"/>
        </w:rPr>
        <w:t xml:space="preserve"> Long Term Management proposal which</w:t>
      </w:r>
      <w:r w:rsidR="00F51B25" w:rsidRPr="00503B0A">
        <w:rPr>
          <w:rFonts w:ascii="Foundry Form Sans" w:hAnsi="Foundry Form Sans" w:cs="Arial"/>
          <w:szCs w:val="24"/>
        </w:rPr>
        <w:t>:</w:t>
      </w:r>
    </w:p>
    <w:p w:rsidR="00F51B25"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D</w:t>
      </w:r>
      <w:r w:rsidR="000804EA" w:rsidRPr="00503B0A">
        <w:rPr>
          <w:rFonts w:ascii="Foundry Form Sans" w:hAnsi="Foundry Form Sans" w:cs="Arial"/>
          <w:szCs w:val="24"/>
        </w:rPr>
        <w:t xml:space="preserve">emonstrates a deliverable and sustainable management structure for the residential and any non-residential parts of the scheme </w:t>
      </w:r>
    </w:p>
    <w:p w:rsidR="000804EA" w:rsidRPr="00503B0A" w:rsidRDefault="00F51B2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Is well structured and </w:t>
      </w:r>
      <w:r w:rsidR="000804EA" w:rsidRPr="00503B0A">
        <w:rPr>
          <w:rFonts w:ascii="Foundry Form Sans" w:hAnsi="Foundry Form Sans" w:cs="Arial"/>
          <w:szCs w:val="24"/>
        </w:rPr>
        <w:t>ensure</w:t>
      </w:r>
      <w:r w:rsidRPr="00503B0A">
        <w:rPr>
          <w:rFonts w:ascii="Foundry Form Sans" w:hAnsi="Foundry Form Sans" w:cs="Arial"/>
          <w:szCs w:val="24"/>
        </w:rPr>
        <w:t>s</w:t>
      </w:r>
      <w:r w:rsidR="000804EA" w:rsidRPr="00503B0A">
        <w:rPr>
          <w:rFonts w:ascii="Foundry Form Sans" w:hAnsi="Foundry Form Sans" w:cs="Arial"/>
          <w:szCs w:val="24"/>
        </w:rPr>
        <w:t xml:space="preserve"> that the overall high-quality external and internal public environment is maintained. The structure should be clear and proportionate to the nature of the project and must actively promotes inclusion, through the accessible design of public realm</w:t>
      </w:r>
    </w:p>
    <w:p w:rsidR="008D3ED4" w:rsidRPr="00503B0A" w:rsidRDefault="00F51B2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Gives d</w:t>
      </w:r>
      <w:r w:rsidR="00A53B16" w:rsidRPr="00503B0A">
        <w:rPr>
          <w:rFonts w:ascii="Foundry Form Sans" w:hAnsi="Foundry Form Sans" w:cs="Arial"/>
          <w:szCs w:val="24"/>
        </w:rPr>
        <w:t>etails of the</w:t>
      </w:r>
      <w:r w:rsidR="002F6B93" w:rsidRPr="00503B0A">
        <w:rPr>
          <w:rFonts w:ascii="Foundry Form Sans" w:hAnsi="Foundry Form Sans" w:cs="Arial"/>
          <w:szCs w:val="24"/>
        </w:rPr>
        <w:t xml:space="preserve"> </w:t>
      </w:r>
      <w:r w:rsidR="00A53B16" w:rsidRPr="00503B0A">
        <w:rPr>
          <w:rFonts w:ascii="Foundry Form Sans" w:hAnsi="Foundry Form Sans" w:cs="Arial"/>
          <w:szCs w:val="24"/>
        </w:rPr>
        <w:t>estate management and long</w:t>
      </w:r>
      <w:r w:rsidR="00616BFA">
        <w:rPr>
          <w:rFonts w:ascii="Foundry Form Sans" w:hAnsi="Foundry Form Sans" w:cs="Arial"/>
          <w:szCs w:val="24"/>
        </w:rPr>
        <w:t xml:space="preserve"> </w:t>
      </w:r>
      <w:r w:rsidR="00A53B16" w:rsidRPr="00503B0A">
        <w:rPr>
          <w:rFonts w:ascii="Foundry Form Sans" w:hAnsi="Foundry Form Sans" w:cs="Arial"/>
          <w:szCs w:val="24"/>
        </w:rPr>
        <w:t>term stewardship for the development</w:t>
      </w:r>
      <w:r w:rsidR="000804EA" w:rsidRPr="00503B0A">
        <w:rPr>
          <w:rFonts w:ascii="Foundry Form Sans" w:hAnsi="Foundry Form Sans" w:cs="Arial"/>
          <w:szCs w:val="24"/>
        </w:rPr>
        <w:t>.</w:t>
      </w:r>
      <w:r w:rsidR="00A53B16" w:rsidRPr="00503B0A">
        <w:rPr>
          <w:rFonts w:ascii="Foundry Form Sans" w:hAnsi="Foundry Form Sans" w:cs="Arial"/>
          <w:szCs w:val="24"/>
        </w:rPr>
        <w:t xml:space="preserve"> </w:t>
      </w:r>
    </w:p>
    <w:p w:rsidR="00AA0039" w:rsidRPr="00503B0A" w:rsidRDefault="00F51B2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Provides an e</w:t>
      </w:r>
      <w:r w:rsidR="00AA0039" w:rsidRPr="00503B0A">
        <w:rPr>
          <w:rFonts w:ascii="Foundry Form Sans" w:hAnsi="Foundry Form Sans" w:cs="Arial"/>
          <w:szCs w:val="24"/>
        </w:rPr>
        <w:t>xplanation of an</w:t>
      </w:r>
      <w:r w:rsidR="00CC08F2" w:rsidRPr="00503B0A">
        <w:rPr>
          <w:rFonts w:ascii="Foundry Form Sans" w:hAnsi="Foundry Form Sans" w:cs="Arial"/>
          <w:szCs w:val="24"/>
        </w:rPr>
        <w:t>y</w:t>
      </w:r>
      <w:r w:rsidR="00AA0039" w:rsidRPr="00503B0A">
        <w:rPr>
          <w:rFonts w:ascii="Foundry Form Sans" w:hAnsi="Foundry Form Sans" w:cs="Arial"/>
          <w:szCs w:val="24"/>
        </w:rPr>
        <w:t xml:space="preserve"> </w:t>
      </w:r>
      <w:r w:rsidR="00CC08F2" w:rsidRPr="00503B0A">
        <w:rPr>
          <w:rFonts w:ascii="Foundry Form Sans" w:hAnsi="Foundry Form Sans" w:cs="Arial"/>
          <w:szCs w:val="24"/>
        </w:rPr>
        <w:t>e</w:t>
      </w:r>
      <w:r w:rsidR="00AA0039" w:rsidRPr="00503B0A">
        <w:rPr>
          <w:rFonts w:ascii="Foundry Form Sans" w:hAnsi="Foundry Form Sans" w:cs="Arial"/>
          <w:szCs w:val="24"/>
        </w:rPr>
        <w:t xml:space="preserve">xit </w:t>
      </w:r>
      <w:r w:rsidR="00CC08F2" w:rsidRPr="00503B0A">
        <w:rPr>
          <w:rFonts w:ascii="Foundry Form Sans" w:hAnsi="Foundry Form Sans" w:cs="Arial"/>
          <w:szCs w:val="24"/>
        </w:rPr>
        <w:t>s</w:t>
      </w:r>
      <w:r w:rsidR="00AA0039" w:rsidRPr="00503B0A">
        <w:rPr>
          <w:rFonts w:ascii="Foundry Form Sans" w:hAnsi="Foundry Form Sans" w:cs="Arial"/>
          <w:szCs w:val="24"/>
        </w:rPr>
        <w:t>trategy</w:t>
      </w:r>
      <w:r w:rsidR="002F6B93" w:rsidRPr="00503B0A">
        <w:rPr>
          <w:rFonts w:ascii="Foundry Form Sans" w:hAnsi="Foundry Form Sans" w:cs="Arial"/>
          <w:szCs w:val="24"/>
        </w:rPr>
        <w:t xml:space="preserve"> in</w:t>
      </w:r>
      <w:r w:rsidR="002F4F40" w:rsidRPr="00503B0A">
        <w:rPr>
          <w:rFonts w:ascii="Foundry Form Sans" w:hAnsi="Foundry Form Sans" w:cs="Arial"/>
          <w:szCs w:val="24"/>
        </w:rPr>
        <w:t>cl</w:t>
      </w:r>
      <w:r w:rsidR="002F6B93" w:rsidRPr="00503B0A">
        <w:rPr>
          <w:rFonts w:ascii="Foundry Form Sans" w:hAnsi="Foundry Form Sans" w:cs="Arial"/>
          <w:szCs w:val="24"/>
        </w:rPr>
        <w:t>uding drawdown of any freehold interests</w:t>
      </w:r>
      <w:r w:rsidR="00704A99" w:rsidRPr="00503B0A">
        <w:rPr>
          <w:rFonts w:ascii="Foundry Form Sans" w:hAnsi="Foundry Form Sans" w:cs="Arial"/>
          <w:szCs w:val="24"/>
        </w:rPr>
        <w:t>; t</w:t>
      </w:r>
      <w:r w:rsidR="00773BAD" w:rsidRPr="00503B0A">
        <w:rPr>
          <w:rFonts w:ascii="Foundry Form Sans" w:hAnsi="Foundry Form Sans" w:cs="Arial"/>
          <w:szCs w:val="24"/>
        </w:rPr>
        <w:t xml:space="preserve">his should include any details of service charge arrangements between </w:t>
      </w:r>
      <w:r w:rsidR="00704A99" w:rsidRPr="00503B0A">
        <w:rPr>
          <w:rFonts w:ascii="Foundry Form Sans" w:hAnsi="Foundry Form Sans" w:cs="Arial"/>
          <w:szCs w:val="24"/>
        </w:rPr>
        <w:t xml:space="preserve">any </w:t>
      </w:r>
      <w:r w:rsidR="00773BAD" w:rsidRPr="00503B0A">
        <w:rPr>
          <w:rFonts w:ascii="Foundry Form Sans" w:hAnsi="Foundry Form Sans" w:cs="Arial"/>
          <w:szCs w:val="24"/>
        </w:rPr>
        <w:t>mix</w:t>
      </w:r>
      <w:r w:rsidR="008C0370" w:rsidRPr="00503B0A">
        <w:rPr>
          <w:rFonts w:ascii="Foundry Form Sans" w:hAnsi="Foundry Form Sans" w:cs="Arial"/>
          <w:szCs w:val="24"/>
        </w:rPr>
        <w:t xml:space="preserve"> of</w:t>
      </w:r>
      <w:r w:rsidR="00773BAD" w:rsidRPr="00503B0A">
        <w:rPr>
          <w:rFonts w:ascii="Foundry Form Sans" w:hAnsi="Foundry Form Sans" w:cs="Arial"/>
          <w:szCs w:val="24"/>
        </w:rPr>
        <w:t xml:space="preserve"> use</w:t>
      </w:r>
      <w:r w:rsidR="008C0370" w:rsidRPr="00503B0A">
        <w:rPr>
          <w:rFonts w:ascii="Foundry Form Sans" w:hAnsi="Foundry Form Sans" w:cs="Arial"/>
          <w:szCs w:val="24"/>
        </w:rPr>
        <w:t>s and</w:t>
      </w:r>
      <w:r w:rsidR="00773BAD" w:rsidRPr="00503B0A">
        <w:rPr>
          <w:rFonts w:ascii="Foundry Form Sans" w:hAnsi="Foundry Form Sans" w:cs="Arial"/>
          <w:szCs w:val="24"/>
        </w:rPr>
        <w:t xml:space="preserve"> units</w:t>
      </w:r>
      <w:r w:rsidR="008C0370" w:rsidRPr="00503B0A">
        <w:rPr>
          <w:rFonts w:ascii="Foundry Form Sans" w:hAnsi="Foundry Form Sans" w:cs="Arial"/>
          <w:szCs w:val="24"/>
        </w:rPr>
        <w:t>.</w:t>
      </w:r>
      <w:r w:rsidR="002F6B93" w:rsidRPr="00503B0A">
        <w:rPr>
          <w:rFonts w:ascii="Foundry Form Sans" w:hAnsi="Foundry Form Sans" w:cs="Arial"/>
          <w:szCs w:val="24"/>
        </w:rPr>
        <w:t xml:space="preserve"> </w:t>
      </w:r>
    </w:p>
    <w:p w:rsidR="007F2D8E" w:rsidRPr="00503B0A" w:rsidRDefault="00DE205C"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Explain</w:t>
      </w:r>
      <w:r w:rsidR="00F51B25" w:rsidRPr="00503B0A">
        <w:rPr>
          <w:rFonts w:ascii="Foundry Form Sans" w:hAnsi="Foundry Form Sans" w:cs="Arial"/>
          <w:szCs w:val="24"/>
        </w:rPr>
        <w:t>s the</w:t>
      </w:r>
      <w:r w:rsidR="009003DC" w:rsidRPr="00503B0A">
        <w:rPr>
          <w:rFonts w:ascii="Foundry Form Sans" w:hAnsi="Foundry Form Sans" w:cs="Arial"/>
          <w:szCs w:val="24"/>
        </w:rPr>
        <w:t xml:space="preserve"> approach to general public access </w:t>
      </w:r>
      <w:r w:rsidR="002E7EFF" w:rsidRPr="00503B0A">
        <w:rPr>
          <w:rFonts w:ascii="Foundry Form Sans" w:hAnsi="Foundry Form Sans" w:cs="Arial"/>
          <w:szCs w:val="24"/>
        </w:rPr>
        <w:t xml:space="preserve">through </w:t>
      </w:r>
      <w:r w:rsidR="007F2D8E" w:rsidRPr="00503B0A">
        <w:rPr>
          <w:rFonts w:ascii="Foundry Form Sans" w:hAnsi="Foundry Form Sans" w:cs="Arial"/>
          <w:szCs w:val="24"/>
        </w:rPr>
        <w:t>improved connectivity within and beyond the development and where management of the scheme actively promotes inclusion</w:t>
      </w:r>
      <w:r w:rsidR="008C0370" w:rsidRPr="00503B0A">
        <w:rPr>
          <w:rFonts w:ascii="Foundry Form Sans" w:hAnsi="Foundry Form Sans" w:cs="Arial"/>
          <w:szCs w:val="24"/>
        </w:rPr>
        <w:t>,</w:t>
      </w:r>
      <w:r w:rsidR="007F2D8E" w:rsidRPr="00503B0A">
        <w:rPr>
          <w:rFonts w:ascii="Foundry Form Sans" w:hAnsi="Foundry Form Sans" w:cs="Arial"/>
          <w:szCs w:val="24"/>
        </w:rPr>
        <w:t xml:space="preserve"> through the accessible design of public realm</w:t>
      </w:r>
      <w:r w:rsidR="008C0370" w:rsidRPr="00503B0A">
        <w:rPr>
          <w:rFonts w:ascii="Foundry Form Sans" w:hAnsi="Foundry Form Sans" w:cs="Arial"/>
          <w:szCs w:val="24"/>
        </w:rPr>
        <w:t>,</w:t>
      </w:r>
      <w:r w:rsidR="007F2D8E" w:rsidRPr="00503B0A">
        <w:rPr>
          <w:rFonts w:ascii="Foundry Form Sans" w:hAnsi="Foundry Form Sans" w:cs="Arial"/>
          <w:szCs w:val="24"/>
        </w:rPr>
        <w:t xml:space="preserve"> and does not create a gated community or privatised area.</w:t>
      </w:r>
    </w:p>
    <w:p w:rsidR="002E7EFF" w:rsidRPr="00503B0A" w:rsidRDefault="002E7EFF" w:rsidP="009F133B">
      <w:pPr>
        <w:pStyle w:val="BodyText"/>
        <w:spacing w:after="120" w:line="23" w:lineRule="atLeast"/>
        <w:ind w:left="284"/>
        <w:jc w:val="both"/>
        <w:rPr>
          <w:rFonts w:ascii="Foundry Form Sans" w:hAnsi="Foundry Form Sans" w:cs="Arial"/>
          <w:szCs w:val="24"/>
          <w:u w:val="single"/>
        </w:rPr>
      </w:pPr>
    </w:p>
    <w:p w:rsidR="00242FB4" w:rsidRPr="00503B0A" w:rsidRDefault="00204132" w:rsidP="009F133B">
      <w:pPr>
        <w:pStyle w:val="BodyText"/>
        <w:spacing w:after="120" w:line="23" w:lineRule="atLeast"/>
        <w:ind w:left="284"/>
        <w:jc w:val="both"/>
        <w:rPr>
          <w:rFonts w:ascii="Foundry Form Sans" w:hAnsi="Foundry Form Sans" w:cs="Arial"/>
          <w:szCs w:val="24"/>
          <w:u w:val="single"/>
        </w:rPr>
      </w:pPr>
      <w:r w:rsidRPr="00503B0A">
        <w:rPr>
          <w:rFonts w:ascii="Foundry Form Sans" w:hAnsi="Foundry Form Sans" w:cs="Arial"/>
          <w:szCs w:val="24"/>
          <w:u w:val="single"/>
        </w:rPr>
        <w:t xml:space="preserve">A.6 </w:t>
      </w:r>
      <w:r w:rsidR="003F707F" w:rsidRPr="00503B0A">
        <w:rPr>
          <w:rFonts w:ascii="Foundry Form Sans" w:hAnsi="Foundry Form Sans" w:cs="Arial"/>
          <w:szCs w:val="24"/>
          <w:u w:val="single"/>
        </w:rPr>
        <w:t xml:space="preserve">Project </w:t>
      </w:r>
      <w:r w:rsidR="00242FB4" w:rsidRPr="00503B0A">
        <w:rPr>
          <w:rFonts w:ascii="Foundry Form Sans" w:hAnsi="Foundry Form Sans" w:cs="Arial"/>
          <w:szCs w:val="24"/>
          <w:u w:val="single"/>
        </w:rPr>
        <w:t xml:space="preserve">Risk Management – </w:t>
      </w:r>
      <w:r w:rsidR="00CD2FC6" w:rsidRPr="00503B0A">
        <w:rPr>
          <w:rFonts w:ascii="Foundry Form Sans" w:hAnsi="Foundry Form Sans" w:cs="Arial"/>
          <w:szCs w:val="24"/>
          <w:u w:val="single"/>
        </w:rPr>
        <w:t xml:space="preserve">maximum </w:t>
      </w:r>
      <w:r w:rsidR="00596D11" w:rsidRPr="00503B0A">
        <w:rPr>
          <w:rFonts w:ascii="Foundry Form Sans" w:hAnsi="Foundry Form Sans" w:cs="Arial"/>
          <w:szCs w:val="24"/>
          <w:u w:val="single"/>
        </w:rPr>
        <w:t>2</w:t>
      </w:r>
      <w:r w:rsidR="003F707F" w:rsidRPr="00503B0A">
        <w:rPr>
          <w:rFonts w:ascii="Foundry Form Sans" w:hAnsi="Foundry Form Sans" w:cs="Arial"/>
          <w:szCs w:val="24"/>
          <w:u w:val="single"/>
        </w:rPr>
        <w:t>no.</w:t>
      </w:r>
      <w:r w:rsidR="00242FB4" w:rsidRPr="00503B0A">
        <w:rPr>
          <w:rFonts w:ascii="Foundry Form Sans" w:hAnsi="Foundry Form Sans" w:cs="Arial"/>
          <w:szCs w:val="24"/>
          <w:u w:val="single"/>
        </w:rPr>
        <w:t xml:space="preserve"> </w:t>
      </w:r>
      <w:r w:rsidRPr="00503B0A">
        <w:rPr>
          <w:rFonts w:ascii="Foundry Form Sans" w:hAnsi="Foundry Form Sans" w:cs="Arial"/>
          <w:szCs w:val="24"/>
          <w:u w:val="single"/>
        </w:rPr>
        <w:t>s</w:t>
      </w:r>
      <w:r w:rsidR="00242FB4" w:rsidRPr="00503B0A">
        <w:rPr>
          <w:rFonts w:ascii="Foundry Form Sans" w:hAnsi="Foundry Form Sans" w:cs="Arial"/>
          <w:szCs w:val="24"/>
          <w:u w:val="single"/>
        </w:rPr>
        <w:t>ides A4</w:t>
      </w:r>
    </w:p>
    <w:p w:rsidR="00242FB4" w:rsidRDefault="00CD27E3"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Please set out </w:t>
      </w:r>
      <w:r w:rsidR="00242FB4" w:rsidRPr="000353B5">
        <w:rPr>
          <w:rFonts w:ascii="Foundry Form Sans" w:hAnsi="Foundry Form Sans" w:cs="Arial"/>
          <w:szCs w:val="24"/>
        </w:rPr>
        <w:t>a Risk Management Plan for the proposed scheme. This should include all the key project risks and required approvals from appointment as preferred de</w:t>
      </w:r>
      <w:r w:rsidR="00D03969">
        <w:rPr>
          <w:rFonts w:ascii="Foundry Form Sans" w:hAnsi="Foundry Form Sans" w:cs="Arial"/>
          <w:szCs w:val="24"/>
        </w:rPr>
        <w:t xml:space="preserve">livery </w:t>
      </w:r>
      <w:r w:rsidR="00242FB4" w:rsidRPr="000353B5">
        <w:rPr>
          <w:rFonts w:ascii="Foundry Form Sans" w:hAnsi="Foundry Form Sans" w:cs="Arial"/>
          <w:szCs w:val="24"/>
        </w:rPr>
        <w:t>partner. The risk register should be sub-divided into different stages of the project and include a clear description, the proposed mitigation</w:t>
      </w:r>
      <w:r w:rsidR="001B01F1" w:rsidRPr="000353B5">
        <w:rPr>
          <w:rFonts w:ascii="Foundry Form Sans" w:hAnsi="Foundry Form Sans" w:cs="Arial"/>
          <w:szCs w:val="24"/>
        </w:rPr>
        <w:t>/action</w:t>
      </w:r>
      <w:r w:rsidR="00242FB4" w:rsidRPr="000353B5">
        <w:rPr>
          <w:rFonts w:ascii="Foundry Form Sans" w:hAnsi="Foundry Form Sans" w:cs="Arial"/>
          <w:szCs w:val="24"/>
        </w:rPr>
        <w:t xml:space="preserve"> and any associated costs, time</w:t>
      </w:r>
      <w:r w:rsidR="001B01F1" w:rsidRPr="000353B5">
        <w:rPr>
          <w:rFonts w:ascii="Foundry Form Sans" w:hAnsi="Foundry Form Sans" w:cs="Arial"/>
          <w:szCs w:val="24"/>
        </w:rPr>
        <w:t xml:space="preserve"> delays etc</w:t>
      </w:r>
      <w:r w:rsidR="00204132">
        <w:rPr>
          <w:rFonts w:ascii="Foundry Form Sans" w:hAnsi="Foundry Form Sans" w:cs="Arial"/>
          <w:szCs w:val="24"/>
        </w:rPr>
        <w:t>.</w:t>
      </w:r>
      <w:r w:rsidR="001B01F1" w:rsidRPr="000353B5">
        <w:rPr>
          <w:rFonts w:ascii="Foundry Form Sans" w:hAnsi="Foundry Form Sans" w:cs="Arial"/>
          <w:szCs w:val="24"/>
        </w:rPr>
        <w:t xml:space="preserve"> and the risk owner.</w:t>
      </w:r>
    </w:p>
    <w:p w:rsidR="00C40AFD" w:rsidRPr="009003DC" w:rsidRDefault="00C40AFD" w:rsidP="009F133B">
      <w:pPr>
        <w:pStyle w:val="BodyText"/>
        <w:spacing w:after="120" w:line="23" w:lineRule="atLeast"/>
        <w:ind w:left="284"/>
        <w:jc w:val="both"/>
        <w:rPr>
          <w:rFonts w:ascii="Foundry Form Sans" w:hAnsi="Foundry Form Sans" w:cs="Arial"/>
          <w:szCs w:val="24"/>
        </w:rPr>
      </w:pPr>
    </w:p>
    <w:p w:rsidR="00242FB4" w:rsidRPr="00503B0A" w:rsidRDefault="00204132" w:rsidP="009F133B">
      <w:pPr>
        <w:pStyle w:val="BodyText"/>
        <w:spacing w:after="120" w:line="23" w:lineRule="atLeast"/>
        <w:ind w:left="360"/>
        <w:jc w:val="both"/>
        <w:rPr>
          <w:rFonts w:ascii="Foundry Form Sans" w:hAnsi="Foundry Form Sans" w:cs="Arial"/>
          <w:szCs w:val="24"/>
          <w:u w:val="single"/>
        </w:rPr>
      </w:pPr>
      <w:r w:rsidRPr="00503B0A">
        <w:rPr>
          <w:rFonts w:ascii="Foundry Form Sans" w:hAnsi="Foundry Form Sans" w:cs="Arial"/>
          <w:szCs w:val="24"/>
          <w:u w:val="single"/>
        </w:rPr>
        <w:t xml:space="preserve">A.7 </w:t>
      </w:r>
      <w:r w:rsidR="00242FB4" w:rsidRPr="00503B0A">
        <w:rPr>
          <w:rFonts w:ascii="Foundry Form Sans" w:hAnsi="Foundry Form Sans" w:cs="Arial"/>
          <w:szCs w:val="24"/>
          <w:u w:val="single"/>
        </w:rPr>
        <w:t xml:space="preserve">Programme – </w:t>
      </w:r>
      <w:r w:rsidR="00CD2FC6" w:rsidRPr="00503B0A">
        <w:rPr>
          <w:rFonts w:ascii="Foundry Form Sans" w:hAnsi="Foundry Form Sans" w:cs="Arial"/>
          <w:szCs w:val="24"/>
          <w:u w:val="single"/>
        </w:rPr>
        <w:t xml:space="preserve">maximum </w:t>
      </w:r>
      <w:r w:rsidR="00596D11" w:rsidRPr="00503B0A">
        <w:rPr>
          <w:rFonts w:ascii="Foundry Form Sans" w:hAnsi="Foundry Form Sans" w:cs="Arial"/>
          <w:szCs w:val="24"/>
          <w:u w:val="single"/>
        </w:rPr>
        <w:t>2</w:t>
      </w:r>
      <w:r w:rsidR="003F707F" w:rsidRPr="00503B0A">
        <w:rPr>
          <w:rFonts w:ascii="Foundry Form Sans" w:hAnsi="Foundry Form Sans" w:cs="Arial"/>
          <w:szCs w:val="24"/>
          <w:u w:val="single"/>
        </w:rPr>
        <w:t>no.</w:t>
      </w:r>
      <w:r w:rsidR="00242FB4" w:rsidRPr="00503B0A">
        <w:rPr>
          <w:rFonts w:ascii="Foundry Form Sans" w:hAnsi="Foundry Form Sans" w:cs="Arial"/>
          <w:szCs w:val="24"/>
          <w:u w:val="single"/>
        </w:rPr>
        <w:t xml:space="preserve"> </w:t>
      </w:r>
      <w:r w:rsidRPr="00503B0A">
        <w:rPr>
          <w:rFonts w:ascii="Foundry Form Sans" w:hAnsi="Foundry Form Sans" w:cs="Arial"/>
          <w:szCs w:val="24"/>
          <w:u w:val="single"/>
        </w:rPr>
        <w:t>s</w:t>
      </w:r>
      <w:r w:rsidR="00242FB4" w:rsidRPr="00503B0A">
        <w:rPr>
          <w:rFonts w:ascii="Foundry Form Sans" w:hAnsi="Foundry Form Sans" w:cs="Arial"/>
          <w:szCs w:val="24"/>
          <w:u w:val="single"/>
        </w:rPr>
        <w:t>ides</w:t>
      </w:r>
      <w:r w:rsidR="00052B7D" w:rsidRPr="00503B0A">
        <w:rPr>
          <w:rFonts w:ascii="Foundry Form Sans" w:hAnsi="Foundry Form Sans" w:cs="Arial"/>
          <w:szCs w:val="24"/>
          <w:u w:val="single"/>
        </w:rPr>
        <w:t>, may be A3</w:t>
      </w:r>
    </w:p>
    <w:p w:rsidR="00242FB4" w:rsidRPr="00503B0A" w:rsidRDefault="00CD27E3"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Please set out</w:t>
      </w:r>
      <w:r w:rsidR="00242FB4" w:rsidRPr="00503B0A">
        <w:rPr>
          <w:rFonts w:ascii="Foundry Form Sans" w:hAnsi="Foundry Form Sans" w:cs="Arial"/>
          <w:szCs w:val="24"/>
        </w:rPr>
        <w:t xml:space="preserve">a fully detailed development programme for the life of the scheme identifying all of the tasks required to be undertaken at each stage of the development process. </w:t>
      </w:r>
    </w:p>
    <w:p w:rsidR="00CC4AD1" w:rsidRPr="000353B5" w:rsidRDefault="00CC4AD1"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szCs w:val="24"/>
        </w:rPr>
        <w:t xml:space="preserve">Programmes should be realistic and achievable but </w:t>
      </w:r>
      <w:r w:rsidR="008C0370" w:rsidRPr="00503B0A">
        <w:rPr>
          <w:rFonts w:ascii="Foundry Form Sans" w:hAnsi="Foundry Form Sans" w:cs="Arial"/>
          <w:szCs w:val="24"/>
        </w:rPr>
        <w:t xml:space="preserve">should </w:t>
      </w:r>
      <w:r w:rsidR="00E01125" w:rsidRPr="00503B0A">
        <w:rPr>
          <w:rFonts w:ascii="Foundry Form Sans" w:hAnsi="Foundry Form Sans" w:cs="Arial"/>
          <w:szCs w:val="24"/>
        </w:rPr>
        <w:t>seek</w:t>
      </w:r>
      <w:r w:rsidR="00D32ED3" w:rsidRPr="00503B0A">
        <w:rPr>
          <w:rFonts w:ascii="Foundry Form Sans" w:hAnsi="Foundry Form Sans" w:cs="Arial"/>
          <w:szCs w:val="24"/>
        </w:rPr>
        <w:t xml:space="preserve"> early delivery and </w:t>
      </w:r>
      <w:r w:rsidR="008C0370" w:rsidRPr="00503B0A">
        <w:rPr>
          <w:rFonts w:ascii="Foundry Form Sans" w:hAnsi="Foundry Form Sans" w:cs="Arial"/>
          <w:szCs w:val="24"/>
        </w:rPr>
        <w:t xml:space="preserve">also </w:t>
      </w:r>
      <w:r w:rsidRPr="00503B0A">
        <w:rPr>
          <w:rFonts w:ascii="Foundry Form Sans" w:hAnsi="Foundry Form Sans" w:cs="Arial"/>
          <w:szCs w:val="24"/>
        </w:rPr>
        <w:t xml:space="preserve">look to make </w:t>
      </w:r>
      <w:r w:rsidR="00AB0D98" w:rsidRPr="00503B0A">
        <w:rPr>
          <w:rFonts w:ascii="Foundry Form Sans" w:hAnsi="Foundry Form Sans" w:cs="Arial"/>
          <w:szCs w:val="24"/>
        </w:rPr>
        <w:t>time</w:t>
      </w:r>
      <w:r w:rsidR="00AB0D98">
        <w:rPr>
          <w:rFonts w:ascii="Foundry Form Sans" w:hAnsi="Foundry Form Sans" w:cs="Arial"/>
        </w:rPr>
        <w:t xml:space="preserve"> </w:t>
      </w:r>
      <w:r>
        <w:rPr>
          <w:rFonts w:ascii="Foundry Form Sans" w:hAnsi="Foundry Form Sans" w:cs="Arial"/>
        </w:rPr>
        <w:t>savings where achievable</w:t>
      </w:r>
      <w:r w:rsidR="00AB0D98">
        <w:rPr>
          <w:rFonts w:ascii="Foundry Form Sans" w:hAnsi="Foundry Form Sans" w:cs="Arial"/>
        </w:rPr>
        <w:t>.</w:t>
      </w:r>
      <w:r w:rsidR="006A2AD1" w:rsidRPr="002A6358">
        <w:rPr>
          <w:rFonts w:ascii="Foundry Form Sans" w:hAnsi="Foundry Form Sans" w:cs="Arial"/>
          <w:shd w:val="clear" w:color="auto" w:fill="FFFF00"/>
        </w:rPr>
        <w:t xml:space="preserve"> </w:t>
      </w:r>
    </w:p>
    <w:p w:rsidR="00773BAD" w:rsidRDefault="00773BAD" w:rsidP="009F133B">
      <w:pPr>
        <w:pStyle w:val="Level2"/>
        <w:numPr>
          <w:ilvl w:val="0"/>
          <w:numId w:val="0"/>
        </w:numPr>
        <w:spacing w:after="120" w:line="23" w:lineRule="atLeast"/>
        <w:ind w:left="284"/>
        <w:jc w:val="both"/>
        <w:rPr>
          <w:rFonts w:ascii="Foundry Form Sans" w:hAnsi="Foundry Form Sans" w:cs="Arial"/>
          <w:b/>
          <w:sz w:val="22"/>
          <w:szCs w:val="24"/>
        </w:rPr>
      </w:pPr>
    </w:p>
    <w:p w:rsidR="00242FB4" w:rsidRPr="00503B0A" w:rsidRDefault="00242FB4" w:rsidP="009F133B">
      <w:pPr>
        <w:pStyle w:val="BodyText"/>
        <w:numPr>
          <w:ilvl w:val="1"/>
          <w:numId w:val="42"/>
        </w:numPr>
        <w:spacing w:after="120" w:line="23" w:lineRule="atLeast"/>
        <w:ind w:left="284"/>
        <w:jc w:val="both"/>
        <w:rPr>
          <w:rFonts w:ascii="Foundry Form Sans" w:hAnsi="Foundry Form Sans" w:cs="Arial"/>
          <w:b/>
          <w:szCs w:val="24"/>
        </w:rPr>
      </w:pPr>
      <w:r w:rsidRPr="00503B0A">
        <w:rPr>
          <w:rFonts w:ascii="Foundry Form Sans" w:hAnsi="Foundry Form Sans"/>
          <w:b/>
        </w:rPr>
        <w:t>Section</w:t>
      </w:r>
      <w:r w:rsidRPr="00503B0A">
        <w:rPr>
          <w:rFonts w:ascii="Foundry Form Sans" w:hAnsi="Foundry Form Sans" w:cs="Arial"/>
          <w:b/>
          <w:szCs w:val="24"/>
        </w:rPr>
        <w:t xml:space="preserve"> B –</w:t>
      </w:r>
      <w:r w:rsidR="002E1AAD" w:rsidRPr="00503B0A">
        <w:rPr>
          <w:rFonts w:ascii="Foundry Form Sans" w:hAnsi="Foundry Form Sans" w:cs="Arial"/>
          <w:b/>
          <w:szCs w:val="24"/>
        </w:rPr>
        <w:t xml:space="preserve"> </w:t>
      </w:r>
      <w:r w:rsidRPr="00503B0A">
        <w:rPr>
          <w:rFonts w:ascii="Foundry Form Sans" w:hAnsi="Foundry Form Sans" w:cs="Arial"/>
          <w:b/>
          <w:szCs w:val="24"/>
        </w:rPr>
        <w:t>Commercial</w:t>
      </w:r>
      <w:r w:rsidR="002E1AAD" w:rsidRPr="00503B0A">
        <w:rPr>
          <w:rFonts w:ascii="Foundry Form Sans" w:hAnsi="Foundry Form Sans" w:cs="Arial"/>
          <w:b/>
          <w:szCs w:val="24"/>
        </w:rPr>
        <w:t xml:space="preserve"> Appraisal Requirements </w:t>
      </w:r>
    </w:p>
    <w:p w:rsidR="001B01F1"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0353B5">
        <w:rPr>
          <w:rFonts w:ascii="Foundry Form Sans" w:hAnsi="Foundry Form Sans" w:cs="Arial"/>
          <w:szCs w:val="24"/>
        </w:rPr>
        <w:t>The Mayor of London seeks to appoint a de</w:t>
      </w:r>
      <w:r w:rsidR="00D03969">
        <w:rPr>
          <w:rFonts w:ascii="Foundry Form Sans" w:hAnsi="Foundry Form Sans" w:cs="Arial"/>
          <w:szCs w:val="24"/>
        </w:rPr>
        <w:t>livery</w:t>
      </w:r>
      <w:r w:rsidRPr="000353B5">
        <w:rPr>
          <w:rFonts w:ascii="Foundry Form Sans" w:hAnsi="Foundry Form Sans" w:cs="Arial"/>
          <w:szCs w:val="24"/>
        </w:rPr>
        <w:t xml:space="preserve"> partner who is able to fund and delive</w:t>
      </w:r>
      <w:r w:rsidR="001B01F1" w:rsidRPr="000353B5">
        <w:rPr>
          <w:rFonts w:ascii="Foundry Form Sans" w:hAnsi="Foundry Form Sans" w:cs="Arial"/>
          <w:szCs w:val="24"/>
        </w:rPr>
        <w:t>r this scheme</w:t>
      </w:r>
      <w:r w:rsidR="00424EE2">
        <w:rPr>
          <w:rFonts w:ascii="Foundry Form Sans" w:hAnsi="Foundry Form Sans" w:cs="Arial"/>
          <w:szCs w:val="24"/>
        </w:rPr>
        <w:t xml:space="preserve"> with an appropriate funding strategy</w:t>
      </w:r>
      <w:r w:rsidR="001B01F1" w:rsidRPr="000353B5">
        <w:rPr>
          <w:rFonts w:ascii="Foundry Form Sans" w:hAnsi="Foundry Form Sans" w:cs="Arial"/>
          <w:szCs w:val="24"/>
        </w:rPr>
        <w:t xml:space="preserve">. </w:t>
      </w:r>
    </w:p>
    <w:p w:rsidR="00943FD6" w:rsidRPr="00943FD6" w:rsidRDefault="00943FD6" w:rsidP="009F133B">
      <w:pPr>
        <w:pStyle w:val="BodyText"/>
        <w:spacing w:after="120" w:line="23" w:lineRule="atLeast"/>
        <w:ind w:left="284"/>
        <w:jc w:val="both"/>
        <w:rPr>
          <w:rFonts w:ascii="Foundry Form Sans" w:hAnsi="Foundry Form Sans" w:cs="Arial"/>
          <w:szCs w:val="24"/>
        </w:rPr>
      </w:pPr>
    </w:p>
    <w:p w:rsidR="003F707F" w:rsidRPr="00503B0A" w:rsidRDefault="00204132" w:rsidP="009F133B">
      <w:pPr>
        <w:pStyle w:val="BodyText"/>
        <w:numPr>
          <w:ilvl w:val="2"/>
          <w:numId w:val="42"/>
        </w:numPr>
        <w:spacing w:after="120" w:line="23" w:lineRule="atLeast"/>
        <w:ind w:left="284"/>
        <w:jc w:val="both"/>
        <w:rPr>
          <w:rFonts w:ascii="Foundry Form Sans" w:hAnsi="Foundry Form Sans" w:cs="Arial"/>
          <w:szCs w:val="24"/>
          <w:u w:val="single"/>
        </w:rPr>
      </w:pPr>
      <w:r w:rsidRPr="00503B0A">
        <w:rPr>
          <w:rFonts w:ascii="Foundry Form Sans" w:hAnsi="Foundry Form Sans" w:cs="Arial"/>
          <w:szCs w:val="24"/>
          <w:u w:val="single"/>
        </w:rPr>
        <w:t xml:space="preserve">B.1 </w:t>
      </w:r>
      <w:r w:rsidR="00714D58" w:rsidRPr="00503B0A">
        <w:rPr>
          <w:rFonts w:ascii="Foundry Form Sans" w:hAnsi="Foundry Form Sans" w:cs="Arial"/>
          <w:szCs w:val="24"/>
          <w:u w:val="single"/>
        </w:rPr>
        <w:t>Sales</w:t>
      </w:r>
      <w:r w:rsidR="00EC1C4F" w:rsidRPr="00503B0A">
        <w:rPr>
          <w:rFonts w:ascii="Foundry Form Sans" w:hAnsi="Foundry Form Sans" w:cs="Arial"/>
          <w:szCs w:val="24"/>
          <w:u w:val="single"/>
        </w:rPr>
        <w:t xml:space="preserve"> and</w:t>
      </w:r>
      <w:r w:rsidR="00714D58" w:rsidRPr="00503B0A">
        <w:rPr>
          <w:rFonts w:ascii="Foundry Form Sans" w:hAnsi="Foundry Form Sans" w:cs="Arial"/>
          <w:szCs w:val="24"/>
          <w:u w:val="single"/>
        </w:rPr>
        <w:t xml:space="preserve"> </w:t>
      </w:r>
      <w:r w:rsidR="003F707F" w:rsidRPr="00503B0A">
        <w:rPr>
          <w:rFonts w:ascii="Foundry Form Sans" w:hAnsi="Foundry Form Sans" w:cs="Arial"/>
          <w:szCs w:val="24"/>
          <w:u w:val="single"/>
        </w:rPr>
        <w:t xml:space="preserve">Marketing Strategy – </w:t>
      </w:r>
      <w:r w:rsidR="00CD2FC6" w:rsidRPr="00503B0A">
        <w:rPr>
          <w:rFonts w:ascii="Foundry Form Sans" w:hAnsi="Foundry Form Sans" w:cs="Arial"/>
          <w:szCs w:val="24"/>
          <w:u w:val="single"/>
        </w:rPr>
        <w:t xml:space="preserve">maximum </w:t>
      </w:r>
      <w:r w:rsidR="00952192" w:rsidRPr="00503B0A">
        <w:rPr>
          <w:rFonts w:ascii="Foundry Form Sans" w:hAnsi="Foundry Form Sans" w:cs="Arial"/>
          <w:szCs w:val="24"/>
          <w:u w:val="single"/>
        </w:rPr>
        <w:t>2</w:t>
      </w:r>
      <w:r w:rsidR="003F707F" w:rsidRPr="00503B0A">
        <w:rPr>
          <w:rFonts w:ascii="Foundry Form Sans" w:hAnsi="Foundry Form Sans" w:cs="Arial"/>
          <w:szCs w:val="24"/>
          <w:u w:val="single"/>
        </w:rPr>
        <w:t xml:space="preserve">no. </w:t>
      </w:r>
      <w:r w:rsidRPr="00503B0A">
        <w:rPr>
          <w:rFonts w:ascii="Foundry Form Sans" w:hAnsi="Foundry Form Sans" w:cs="Arial"/>
          <w:szCs w:val="24"/>
          <w:u w:val="single"/>
        </w:rPr>
        <w:t>s</w:t>
      </w:r>
      <w:r w:rsidR="003F707F" w:rsidRPr="00503B0A">
        <w:rPr>
          <w:rFonts w:ascii="Foundry Form Sans" w:hAnsi="Foundry Form Sans" w:cs="Arial"/>
          <w:szCs w:val="24"/>
          <w:u w:val="single"/>
        </w:rPr>
        <w:t>ides A4</w:t>
      </w:r>
    </w:p>
    <w:p w:rsidR="003F707F" w:rsidRPr="00503B0A" w:rsidRDefault="003F707F"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Pl</w:t>
      </w:r>
      <w:r w:rsidR="004C6DD0" w:rsidRPr="00503B0A">
        <w:rPr>
          <w:rFonts w:ascii="Foundry Form Sans" w:hAnsi="Foundry Form Sans" w:cs="Arial"/>
          <w:szCs w:val="24"/>
        </w:rPr>
        <w:t xml:space="preserve">ease submit an outline </w:t>
      </w:r>
      <w:r w:rsidR="00714D58" w:rsidRPr="00503B0A">
        <w:rPr>
          <w:rFonts w:ascii="Foundry Form Sans" w:hAnsi="Foundry Form Sans" w:cs="Arial"/>
          <w:szCs w:val="24"/>
        </w:rPr>
        <w:t>Sales</w:t>
      </w:r>
      <w:r w:rsidR="00EC1C4F" w:rsidRPr="00503B0A">
        <w:rPr>
          <w:rFonts w:ascii="Foundry Form Sans" w:hAnsi="Foundry Form Sans" w:cs="Arial"/>
          <w:szCs w:val="24"/>
        </w:rPr>
        <w:t xml:space="preserve"> and</w:t>
      </w:r>
      <w:r w:rsidR="00714D58" w:rsidRPr="00503B0A">
        <w:rPr>
          <w:rFonts w:ascii="Foundry Form Sans" w:hAnsi="Foundry Form Sans" w:cs="Arial"/>
          <w:szCs w:val="24"/>
        </w:rPr>
        <w:t xml:space="preserve"> </w:t>
      </w:r>
      <w:r w:rsidRPr="00503B0A">
        <w:rPr>
          <w:rFonts w:ascii="Foundry Form Sans" w:hAnsi="Foundry Form Sans" w:cs="Arial"/>
          <w:szCs w:val="24"/>
        </w:rPr>
        <w:t>Marketing Strategy demonstrat</w:t>
      </w:r>
      <w:r w:rsidR="00204132" w:rsidRPr="00503B0A">
        <w:rPr>
          <w:rFonts w:ascii="Foundry Form Sans" w:hAnsi="Foundry Form Sans" w:cs="Arial"/>
          <w:szCs w:val="24"/>
        </w:rPr>
        <w:t>ing</w:t>
      </w:r>
      <w:r w:rsidRPr="00503B0A">
        <w:rPr>
          <w:rFonts w:ascii="Foundry Form Sans" w:hAnsi="Foundry Form Sans" w:cs="Arial"/>
          <w:szCs w:val="24"/>
        </w:rPr>
        <w:t xml:space="preserve"> how the anticipated </w:t>
      </w:r>
      <w:r w:rsidR="008C0370" w:rsidRPr="00503B0A">
        <w:rPr>
          <w:rFonts w:ascii="Foundry Form Sans" w:hAnsi="Foundry Form Sans" w:cs="Arial"/>
          <w:szCs w:val="24"/>
        </w:rPr>
        <w:t xml:space="preserve">disposal </w:t>
      </w:r>
      <w:r w:rsidRPr="00503B0A">
        <w:rPr>
          <w:rFonts w:ascii="Foundry Form Sans" w:hAnsi="Foundry Form Sans" w:cs="Arial"/>
          <w:szCs w:val="24"/>
        </w:rPr>
        <w:t>programme will be achieved</w:t>
      </w:r>
      <w:r w:rsidR="004C6DD0" w:rsidRPr="00503B0A">
        <w:rPr>
          <w:rFonts w:ascii="Foundry Form Sans" w:hAnsi="Foundry Form Sans" w:cs="Arial"/>
          <w:szCs w:val="24"/>
        </w:rPr>
        <w:t xml:space="preserve"> for the </w:t>
      </w:r>
      <w:r w:rsidR="008C0370" w:rsidRPr="00503B0A">
        <w:rPr>
          <w:rFonts w:ascii="Foundry Form Sans" w:hAnsi="Foundry Form Sans" w:cs="Arial"/>
          <w:szCs w:val="24"/>
        </w:rPr>
        <w:t xml:space="preserve">respective tenures provided within the scheme. </w:t>
      </w:r>
    </w:p>
    <w:p w:rsidR="003F707F" w:rsidRPr="00503B0A" w:rsidRDefault="003F707F"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Please provide supporting evidence and information to </w:t>
      </w:r>
      <w:r w:rsidR="00CD2FC6" w:rsidRPr="00503B0A">
        <w:rPr>
          <w:rFonts w:ascii="Foundry Form Sans" w:hAnsi="Foundry Form Sans" w:cs="Arial"/>
          <w:szCs w:val="24"/>
        </w:rPr>
        <w:t xml:space="preserve">demonstrate </w:t>
      </w:r>
      <w:r w:rsidRPr="00503B0A">
        <w:rPr>
          <w:rFonts w:ascii="Foundry Form Sans" w:hAnsi="Foundry Form Sans" w:cs="Arial"/>
          <w:szCs w:val="24"/>
        </w:rPr>
        <w:t xml:space="preserve">value assumptions based on evidence from other comparable developments in the area or any other schemes elsewhere that show similar </w:t>
      </w:r>
      <w:r w:rsidR="00CC08F2" w:rsidRPr="00503B0A">
        <w:rPr>
          <w:rFonts w:ascii="Foundry Form Sans" w:hAnsi="Foundry Form Sans" w:cs="Arial"/>
          <w:szCs w:val="24"/>
        </w:rPr>
        <w:t>characteristics to this</w:t>
      </w:r>
      <w:r w:rsidR="000E75E0" w:rsidRPr="00503B0A">
        <w:rPr>
          <w:rFonts w:ascii="Foundry Form Sans" w:hAnsi="Foundry Form Sans" w:cs="Arial"/>
          <w:szCs w:val="24"/>
        </w:rPr>
        <w:t xml:space="preserve"> where possible</w:t>
      </w:r>
      <w:r w:rsidR="008F3E32">
        <w:rPr>
          <w:rFonts w:ascii="Foundry Form Sans" w:hAnsi="Foundry Form Sans" w:cs="Arial"/>
          <w:szCs w:val="24"/>
        </w:rPr>
        <w:t>.</w:t>
      </w:r>
    </w:p>
    <w:p w:rsidR="00CC08F2" w:rsidRPr="00503B0A" w:rsidRDefault="00CC08F2"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Provide details of how the homes will be marketed </w:t>
      </w:r>
      <w:r w:rsidR="001A0A93" w:rsidRPr="00503B0A">
        <w:rPr>
          <w:rFonts w:ascii="Foundry Form Sans" w:hAnsi="Foundry Form Sans" w:cs="Arial"/>
          <w:szCs w:val="24"/>
        </w:rPr>
        <w:t xml:space="preserve">and any strategy to distinguish specific enhancements made </w:t>
      </w:r>
      <w:r w:rsidR="006E3695" w:rsidRPr="00503B0A">
        <w:rPr>
          <w:rFonts w:ascii="Foundry Form Sans" w:hAnsi="Foundry Form Sans" w:cs="Arial"/>
          <w:szCs w:val="24"/>
        </w:rPr>
        <w:t>between tenures or units</w:t>
      </w:r>
      <w:r w:rsidR="001A0A93" w:rsidRPr="00503B0A">
        <w:rPr>
          <w:rFonts w:ascii="Foundry Form Sans" w:hAnsi="Foundry Form Sans" w:cs="Arial"/>
          <w:szCs w:val="24"/>
        </w:rPr>
        <w:t>.</w:t>
      </w:r>
    </w:p>
    <w:p w:rsidR="00714D58" w:rsidRPr="00503B0A" w:rsidRDefault="00714D58"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Please also provide details of how </w:t>
      </w:r>
      <w:r w:rsidR="0095526A" w:rsidRPr="00503B0A">
        <w:rPr>
          <w:rFonts w:ascii="Foundry Form Sans" w:hAnsi="Foundry Form Sans" w:cs="Arial"/>
          <w:szCs w:val="24"/>
        </w:rPr>
        <w:t xml:space="preserve">any </w:t>
      </w:r>
      <w:r w:rsidRPr="00503B0A">
        <w:rPr>
          <w:rFonts w:ascii="Foundry Form Sans" w:hAnsi="Foundry Form Sans" w:cs="Arial"/>
          <w:szCs w:val="24"/>
        </w:rPr>
        <w:t>non-residential floor space will be marketed and supporting evidence and information to demonstrate demand and how the proposal represents a viable proposition</w:t>
      </w:r>
      <w:r w:rsidR="002F6B93" w:rsidRPr="00503B0A">
        <w:rPr>
          <w:rFonts w:ascii="Foundry Form Sans" w:hAnsi="Foundry Form Sans" w:cs="Arial"/>
          <w:szCs w:val="24"/>
        </w:rPr>
        <w:t xml:space="preserve">, with particular emphasis </w:t>
      </w:r>
      <w:r w:rsidR="001B714B" w:rsidRPr="00503B0A">
        <w:rPr>
          <w:rFonts w:ascii="Foundry Form Sans" w:hAnsi="Foundry Form Sans" w:cs="Arial"/>
          <w:szCs w:val="24"/>
        </w:rPr>
        <w:t>on the supply arising from surrounding developments.</w:t>
      </w:r>
    </w:p>
    <w:p w:rsidR="00714D58" w:rsidRPr="000353B5" w:rsidRDefault="00714D58" w:rsidP="00446F42">
      <w:pPr>
        <w:widowControl w:val="0"/>
        <w:adjustRightInd w:val="0"/>
        <w:spacing w:before="120" w:after="120" w:line="23" w:lineRule="atLeast"/>
        <w:ind w:left="284"/>
        <w:jc w:val="both"/>
        <w:textAlignment w:val="baseline"/>
        <w:outlineLvl w:val="1"/>
        <w:rPr>
          <w:rFonts w:ascii="Foundry Form Sans" w:hAnsi="Foundry Form Sans" w:cs="Arial"/>
          <w:sz w:val="22"/>
        </w:rPr>
      </w:pPr>
    </w:p>
    <w:p w:rsidR="00242FB4" w:rsidRPr="000353B5" w:rsidRDefault="00204132" w:rsidP="009F133B">
      <w:pPr>
        <w:pStyle w:val="BodyText"/>
        <w:numPr>
          <w:ilvl w:val="2"/>
          <w:numId w:val="42"/>
        </w:numPr>
        <w:spacing w:after="120" w:line="23" w:lineRule="atLeast"/>
        <w:ind w:left="284"/>
        <w:jc w:val="both"/>
        <w:rPr>
          <w:rFonts w:ascii="Foundry Form Sans" w:hAnsi="Foundry Form Sans" w:cs="Arial"/>
          <w:szCs w:val="24"/>
          <w:u w:val="single"/>
        </w:rPr>
      </w:pPr>
      <w:r>
        <w:rPr>
          <w:rFonts w:ascii="Foundry Form Sans" w:hAnsi="Foundry Form Sans" w:cs="Arial"/>
          <w:szCs w:val="24"/>
          <w:u w:val="single"/>
        </w:rPr>
        <w:lastRenderedPageBreak/>
        <w:t xml:space="preserve">B.2 </w:t>
      </w:r>
      <w:r w:rsidR="00F90593" w:rsidRPr="00E633FD">
        <w:rPr>
          <w:rFonts w:ascii="Foundry Form Sans" w:hAnsi="Foundry Form Sans" w:cs="Arial"/>
          <w:szCs w:val="24"/>
          <w:u w:val="single"/>
        </w:rPr>
        <w:t>Approach</w:t>
      </w:r>
      <w:r w:rsidR="00F90593" w:rsidRPr="00596D11">
        <w:rPr>
          <w:rFonts w:ascii="Foundry Form Sans" w:hAnsi="Foundry Form Sans" w:cs="Arial"/>
          <w:szCs w:val="24"/>
          <w:u w:val="single"/>
        </w:rPr>
        <w:t xml:space="preserve"> to Securing Funding</w:t>
      </w:r>
      <w:r w:rsidR="004C6DD0" w:rsidRPr="00596D11">
        <w:rPr>
          <w:rFonts w:ascii="Foundry Form Sans" w:hAnsi="Foundry Form Sans" w:cs="Arial"/>
          <w:szCs w:val="24"/>
          <w:u w:val="single"/>
        </w:rPr>
        <w:t xml:space="preserve"> </w:t>
      </w:r>
      <w:r w:rsidR="003F707F" w:rsidRPr="00596D11">
        <w:rPr>
          <w:rFonts w:ascii="Foundry Form Sans" w:hAnsi="Foundry Form Sans" w:cs="Arial"/>
          <w:szCs w:val="24"/>
          <w:u w:val="single"/>
        </w:rPr>
        <w:t xml:space="preserve">– </w:t>
      </w:r>
      <w:r w:rsidR="00CD2FC6" w:rsidRPr="00596D11">
        <w:rPr>
          <w:rFonts w:ascii="Foundry Form Sans" w:hAnsi="Foundry Form Sans" w:cs="Arial"/>
          <w:u w:val="single"/>
        </w:rPr>
        <w:t xml:space="preserve">maximum </w:t>
      </w:r>
      <w:r w:rsidR="00952192">
        <w:rPr>
          <w:rFonts w:ascii="Foundry Form Sans" w:hAnsi="Foundry Form Sans" w:cs="Arial"/>
          <w:szCs w:val="24"/>
          <w:u w:val="single"/>
        </w:rPr>
        <w:t>2</w:t>
      </w:r>
      <w:r w:rsidR="003F707F" w:rsidRPr="00596D11">
        <w:rPr>
          <w:rFonts w:ascii="Foundry Form Sans" w:hAnsi="Foundry Form Sans" w:cs="Arial"/>
          <w:szCs w:val="24"/>
          <w:u w:val="single"/>
        </w:rPr>
        <w:t>no.</w:t>
      </w:r>
      <w:r w:rsidR="00242FB4" w:rsidRPr="00596D11">
        <w:rPr>
          <w:rFonts w:ascii="Foundry Form Sans" w:hAnsi="Foundry Form Sans" w:cs="Arial"/>
          <w:szCs w:val="24"/>
          <w:u w:val="single"/>
        </w:rPr>
        <w:t xml:space="preserve"> </w:t>
      </w:r>
      <w:r>
        <w:rPr>
          <w:rFonts w:ascii="Foundry Form Sans" w:hAnsi="Foundry Form Sans" w:cs="Arial"/>
          <w:szCs w:val="24"/>
          <w:u w:val="single"/>
        </w:rPr>
        <w:t>s</w:t>
      </w:r>
      <w:r w:rsidR="003F707F" w:rsidRPr="00596D11">
        <w:rPr>
          <w:rFonts w:ascii="Foundry Form Sans" w:hAnsi="Foundry Form Sans" w:cs="Arial"/>
          <w:szCs w:val="24"/>
          <w:u w:val="single"/>
        </w:rPr>
        <w:t>ides</w:t>
      </w:r>
      <w:r w:rsidR="00242FB4" w:rsidRPr="00596D11">
        <w:rPr>
          <w:rFonts w:ascii="Foundry Form Sans" w:hAnsi="Foundry Form Sans" w:cs="Arial"/>
          <w:szCs w:val="24"/>
          <w:u w:val="single"/>
        </w:rPr>
        <w:t xml:space="preserve"> A4</w:t>
      </w:r>
    </w:p>
    <w:p w:rsidR="00242FB4" w:rsidRPr="00503B0A" w:rsidRDefault="00E0112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Please outline an approach to securing funding. </w:t>
      </w:r>
      <w:r w:rsidR="00242FB4" w:rsidRPr="00503B0A">
        <w:rPr>
          <w:rFonts w:ascii="Foundry Form Sans" w:hAnsi="Foundry Form Sans" w:cs="Arial"/>
          <w:szCs w:val="24"/>
        </w:rPr>
        <w:t>This should include evidence of how funding for the project is to be sourced and secured and any com</w:t>
      </w:r>
      <w:r w:rsidR="00F90593" w:rsidRPr="00503B0A">
        <w:rPr>
          <w:rFonts w:ascii="Foundry Form Sans" w:hAnsi="Foundry Form Sans" w:cs="Arial"/>
          <w:szCs w:val="24"/>
        </w:rPr>
        <w:t>mitment that there is by funding partners</w:t>
      </w:r>
      <w:r w:rsidR="00242FB4" w:rsidRPr="00503B0A">
        <w:rPr>
          <w:rFonts w:ascii="Foundry Form Sans" w:hAnsi="Foundry Form Sans" w:cs="Arial"/>
          <w:szCs w:val="24"/>
        </w:rPr>
        <w:t>. It should detail the proposed structure of the funding including the:</w:t>
      </w:r>
    </w:p>
    <w:p w:rsidR="00242FB4"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42FB4" w:rsidRPr="00503B0A">
        <w:rPr>
          <w:rFonts w:ascii="Foundry Form Sans" w:hAnsi="Foundry Form Sans" w:cs="Arial"/>
          <w:szCs w:val="24"/>
        </w:rPr>
        <w:t xml:space="preserve">level of </w:t>
      </w:r>
      <w:r w:rsidR="007E0DFD" w:rsidRPr="00503B0A">
        <w:rPr>
          <w:rFonts w:ascii="Foundry Form Sans" w:hAnsi="Foundry Form Sans" w:cs="Arial"/>
          <w:szCs w:val="24"/>
        </w:rPr>
        <w:t>any</w:t>
      </w:r>
      <w:r w:rsidR="00242FB4" w:rsidRPr="00503B0A">
        <w:rPr>
          <w:rFonts w:ascii="Foundry Form Sans" w:hAnsi="Foundry Form Sans" w:cs="Arial"/>
          <w:szCs w:val="24"/>
        </w:rPr>
        <w:t xml:space="preserve"> debt required;</w:t>
      </w:r>
    </w:p>
    <w:p w:rsidR="00242FB4"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42FB4" w:rsidRPr="00503B0A">
        <w:rPr>
          <w:rFonts w:ascii="Foundry Form Sans" w:hAnsi="Foundry Form Sans" w:cs="Arial"/>
          <w:szCs w:val="24"/>
        </w:rPr>
        <w:t>expected terms of loan facilities to be incorporated in the structure;</w:t>
      </w:r>
    </w:p>
    <w:p w:rsidR="00242FB4"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242FB4" w:rsidRPr="00503B0A">
        <w:rPr>
          <w:rFonts w:ascii="Foundry Form Sans" w:hAnsi="Foundry Form Sans" w:cs="Arial"/>
          <w:szCs w:val="24"/>
        </w:rPr>
        <w:t>equity returns sought by all parties investing in the structure.</w:t>
      </w:r>
    </w:p>
    <w:p w:rsidR="00F90593" w:rsidRPr="00503B0A" w:rsidRDefault="00F90593"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Where the intention is to self-fund from internal resources</w:t>
      </w:r>
      <w:r w:rsidR="001A0A93" w:rsidRPr="00503B0A">
        <w:rPr>
          <w:rFonts w:ascii="Foundry Form Sans" w:hAnsi="Foundry Form Sans" w:cs="Arial"/>
          <w:szCs w:val="24"/>
        </w:rPr>
        <w:t xml:space="preserve"> or with </w:t>
      </w:r>
      <w:r w:rsidR="00204132" w:rsidRPr="00503B0A">
        <w:rPr>
          <w:rFonts w:ascii="Foundry Form Sans" w:hAnsi="Foundry Form Sans" w:cs="Arial"/>
          <w:szCs w:val="24"/>
        </w:rPr>
        <w:t>i</w:t>
      </w:r>
      <w:r w:rsidR="001A0A93" w:rsidRPr="00503B0A">
        <w:rPr>
          <w:rFonts w:ascii="Foundry Form Sans" w:hAnsi="Foundry Form Sans" w:cs="Arial"/>
          <w:szCs w:val="24"/>
        </w:rPr>
        <w:t xml:space="preserve">nstitutional </w:t>
      </w:r>
      <w:r w:rsidR="00204132" w:rsidRPr="00503B0A">
        <w:rPr>
          <w:rFonts w:ascii="Foundry Form Sans" w:hAnsi="Foundry Form Sans" w:cs="Arial"/>
          <w:szCs w:val="24"/>
        </w:rPr>
        <w:t>i</w:t>
      </w:r>
      <w:r w:rsidR="001A0A93" w:rsidRPr="00503B0A">
        <w:rPr>
          <w:rFonts w:ascii="Foundry Form Sans" w:hAnsi="Foundry Form Sans" w:cs="Arial"/>
          <w:szCs w:val="24"/>
        </w:rPr>
        <w:t>nvestors</w:t>
      </w:r>
      <w:r w:rsidRPr="00503B0A">
        <w:rPr>
          <w:rFonts w:ascii="Foundry Form Sans" w:hAnsi="Foundry Form Sans" w:cs="Arial"/>
          <w:szCs w:val="24"/>
        </w:rPr>
        <w:t xml:space="preserve">, </w:t>
      </w:r>
      <w:r w:rsidR="00300BFA" w:rsidRPr="00503B0A">
        <w:rPr>
          <w:rFonts w:ascii="Foundry Form Sans" w:hAnsi="Foundry Form Sans" w:cs="Arial"/>
          <w:szCs w:val="24"/>
        </w:rPr>
        <w:t>Bidder</w:t>
      </w:r>
      <w:r w:rsidRPr="00503B0A">
        <w:rPr>
          <w:rFonts w:ascii="Foundry Form Sans" w:hAnsi="Foundry Form Sans" w:cs="Arial"/>
          <w:szCs w:val="24"/>
        </w:rPr>
        <w:t xml:space="preserve">s are required to provide a letter from their Financial Director </w:t>
      </w:r>
      <w:r w:rsidR="00204132" w:rsidRPr="00503B0A">
        <w:rPr>
          <w:rFonts w:ascii="Foundry Form Sans" w:hAnsi="Foundry Form Sans" w:cs="Arial"/>
          <w:szCs w:val="24"/>
        </w:rPr>
        <w:t>(</w:t>
      </w:r>
      <w:r w:rsidRPr="00503B0A">
        <w:rPr>
          <w:rFonts w:ascii="Foundry Form Sans" w:hAnsi="Foundry Form Sans" w:cs="Arial"/>
          <w:szCs w:val="24"/>
        </w:rPr>
        <w:t>or equivalent</w:t>
      </w:r>
      <w:r w:rsidR="00204132" w:rsidRPr="00503B0A">
        <w:rPr>
          <w:rFonts w:ascii="Foundry Form Sans" w:hAnsi="Foundry Form Sans" w:cs="Arial"/>
          <w:szCs w:val="24"/>
        </w:rPr>
        <w:t>)</w:t>
      </w:r>
      <w:r w:rsidRPr="00503B0A">
        <w:rPr>
          <w:rFonts w:ascii="Foundry Form Sans" w:hAnsi="Foundry Form Sans" w:cs="Arial"/>
          <w:szCs w:val="24"/>
        </w:rPr>
        <w:t xml:space="preserve"> </w:t>
      </w:r>
      <w:r w:rsidR="006E3695" w:rsidRPr="00503B0A">
        <w:rPr>
          <w:rFonts w:ascii="Foundry Form Sans" w:hAnsi="Foundry Form Sans" w:cs="Arial"/>
          <w:szCs w:val="24"/>
        </w:rPr>
        <w:t xml:space="preserve">evidencing </w:t>
      </w:r>
      <w:r w:rsidRPr="00503B0A">
        <w:rPr>
          <w:rFonts w:ascii="Foundry Form Sans" w:hAnsi="Foundry Form Sans" w:cs="Arial"/>
          <w:szCs w:val="24"/>
        </w:rPr>
        <w:t>that the funding is available</w:t>
      </w:r>
      <w:r w:rsidR="006E3695" w:rsidRPr="00503B0A">
        <w:rPr>
          <w:rFonts w:ascii="Foundry Form Sans" w:hAnsi="Foundry Form Sans" w:cs="Arial"/>
          <w:szCs w:val="24"/>
        </w:rPr>
        <w:t>, providing details of the facilities and headroom available within the funding sources to be utilised.</w:t>
      </w:r>
    </w:p>
    <w:p w:rsidR="000B45DC" w:rsidRPr="00503B0A" w:rsidRDefault="00CB3953"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szCs w:val="24"/>
        </w:rPr>
        <w:t xml:space="preserve">Bidders should include details of the security package that it proposes to provide to the GLA for the Bidder's obligations under the development agreement and building lease (using the template guarantee/security documents agreed as part of the LDP Framework arrangements).  Where the Bidder is proposing to provide a parent company guarantee (PCG), </w:t>
      </w:r>
      <w:r w:rsidR="000B45DC" w:rsidRPr="00503B0A">
        <w:rPr>
          <w:rFonts w:ascii="Foundry Form Sans" w:hAnsi="Foundry Form Sans" w:cs="Arial"/>
          <w:szCs w:val="24"/>
        </w:rPr>
        <w:t>confirmation</w:t>
      </w:r>
      <w:r w:rsidRPr="00503B0A">
        <w:rPr>
          <w:rFonts w:ascii="Foundry Form Sans" w:hAnsi="Foundry Form Sans" w:cs="Arial"/>
          <w:szCs w:val="24"/>
        </w:rPr>
        <w:t xml:space="preserve"> of this should be p</w:t>
      </w:r>
      <w:r w:rsidRPr="00503B0A">
        <w:rPr>
          <w:rFonts w:ascii="Foundry Form Sans" w:hAnsi="Foundry Form Sans" w:cs="Arial"/>
        </w:rPr>
        <w:t>rovided by way of a b</w:t>
      </w:r>
      <w:r w:rsidR="000B45DC" w:rsidRPr="00503B0A">
        <w:rPr>
          <w:rFonts w:ascii="Foundry Form Sans" w:hAnsi="Foundry Form Sans" w:cs="Arial"/>
        </w:rPr>
        <w:t xml:space="preserve">oard minute </w:t>
      </w:r>
      <w:r w:rsidRPr="00503B0A">
        <w:rPr>
          <w:rFonts w:ascii="Foundry Form Sans" w:hAnsi="Foundry Form Sans" w:cs="Arial"/>
        </w:rPr>
        <w:t>authorising signature of the PCG</w:t>
      </w:r>
      <w:r w:rsidR="000B45DC" w:rsidRPr="00503B0A">
        <w:rPr>
          <w:rFonts w:ascii="Foundry Form Sans" w:hAnsi="Foundry Form Sans" w:cs="Arial"/>
        </w:rPr>
        <w:t>.</w:t>
      </w:r>
    </w:p>
    <w:p w:rsidR="006A2AD1" w:rsidRPr="000353B5" w:rsidRDefault="006A2AD1" w:rsidP="009F133B">
      <w:pPr>
        <w:spacing w:after="120" w:line="23" w:lineRule="atLeast"/>
        <w:ind w:left="284"/>
        <w:jc w:val="both"/>
        <w:rPr>
          <w:rFonts w:ascii="Foundry Form Sans" w:hAnsi="Foundry Form Sans" w:cs="Arial"/>
          <w:sz w:val="22"/>
        </w:rPr>
      </w:pPr>
    </w:p>
    <w:p w:rsidR="002E1AAD" w:rsidRPr="000353B5" w:rsidRDefault="002E1AAD" w:rsidP="009F133B">
      <w:pPr>
        <w:pStyle w:val="BodyText"/>
        <w:numPr>
          <w:ilvl w:val="1"/>
          <w:numId w:val="42"/>
        </w:numPr>
        <w:spacing w:after="120" w:line="23" w:lineRule="atLeast"/>
        <w:ind w:left="284"/>
        <w:jc w:val="both"/>
        <w:rPr>
          <w:rFonts w:ascii="Foundry Form Sans" w:hAnsi="Foundry Form Sans" w:cs="Arial"/>
          <w:b/>
          <w:szCs w:val="24"/>
        </w:rPr>
      </w:pPr>
      <w:r w:rsidRPr="000353B5">
        <w:rPr>
          <w:rFonts w:ascii="Foundry Form Sans" w:hAnsi="Foundry Form Sans" w:cs="Arial"/>
          <w:b/>
          <w:szCs w:val="24"/>
        </w:rPr>
        <w:t>Section C – Financial Offer</w:t>
      </w:r>
    </w:p>
    <w:p w:rsidR="002E1AAD" w:rsidRPr="000353B5" w:rsidRDefault="002E1AAD" w:rsidP="009F133B">
      <w:pPr>
        <w:spacing w:after="120" w:line="23" w:lineRule="atLeast"/>
        <w:ind w:left="284"/>
        <w:jc w:val="both"/>
        <w:rPr>
          <w:rFonts w:ascii="Foundry Form Sans" w:hAnsi="Foundry Form Sans" w:cs="Arial"/>
          <w:sz w:val="22"/>
          <w:u w:val="single"/>
        </w:rPr>
      </w:pPr>
    </w:p>
    <w:p w:rsidR="001B714B" w:rsidRPr="00503B0A" w:rsidRDefault="001B714B"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This section of the ITT will be evaluated with reference to the table in </w:t>
      </w:r>
      <w:r w:rsidR="00036016" w:rsidRPr="00503B0A">
        <w:rPr>
          <w:rFonts w:ascii="Foundry Form Sans" w:hAnsi="Foundry Form Sans" w:cs="Arial"/>
          <w:szCs w:val="24"/>
        </w:rPr>
        <w:t>Section 7.</w:t>
      </w:r>
      <w:r w:rsidR="005C2F8F" w:rsidRPr="00503B0A">
        <w:rPr>
          <w:rFonts w:ascii="Foundry Form Sans" w:hAnsi="Foundry Form Sans" w:cs="Arial"/>
          <w:szCs w:val="24"/>
        </w:rPr>
        <w:t>3</w:t>
      </w:r>
      <w:r w:rsidRPr="00503B0A">
        <w:rPr>
          <w:rFonts w:ascii="Foundry Form Sans" w:hAnsi="Foundry Form Sans" w:cs="Arial"/>
          <w:szCs w:val="24"/>
        </w:rPr>
        <w:t>.</w:t>
      </w:r>
    </w:p>
    <w:p w:rsidR="001B714B" w:rsidRPr="00503B0A" w:rsidRDefault="0003601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Bidders</w:t>
      </w:r>
      <w:r w:rsidR="001B714B" w:rsidRPr="00503B0A">
        <w:rPr>
          <w:rFonts w:ascii="Foundry Form Sans" w:hAnsi="Foundry Form Sans" w:cs="Arial"/>
          <w:szCs w:val="24"/>
        </w:rPr>
        <w:t xml:space="preserve"> should not</w:t>
      </w:r>
      <w:r w:rsidR="002F4F40" w:rsidRPr="00503B0A">
        <w:rPr>
          <w:rFonts w:ascii="Foundry Form Sans" w:hAnsi="Foundry Form Sans" w:cs="Arial"/>
          <w:szCs w:val="24"/>
        </w:rPr>
        <w:t>e</w:t>
      </w:r>
      <w:r w:rsidR="001B714B" w:rsidRPr="00503B0A">
        <w:rPr>
          <w:rFonts w:ascii="Foundry Form Sans" w:hAnsi="Foundry Form Sans" w:cs="Arial"/>
          <w:szCs w:val="24"/>
        </w:rPr>
        <w:t xml:space="preserve"> the two components of this score:</w:t>
      </w:r>
    </w:p>
    <w:p w:rsidR="001B714B" w:rsidRPr="00503B0A" w:rsidRDefault="00503B0A" w:rsidP="009F133B">
      <w:pPr>
        <w:pStyle w:val="BodyText"/>
        <w:spacing w:after="120" w:line="23" w:lineRule="atLeast"/>
        <w:ind w:left="284"/>
        <w:jc w:val="both"/>
        <w:rPr>
          <w:rFonts w:ascii="Foundry Form Sans" w:hAnsi="Foundry Form Sans" w:cs="Arial"/>
          <w:szCs w:val="24"/>
        </w:rPr>
      </w:pPr>
      <w:r>
        <w:rPr>
          <w:rFonts w:ascii="Foundry Form Sans" w:hAnsi="Foundry Form Sans" w:cs="Arial"/>
          <w:szCs w:val="24"/>
        </w:rPr>
        <w:t xml:space="preserve">1) </w:t>
      </w:r>
      <w:r w:rsidR="001B714B" w:rsidRPr="00503B0A">
        <w:rPr>
          <w:rFonts w:ascii="Foundry Form Sans" w:hAnsi="Foundry Form Sans" w:cs="Arial"/>
          <w:szCs w:val="24"/>
        </w:rPr>
        <w:t xml:space="preserve">Guaranteed minimum land value for the </w:t>
      </w:r>
      <w:r w:rsidR="00514E0E">
        <w:rPr>
          <w:rFonts w:ascii="Foundry Form Sans" w:hAnsi="Foundry Form Sans" w:cs="Arial"/>
          <w:szCs w:val="24"/>
        </w:rPr>
        <w:t>Site</w:t>
      </w:r>
      <w:r w:rsidR="00036016" w:rsidRPr="00503B0A">
        <w:rPr>
          <w:rFonts w:ascii="Foundry Form Sans" w:hAnsi="Foundry Form Sans" w:cs="Arial"/>
          <w:szCs w:val="24"/>
        </w:rPr>
        <w:t>; and</w:t>
      </w:r>
    </w:p>
    <w:p w:rsidR="001B714B" w:rsidRPr="00503B0A" w:rsidRDefault="00503B0A" w:rsidP="009F133B">
      <w:pPr>
        <w:pStyle w:val="BodyText"/>
        <w:spacing w:after="120" w:line="23" w:lineRule="atLeast"/>
        <w:ind w:left="284"/>
        <w:jc w:val="both"/>
        <w:rPr>
          <w:rFonts w:ascii="Foundry Form Sans" w:hAnsi="Foundry Form Sans" w:cs="Arial"/>
          <w:szCs w:val="24"/>
        </w:rPr>
      </w:pPr>
      <w:r>
        <w:rPr>
          <w:rFonts w:ascii="Foundry Form Sans" w:hAnsi="Foundry Form Sans" w:cs="Arial"/>
          <w:szCs w:val="24"/>
        </w:rPr>
        <w:t xml:space="preserve">2) </w:t>
      </w:r>
      <w:r w:rsidR="001B714B" w:rsidRPr="00503B0A">
        <w:rPr>
          <w:rFonts w:ascii="Foundry Form Sans" w:hAnsi="Foundry Form Sans" w:cs="Arial"/>
          <w:szCs w:val="24"/>
        </w:rPr>
        <w:t>Overage offer</w:t>
      </w:r>
    </w:p>
    <w:p w:rsidR="005C2F8F" w:rsidRPr="00E1371A" w:rsidRDefault="008B6ECE" w:rsidP="009F133B">
      <w:pPr>
        <w:pStyle w:val="BodyText"/>
        <w:numPr>
          <w:ilvl w:val="1"/>
          <w:numId w:val="42"/>
        </w:numPr>
        <w:spacing w:after="120" w:line="23" w:lineRule="atLeast"/>
        <w:ind w:left="284"/>
        <w:jc w:val="both"/>
        <w:rPr>
          <w:rFonts w:ascii="Foundry Form Sans" w:hAnsi="Foundry Form Sans" w:cs="Arial"/>
          <w:b/>
          <w:u w:val="single"/>
          <w:lang w:eastAsia="en-GB"/>
        </w:rPr>
      </w:pPr>
      <w:r>
        <w:rPr>
          <w:rFonts w:ascii="Foundry Form Sans" w:hAnsi="Foundry Form Sans" w:cs="Arial"/>
          <w:b/>
          <w:u w:val="single"/>
          <w:lang w:eastAsia="en-GB"/>
        </w:rPr>
        <w:t xml:space="preserve">C.1 </w:t>
      </w:r>
      <w:r w:rsidR="005C2F8F">
        <w:rPr>
          <w:rFonts w:ascii="Foundry Form Sans" w:hAnsi="Foundry Form Sans" w:cs="Arial"/>
          <w:b/>
          <w:u w:val="single"/>
          <w:lang w:eastAsia="en-GB"/>
        </w:rPr>
        <w:t xml:space="preserve">Guaranteed minimum land value for the </w:t>
      </w:r>
      <w:r w:rsidR="00514E0E">
        <w:rPr>
          <w:rFonts w:ascii="Foundry Form Sans" w:hAnsi="Foundry Form Sans" w:cs="Arial"/>
          <w:b/>
          <w:u w:val="single"/>
          <w:lang w:eastAsia="en-GB"/>
        </w:rPr>
        <w:t>Site</w:t>
      </w:r>
    </w:p>
    <w:p w:rsidR="003058A6" w:rsidRPr="00503B0A" w:rsidRDefault="003058A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Having regard to the above requirements and the terms of this ITT, </w:t>
      </w:r>
      <w:r w:rsidR="00F850A6" w:rsidRPr="00503B0A">
        <w:rPr>
          <w:rFonts w:ascii="Foundry Form Sans" w:hAnsi="Foundry Form Sans" w:cs="Arial"/>
          <w:szCs w:val="24"/>
        </w:rPr>
        <w:t>GLA</w:t>
      </w:r>
      <w:r w:rsidRPr="00503B0A">
        <w:rPr>
          <w:rFonts w:ascii="Foundry Form Sans" w:hAnsi="Foundry Form Sans" w:cs="Arial"/>
          <w:szCs w:val="24"/>
        </w:rPr>
        <w:t xml:space="preserve"> invite</w:t>
      </w:r>
      <w:r w:rsidR="008F3E32">
        <w:rPr>
          <w:rFonts w:ascii="Foundry Form Sans" w:hAnsi="Foundry Form Sans" w:cs="Arial"/>
          <w:szCs w:val="24"/>
        </w:rPr>
        <w:t>s</w:t>
      </w:r>
      <w:r w:rsidRPr="00503B0A">
        <w:rPr>
          <w:rFonts w:ascii="Foundry Form Sans" w:hAnsi="Foundry Form Sans" w:cs="Arial"/>
          <w:szCs w:val="24"/>
        </w:rPr>
        <w:t xml:space="preserve"> </w:t>
      </w:r>
      <w:r w:rsidR="00036016" w:rsidRPr="00503B0A">
        <w:rPr>
          <w:rFonts w:ascii="Foundry Form Sans" w:hAnsi="Foundry Form Sans" w:cs="Arial"/>
          <w:szCs w:val="24"/>
        </w:rPr>
        <w:t>B</w:t>
      </w:r>
      <w:r w:rsidRPr="00503B0A">
        <w:rPr>
          <w:rFonts w:ascii="Foundry Form Sans" w:hAnsi="Foundry Form Sans" w:cs="Arial"/>
          <w:szCs w:val="24"/>
        </w:rPr>
        <w:t xml:space="preserve">idders to submit financial proposals, to develop the </w:t>
      </w:r>
      <w:r w:rsidR="00514E0E">
        <w:rPr>
          <w:rFonts w:ascii="Foundry Form Sans" w:hAnsi="Foundry Form Sans" w:cs="Arial"/>
          <w:szCs w:val="24"/>
        </w:rPr>
        <w:t>Site</w:t>
      </w:r>
      <w:r w:rsidRPr="00503B0A">
        <w:rPr>
          <w:rFonts w:ascii="Foundry Form Sans" w:hAnsi="Foundry Form Sans" w:cs="Arial"/>
          <w:szCs w:val="24"/>
        </w:rPr>
        <w:t xml:space="preserve"> in accordance with the delivery requirements, on th</w:t>
      </w:r>
      <w:r w:rsidR="00CD27E3">
        <w:rPr>
          <w:rFonts w:ascii="Foundry Form Sans" w:hAnsi="Foundry Form Sans" w:cs="Arial"/>
          <w:szCs w:val="24"/>
        </w:rPr>
        <w:t>e</w:t>
      </w:r>
      <w:r w:rsidRPr="00503B0A">
        <w:rPr>
          <w:rFonts w:ascii="Foundry Form Sans" w:hAnsi="Foundry Form Sans" w:cs="Arial"/>
          <w:szCs w:val="24"/>
        </w:rPr>
        <w:t xml:space="preserve"> basis that they will be required to enter into a development agreement with GLA that will become unconditional</w:t>
      </w:r>
      <w:r w:rsidR="0058784E" w:rsidRPr="00503B0A">
        <w:rPr>
          <w:rFonts w:ascii="Foundry Form Sans" w:hAnsi="Foundry Form Sans" w:cs="Arial"/>
          <w:szCs w:val="24"/>
        </w:rPr>
        <w:t xml:space="preserve"> </w:t>
      </w:r>
      <w:r w:rsidRPr="00503B0A">
        <w:rPr>
          <w:rFonts w:ascii="Foundry Form Sans" w:hAnsi="Foundry Form Sans" w:cs="Arial"/>
          <w:szCs w:val="24"/>
        </w:rPr>
        <w:t>on the grant of planning consent</w:t>
      </w:r>
      <w:r w:rsidR="0058784E" w:rsidRPr="00503B0A">
        <w:rPr>
          <w:rFonts w:ascii="Foundry Form Sans" w:hAnsi="Foundry Form Sans" w:cs="Arial"/>
          <w:szCs w:val="24"/>
        </w:rPr>
        <w:t xml:space="preserve"> and </w:t>
      </w:r>
      <w:r w:rsidR="006E3695" w:rsidRPr="00503B0A">
        <w:rPr>
          <w:rFonts w:ascii="Foundry Form Sans" w:hAnsi="Foundry Form Sans" w:cs="Arial"/>
          <w:szCs w:val="24"/>
        </w:rPr>
        <w:t xml:space="preserve">satisfaction of </w:t>
      </w:r>
      <w:r w:rsidR="0058784E" w:rsidRPr="00503B0A">
        <w:rPr>
          <w:rFonts w:ascii="Foundry Form Sans" w:hAnsi="Foundry Form Sans" w:cs="Arial"/>
          <w:szCs w:val="24"/>
        </w:rPr>
        <w:t>all other pre-</w:t>
      </w:r>
      <w:r w:rsidR="006E3695" w:rsidRPr="00503B0A">
        <w:rPr>
          <w:rFonts w:ascii="Foundry Form Sans" w:hAnsi="Foundry Form Sans" w:cs="Arial"/>
          <w:szCs w:val="24"/>
        </w:rPr>
        <w:t>conditions</w:t>
      </w:r>
      <w:r w:rsidRPr="00503B0A">
        <w:rPr>
          <w:rFonts w:ascii="Foundry Form Sans" w:hAnsi="Foundry Form Sans" w:cs="Arial"/>
          <w:szCs w:val="24"/>
        </w:rPr>
        <w:t xml:space="preserve">.  </w:t>
      </w:r>
    </w:p>
    <w:p w:rsidR="003058A6" w:rsidRPr="00503B0A" w:rsidRDefault="003058A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Bidders are required to submit their offers on payment terms with </w:t>
      </w:r>
      <w:r w:rsidR="00E01125" w:rsidRPr="00503B0A">
        <w:rPr>
          <w:rFonts w:ascii="Foundry Form Sans" w:hAnsi="Foundry Form Sans" w:cs="Arial"/>
          <w:szCs w:val="24"/>
        </w:rPr>
        <w:t xml:space="preserve">the option of </w:t>
      </w:r>
      <w:r w:rsidRPr="00503B0A">
        <w:rPr>
          <w:rFonts w:ascii="Foundry Form Sans" w:hAnsi="Foundry Form Sans" w:cs="Arial"/>
          <w:szCs w:val="24"/>
        </w:rPr>
        <w:t>a series of fixed/guaranteed payments including a minimum of 20% of the</w:t>
      </w:r>
      <w:r w:rsidR="00036016" w:rsidRPr="00503B0A">
        <w:rPr>
          <w:rFonts w:ascii="Foundry Form Sans" w:hAnsi="Foundry Form Sans" w:cs="Arial"/>
          <w:szCs w:val="24"/>
        </w:rPr>
        <w:t xml:space="preserve"> land value </w:t>
      </w:r>
      <w:r w:rsidRPr="00503B0A">
        <w:rPr>
          <w:rFonts w:ascii="Foundry Form Sans" w:hAnsi="Foundry Form Sans" w:cs="Arial"/>
          <w:szCs w:val="24"/>
        </w:rPr>
        <w:t>paid</w:t>
      </w:r>
      <w:r w:rsidR="00CC4AD1" w:rsidRPr="00503B0A">
        <w:rPr>
          <w:rFonts w:ascii="Foundry Form Sans" w:hAnsi="Foundry Form Sans" w:cs="Arial"/>
          <w:szCs w:val="24"/>
        </w:rPr>
        <w:t xml:space="preserve"> </w:t>
      </w:r>
      <w:r w:rsidR="00773BAD" w:rsidRPr="00503B0A">
        <w:rPr>
          <w:rFonts w:ascii="Foundry Form Sans" w:hAnsi="Foundry Form Sans" w:cs="Arial"/>
          <w:szCs w:val="24"/>
        </w:rPr>
        <w:t>upo</w:t>
      </w:r>
      <w:r w:rsidR="00CD27E3">
        <w:rPr>
          <w:rFonts w:ascii="Foundry Form Sans" w:hAnsi="Foundry Form Sans" w:cs="Arial"/>
          <w:szCs w:val="24"/>
        </w:rPr>
        <w:t>n</w:t>
      </w:r>
      <w:r w:rsidR="00773BAD" w:rsidRPr="00503B0A">
        <w:rPr>
          <w:rFonts w:ascii="Foundry Form Sans" w:hAnsi="Foundry Form Sans" w:cs="Arial"/>
          <w:szCs w:val="24"/>
        </w:rPr>
        <w:t xml:space="preserve"> </w:t>
      </w:r>
      <w:r w:rsidR="00CD27E3">
        <w:rPr>
          <w:rFonts w:ascii="Foundry Form Sans" w:hAnsi="Foundry Form Sans" w:cs="Arial"/>
          <w:szCs w:val="24"/>
        </w:rPr>
        <w:t xml:space="preserve"> satisfaction of conditions in the </w:t>
      </w:r>
      <w:r w:rsidR="00036016" w:rsidRPr="00503B0A">
        <w:rPr>
          <w:rFonts w:ascii="Foundry Form Sans" w:hAnsi="Foundry Form Sans" w:cs="Arial"/>
          <w:szCs w:val="24"/>
        </w:rPr>
        <w:t>d</w:t>
      </w:r>
      <w:r w:rsidR="00773BAD" w:rsidRPr="00503B0A">
        <w:rPr>
          <w:rFonts w:ascii="Foundry Form Sans" w:hAnsi="Foundry Form Sans" w:cs="Arial"/>
          <w:szCs w:val="24"/>
        </w:rPr>
        <w:t xml:space="preserve">evelopment </w:t>
      </w:r>
      <w:r w:rsidR="00036016" w:rsidRPr="00503B0A">
        <w:rPr>
          <w:rFonts w:ascii="Foundry Form Sans" w:hAnsi="Foundry Form Sans" w:cs="Arial"/>
          <w:szCs w:val="24"/>
        </w:rPr>
        <w:t>a</w:t>
      </w:r>
      <w:r w:rsidR="00773BAD" w:rsidRPr="00503B0A">
        <w:rPr>
          <w:rFonts w:ascii="Foundry Form Sans" w:hAnsi="Foundry Form Sans" w:cs="Arial"/>
          <w:szCs w:val="24"/>
        </w:rPr>
        <w:t>greeme</w:t>
      </w:r>
      <w:r w:rsidR="00CD27E3">
        <w:rPr>
          <w:rFonts w:ascii="Foundry Form Sans" w:hAnsi="Foundry Form Sans" w:cs="Arial"/>
          <w:szCs w:val="24"/>
        </w:rPr>
        <w:t>nt</w:t>
      </w:r>
      <w:r w:rsidR="006E3695" w:rsidRPr="00503B0A">
        <w:rPr>
          <w:rFonts w:ascii="Foundry Form Sans" w:hAnsi="Foundry Form Sans" w:cs="Arial"/>
          <w:szCs w:val="24"/>
        </w:rPr>
        <w:t>.</w:t>
      </w:r>
    </w:p>
    <w:p w:rsidR="00985AE5" w:rsidRPr="00503B0A" w:rsidRDefault="00F315E3"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In the interest of transparency</w:t>
      </w:r>
      <w:r w:rsidR="00985AE5" w:rsidRPr="00503B0A">
        <w:rPr>
          <w:rFonts w:ascii="Foundry Form Sans" w:hAnsi="Foundry Form Sans" w:cs="Arial"/>
          <w:szCs w:val="24"/>
        </w:rPr>
        <w:t>,</w:t>
      </w:r>
      <w:r w:rsidRPr="00503B0A">
        <w:rPr>
          <w:rFonts w:ascii="Foundry Form Sans" w:hAnsi="Foundry Form Sans" w:cs="Arial"/>
          <w:szCs w:val="24"/>
        </w:rPr>
        <w:t xml:space="preserve"> </w:t>
      </w:r>
      <w:r w:rsidR="00CD27E3">
        <w:rPr>
          <w:rFonts w:ascii="Foundry Form Sans" w:hAnsi="Foundry Form Sans" w:cs="Arial"/>
          <w:szCs w:val="24"/>
        </w:rPr>
        <w:t>B</w:t>
      </w:r>
      <w:r w:rsidR="0057669B" w:rsidRPr="00503B0A">
        <w:rPr>
          <w:rFonts w:ascii="Foundry Form Sans" w:hAnsi="Foundry Form Sans" w:cs="Arial"/>
          <w:szCs w:val="24"/>
        </w:rPr>
        <w:t xml:space="preserve">idders are required to </w:t>
      </w:r>
      <w:r w:rsidR="00356AD7">
        <w:rPr>
          <w:rFonts w:ascii="Foundry Form Sans" w:hAnsi="Foundry Form Sans" w:cs="Arial"/>
          <w:szCs w:val="24"/>
        </w:rPr>
        <w:t>set out the</w:t>
      </w:r>
      <w:r w:rsidRPr="00503B0A">
        <w:rPr>
          <w:rFonts w:ascii="Foundry Form Sans" w:hAnsi="Foundry Form Sans" w:cs="Arial"/>
          <w:szCs w:val="24"/>
        </w:rPr>
        <w:t xml:space="preserve"> cost </w:t>
      </w:r>
      <w:r w:rsidR="00985AE5" w:rsidRPr="00503B0A">
        <w:rPr>
          <w:rFonts w:ascii="Foundry Form Sans" w:hAnsi="Foundry Form Sans" w:cs="Arial"/>
          <w:szCs w:val="24"/>
        </w:rPr>
        <w:t xml:space="preserve">for maintaining </w:t>
      </w:r>
      <w:r w:rsidRPr="00503B0A">
        <w:rPr>
          <w:rFonts w:ascii="Foundry Form Sans" w:hAnsi="Foundry Form Sans" w:cs="Arial"/>
          <w:szCs w:val="24"/>
        </w:rPr>
        <w:t xml:space="preserve">the </w:t>
      </w:r>
      <w:r w:rsidR="00BD4A4D">
        <w:rPr>
          <w:rFonts w:ascii="Foundry Form Sans" w:hAnsi="Foundry Form Sans" w:cs="Arial"/>
          <w:szCs w:val="24"/>
        </w:rPr>
        <w:t>Temporary O</w:t>
      </w:r>
      <w:r w:rsidRPr="00503B0A">
        <w:rPr>
          <w:rFonts w:ascii="Foundry Form Sans" w:hAnsi="Foundry Form Sans" w:cs="Arial"/>
          <w:szCs w:val="24"/>
        </w:rPr>
        <w:t xml:space="preserve">pen </w:t>
      </w:r>
      <w:r w:rsidR="00BD4A4D">
        <w:rPr>
          <w:rFonts w:ascii="Foundry Form Sans" w:hAnsi="Foundry Form Sans" w:cs="Arial"/>
          <w:szCs w:val="24"/>
        </w:rPr>
        <w:t>S</w:t>
      </w:r>
      <w:r w:rsidRPr="00503B0A">
        <w:rPr>
          <w:rFonts w:ascii="Foundry Form Sans" w:hAnsi="Foundry Form Sans" w:cs="Arial"/>
          <w:szCs w:val="24"/>
        </w:rPr>
        <w:t xml:space="preserve">pace </w:t>
      </w:r>
      <w:r w:rsidR="00BD4A4D">
        <w:rPr>
          <w:rFonts w:ascii="Foundry Form Sans" w:hAnsi="Foundry Form Sans" w:cs="Arial"/>
          <w:szCs w:val="24"/>
        </w:rPr>
        <w:t xml:space="preserve">Land </w:t>
      </w:r>
      <w:r w:rsidRPr="00503B0A">
        <w:rPr>
          <w:rFonts w:ascii="Foundry Form Sans" w:hAnsi="Foundry Form Sans" w:cs="Arial"/>
          <w:szCs w:val="24"/>
        </w:rPr>
        <w:t xml:space="preserve">for the duration of the </w:t>
      </w:r>
      <w:r w:rsidR="00356AD7">
        <w:rPr>
          <w:rFonts w:ascii="Foundry Form Sans" w:hAnsi="Foundry Form Sans" w:cs="Arial"/>
          <w:szCs w:val="24"/>
        </w:rPr>
        <w:t xml:space="preserve">15 year </w:t>
      </w:r>
      <w:r w:rsidRPr="00503B0A">
        <w:rPr>
          <w:rFonts w:ascii="Foundry Form Sans" w:hAnsi="Foundry Form Sans" w:cs="Arial"/>
          <w:szCs w:val="24"/>
        </w:rPr>
        <w:t>lease</w:t>
      </w:r>
      <w:r w:rsidR="00985AE5" w:rsidRPr="00503B0A">
        <w:rPr>
          <w:rFonts w:ascii="Foundry Form Sans" w:hAnsi="Foundry Form Sans" w:cs="Arial"/>
          <w:szCs w:val="24"/>
        </w:rPr>
        <w:t xml:space="preserve"> as a </w:t>
      </w:r>
      <w:r w:rsidR="009E55A6">
        <w:rPr>
          <w:rFonts w:ascii="Foundry Form Sans" w:hAnsi="Foundry Form Sans" w:cs="Arial"/>
          <w:szCs w:val="24"/>
        </w:rPr>
        <w:t>clear</w:t>
      </w:r>
      <w:r w:rsidR="00985AE5" w:rsidRPr="00503B0A">
        <w:rPr>
          <w:rFonts w:ascii="Foundry Form Sans" w:hAnsi="Foundry Form Sans" w:cs="Arial"/>
          <w:szCs w:val="24"/>
        </w:rPr>
        <w:t xml:space="preserve"> line</w:t>
      </w:r>
      <w:r w:rsidR="009E55A6">
        <w:rPr>
          <w:rFonts w:ascii="Foundry Form Sans" w:hAnsi="Foundry Form Sans" w:cs="Arial"/>
          <w:szCs w:val="24"/>
        </w:rPr>
        <w:t xml:space="preserve"> in the appraisal</w:t>
      </w:r>
      <w:r w:rsidR="006A0AE5" w:rsidRPr="00503B0A">
        <w:rPr>
          <w:rFonts w:ascii="Foundry Form Sans" w:hAnsi="Foundry Form Sans" w:cs="Arial"/>
          <w:szCs w:val="24"/>
        </w:rPr>
        <w:t>,</w:t>
      </w:r>
      <w:r w:rsidR="00985AE5" w:rsidRPr="00503B0A">
        <w:rPr>
          <w:rFonts w:ascii="Foundry Form Sans" w:hAnsi="Foundry Form Sans" w:cs="Arial"/>
          <w:szCs w:val="24"/>
        </w:rPr>
        <w:t xml:space="preserve"> to be ring</w:t>
      </w:r>
      <w:r w:rsidR="00BD4A4D">
        <w:rPr>
          <w:rFonts w:ascii="Foundry Form Sans" w:hAnsi="Foundry Form Sans" w:cs="Arial"/>
          <w:szCs w:val="24"/>
        </w:rPr>
        <w:t>-</w:t>
      </w:r>
      <w:r w:rsidR="00985AE5" w:rsidRPr="00503B0A">
        <w:rPr>
          <w:rFonts w:ascii="Foundry Form Sans" w:hAnsi="Foundry Form Sans" w:cs="Arial"/>
          <w:szCs w:val="24"/>
        </w:rPr>
        <w:t>fenced for on</w:t>
      </w:r>
      <w:r w:rsidR="00BD4A4D">
        <w:rPr>
          <w:rFonts w:ascii="Foundry Form Sans" w:hAnsi="Foundry Form Sans" w:cs="Arial"/>
          <w:szCs w:val="24"/>
        </w:rPr>
        <w:t>-</w:t>
      </w:r>
      <w:r w:rsidR="00985AE5" w:rsidRPr="00503B0A">
        <w:rPr>
          <w:rFonts w:ascii="Foundry Form Sans" w:hAnsi="Foundry Form Sans" w:cs="Arial"/>
          <w:szCs w:val="24"/>
        </w:rPr>
        <w:t>going maintenance</w:t>
      </w:r>
      <w:r w:rsidRPr="00503B0A">
        <w:rPr>
          <w:rFonts w:ascii="Foundry Form Sans" w:hAnsi="Foundry Form Sans" w:cs="Arial"/>
          <w:szCs w:val="24"/>
        </w:rPr>
        <w:t>.</w:t>
      </w:r>
      <w:r w:rsidR="00985AE5" w:rsidRPr="00503B0A">
        <w:rPr>
          <w:rFonts w:ascii="Foundry Form Sans" w:hAnsi="Foundry Form Sans" w:cs="Arial"/>
          <w:szCs w:val="24"/>
        </w:rPr>
        <w:t xml:space="preserve"> </w:t>
      </w:r>
    </w:p>
    <w:p w:rsidR="0057669B" w:rsidRPr="00503B0A" w:rsidRDefault="00FE18AA"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For the avoidance of doubt, </w:t>
      </w:r>
      <w:r w:rsidR="00985AE5" w:rsidRPr="00503B0A">
        <w:rPr>
          <w:rFonts w:ascii="Foundry Form Sans" w:hAnsi="Foundry Form Sans" w:cs="Arial"/>
          <w:szCs w:val="24"/>
        </w:rPr>
        <w:t xml:space="preserve">appraisals will be scored on the net financial offer, taking into account all </w:t>
      </w:r>
      <w:r w:rsidR="009E55A6">
        <w:rPr>
          <w:rFonts w:ascii="Foundry Form Sans" w:hAnsi="Foundry Form Sans" w:cs="Arial"/>
          <w:szCs w:val="24"/>
        </w:rPr>
        <w:t>Temporary O</w:t>
      </w:r>
      <w:r w:rsidR="007A2058">
        <w:rPr>
          <w:rFonts w:ascii="Foundry Form Sans" w:hAnsi="Foundry Form Sans" w:cs="Arial"/>
          <w:szCs w:val="24"/>
        </w:rPr>
        <w:t xml:space="preserve">pen </w:t>
      </w:r>
      <w:r w:rsidR="009E55A6">
        <w:rPr>
          <w:rFonts w:ascii="Foundry Form Sans" w:hAnsi="Foundry Form Sans" w:cs="Arial"/>
          <w:szCs w:val="24"/>
        </w:rPr>
        <w:t>S</w:t>
      </w:r>
      <w:r w:rsidR="007A2058">
        <w:rPr>
          <w:rFonts w:ascii="Foundry Form Sans" w:hAnsi="Foundry Form Sans" w:cs="Arial"/>
          <w:szCs w:val="24"/>
        </w:rPr>
        <w:t>pace</w:t>
      </w:r>
      <w:r w:rsidR="007A2058" w:rsidRPr="00503B0A">
        <w:rPr>
          <w:rFonts w:ascii="Foundry Form Sans" w:hAnsi="Foundry Form Sans" w:cs="Arial"/>
          <w:szCs w:val="24"/>
        </w:rPr>
        <w:t xml:space="preserve"> </w:t>
      </w:r>
      <w:r w:rsidR="009E55A6">
        <w:rPr>
          <w:rFonts w:ascii="Foundry Form Sans" w:hAnsi="Foundry Form Sans" w:cs="Arial"/>
          <w:szCs w:val="24"/>
        </w:rPr>
        <w:t xml:space="preserve">Land </w:t>
      </w:r>
      <w:r w:rsidR="006A0AE5" w:rsidRPr="00503B0A">
        <w:rPr>
          <w:rFonts w:ascii="Foundry Form Sans" w:hAnsi="Foundry Form Sans" w:cs="Arial"/>
          <w:szCs w:val="24"/>
        </w:rPr>
        <w:t>maintenance</w:t>
      </w:r>
      <w:r w:rsidR="00985AE5" w:rsidRPr="00503B0A">
        <w:rPr>
          <w:rFonts w:ascii="Foundry Form Sans" w:hAnsi="Foundry Form Sans" w:cs="Arial"/>
          <w:szCs w:val="24"/>
        </w:rPr>
        <w:t xml:space="preserve"> costs.</w:t>
      </w:r>
    </w:p>
    <w:p w:rsidR="003058A6" w:rsidRPr="00503B0A" w:rsidRDefault="003058A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Having regard to the delivery requirements developers should explicitly state the level of their offer and expressly provide details of the timing and quantum of each payment.  The payments are to be fixed/guaranteed sums </w:t>
      </w:r>
      <w:r w:rsidR="00E01125" w:rsidRPr="00503B0A">
        <w:rPr>
          <w:rFonts w:ascii="Foundry Form Sans" w:hAnsi="Foundry Form Sans" w:cs="Arial"/>
          <w:szCs w:val="24"/>
        </w:rPr>
        <w:t>which will be assessed on</w:t>
      </w:r>
      <w:r w:rsidR="006637DC" w:rsidRPr="00503B0A">
        <w:rPr>
          <w:rFonts w:ascii="Foundry Form Sans" w:hAnsi="Foundry Form Sans" w:cs="Arial"/>
          <w:szCs w:val="24"/>
        </w:rPr>
        <w:t xml:space="preserve"> net</w:t>
      </w:r>
      <w:r w:rsidR="00E01125" w:rsidRPr="00503B0A">
        <w:rPr>
          <w:rFonts w:ascii="Foundry Form Sans" w:hAnsi="Foundry Form Sans" w:cs="Arial"/>
          <w:szCs w:val="24"/>
        </w:rPr>
        <w:t xml:space="preserve"> present value, </w:t>
      </w:r>
      <w:r w:rsidRPr="00503B0A">
        <w:rPr>
          <w:rFonts w:ascii="Foundry Form Sans" w:hAnsi="Foundry Form Sans" w:cs="Arial"/>
          <w:szCs w:val="24"/>
        </w:rPr>
        <w:t>payable in accordance with the dates that they fall due</w:t>
      </w:r>
      <w:r w:rsidR="00E01125" w:rsidRPr="00503B0A">
        <w:rPr>
          <w:rFonts w:ascii="Foundry Form Sans" w:hAnsi="Foundry Form Sans" w:cs="Arial"/>
          <w:szCs w:val="24"/>
        </w:rPr>
        <w:t xml:space="preserve"> </w:t>
      </w:r>
      <w:r w:rsidR="00B26247" w:rsidRPr="00503B0A">
        <w:rPr>
          <w:rFonts w:ascii="Foundry Form Sans" w:hAnsi="Foundry Form Sans" w:cs="Arial"/>
          <w:szCs w:val="24"/>
        </w:rPr>
        <w:t>before practical completion</w:t>
      </w:r>
      <w:r w:rsidR="006637DC" w:rsidRPr="00503B0A">
        <w:rPr>
          <w:rFonts w:ascii="Foundry Form Sans" w:hAnsi="Foundry Form Sans" w:cs="Arial"/>
          <w:szCs w:val="24"/>
        </w:rPr>
        <w:t>.</w:t>
      </w:r>
      <w:r w:rsidR="00E83000" w:rsidRPr="00503B0A">
        <w:rPr>
          <w:rFonts w:ascii="Foundry Form Sans" w:hAnsi="Foundry Form Sans" w:cs="Arial"/>
          <w:szCs w:val="24"/>
        </w:rPr>
        <w:t xml:space="preserve"> </w:t>
      </w:r>
      <w:r w:rsidR="00BD4A4D" w:rsidRPr="00D968DB">
        <w:rPr>
          <w:rFonts w:ascii="Foundry Form Sans" w:hAnsi="Foundry Form Sans" w:cs="Arial"/>
          <w:lang w:eastAsia="en-GB"/>
        </w:rPr>
        <w:t>Deferred payments will be</w:t>
      </w:r>
      <w:r w:rsidR="00BD4A4D">
        <w:rPr>
          <w:rFonts w:ascii="Foundry Form Sans" w:hAnsi="Foundry Form Sans" w:cs="Arial"/>
          <w:lang w:eastAsia="en-GB"/>
        </w:rPr>
        <w:t xml:space="preserve"> subject to the calculation of their Net Present V</w:t>
      </w:r>
      <w:r w:rsidR="00BD4A4D" w:rsidRPr="00D968DB">
        <w:rPr>
          <w:rFonts w:ascii="Foundry Form Sans" w:hAnsi="Foundry Form Sans" w:cs="Arial"/>
          <w:lang w:eastAsia="en-GB"/>
        </w:rPr>
        <w:t xml:space="preserve">alue </w:t>
      </w:r>
      <w:r w:rsidR="00BD4A4D">
        <w:rPr>
          <w:rFonts w:ascii="Foundry Form Sans" w:hAnsi="Foundry Form Sans" w:cs="Arial"/>
          <w:lang w:eastAsia="en-GB"/>
        </w:rPr>
        <w:t>utilising the Treasury D</w:t>
      </w:r>
      <w:r w:rsidR="00BD4A4D" w:rsidRPr="00D968DB">
        <w:rPr>
          <w:rFonts w:ascii="Foundry Form Sans" w:hAnsi="Foundry Form Sans" w:cs="Arial"/>
          <w:lang w:eastAsia="en-GB"/>
        </w:rPr>
        <w:t xml:space="preserve">iscount </w:t>
      </w:r>
      <w:r w:rsidR="00BD4A4D">
        <w:rPr>
          <w:rFonts w:ascii="Foundry Form Sans" w:hAnsi="Foundry Form Sans" w:cs="Arial"/>
          <w:lang w:eastAsia="en-GB"/>
        </w:rPr>
        <w:t>R</w:t>
      </w:r>
      <w:r w:rsidR="00BD4A4D" w:rsidRPr="00D968DB">
        <w:rPr>
          <w:rFonts w:ascii="Foundry Form Sans" w:hAnsi="Foundry Form Sans" w:cs="Arial"/>
          <w:lang w:eastAsia="en-GB"/>
        </w:rPr>
        <w:t>ate of 3.5%.</w:t>
      </w:r>
    </w:p>
    <w:p w:rsidR="003058A6" w:rsidRPr="00503B0A" w:rsidRDefault="003058A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The land </w:t>
      </w:r>
      <w:r w:rsidR="00036016" w:rsidRPr="00503B0A">
        <w:rPr>
          <w:rFonts w:ascii="Foundry Form Sans" w:hAnsi="Foundry Form Sans" w:cs="Arial"/>
          <w:szCs w:val="24"/>
        </w:rPr>
        <w:t xml:space="preserve">value </w:t>
      </w:r>
      <w:r w:rsidRPr="00503B0A">
        <w:rPr>
          <w:rFonts w:ascii="Foundry Form Sans" w:hAnsi="Foundry Form Sans" w:cs="Arial"/>
          <w:szCs w:val="24"/>
        </w:rPr>
        <w:t xml:space="preserve">stated in the tender will constitute the guaranteed minimum price for the land and the </w:t>
      </w:r>
      <w:r w:rsidR="00CD27E3">
        <w:rPr>
          <w:rFonts w:ascii="Foundry Form Sans" w:hAnsi="Foundry Form Sans" w:cs="Arial"/>
          <w:szCs w:val="24"/>
        </w:rPr>
        <w:t>B</w:t>
      </w:r>
      <w:r w:rsidRPr="00503B0A">
        <w:rPr>
          <w:rFonts w:ascii="Foundry Form Sans" w:hAnsi="Foundry Form Sans" w:cs="Arial"/>
          <w:szCs w:val="24"/>
        </w:rPr>
        <w:t xml:space="preserve">idder must be prepared to contract with the GLA on the basis of that offer. The </w:t>
      </w:r>
      <w:r w:rsidR="00CD27E3">
        <w:rPr>
          <w:rFonts w:ascii="Foundry Form Sans" w:hAnsi="Foundry Form Sans" w:cs="Arial"/>
          <w:szCs w:val="24"/>
        </w:rPr>
        <w:t>B</w:t>
      </w:r>
      <w:r w:rsidRPr="00503B0A">
        <w:rPr>
          <w:rFonts w:ascii="Foundry Form Sans" w:hAnsi="Foundry Form Sans" w:cs="Arial"/>
          <w:szCs w:val="24"/>
        </w:rPr>
        <w:t xml:space="preserve">idder will be expected to enter in to a </w:t>
      </w:r>
      <w:r w:rsidR="00036016" w:rsidRPr="00503B0A">
        <w:rPr>
          <w:rFonts w:ascii="Foundry Form Sans" w:hAnsi="Foundry Form Sans" w:cs="Arial"/>
          <w:szCs w:val="24"/>
        </w:rPr>
        <w:t>d</w:t>
      </w:r>
      <w:r w:rsidRPr="00503B0A">
        <w:rPr>
          <w:rFonts w:ascii="Foundry Form Sans" w:hAnsi="Foundry Form Sans" w:cs="Arial"/>
          <w:szCs w:val="24"/>
        </w:rPr>
        <w:t xml:space="preserve">evelopment </w:t>
      </w:r>
      <w:r w:rsidR="00036016" w:rsidRPr="00503B0A">
        <w:rPr>
          <w:rFonts w:ascii="Foundry Form Sans" w:hAnsi="Foundry Form Sans" w:cs="Arial"/>
          <w:szCs w:val="24"/>
        </w:rPr>
        <w:t>a</w:t>
      </w:r>
      <w:r w:rsidRPr="00503B0A">
        <w:rPr>
          <w:rFonts w:ascii="Foundry Form Sans" w:hAnsi="Foundry Form Sans" w:cs="Arial"/>
          <w:szCs w:val="24"/>
        </w:rPr>
        <w:t xml:space="preserve">greement with GLA </w:t>
      </w:r>
      <w:r w:rsidR="00267B39" w:rsidRPr="00503B0A">
        <w:rPr>
          <w:rFonts w:ascii="Foundry Form Sans" w:hAnsi="Foundry Form Sans" w:cs="Arial"/>
          <w:szCs w:val="24"/>
        </w:rPr>
        <w:t xml:space="preserve">which will become unconditional on </w:t>
      </w:r>
      <w:r w:rsidRPr="00503B0A">
        <w:rPr>
          <w:rFonts w:ascii="Foundry Form Sans" w:hAnsi="Foundry Form Sans" w:cs="Arial"/>
          <w:szCs w:val="24"/>
        </w:rPr>
        <w:t xml:space="preserve">achieving </w:t>
      </w:r>
      <w:r w:rsidR="00267B39" w:rsidRPr="00503B0A">
        <w:rPr>
          <w:rFonts w:ascii="Foundry Form Sans" w:hAnsi="Foundry Form Sans" w:cs="Arial"/>
          <w:szCs w:val="24"/>
        </w:rPr>
        <w:t>the grant of outline</w:t>
      </w:r>
      <w:r w:rsidRPr="00503B0A">
        <w:rPr>
          <w:rFonts w:ascii="Foundry Form Sans" w:hAnsi="Foundry Form Sans" w:cs="Arial"/>
          <w:szCs w:val="24"/>
        </w:rPr>
        <w:t xml:space="preserve"> planning consent</w:t>
      </w:r>
      <w:r w:rsidR="00267B39" w:rsidRPr="00503B0A">
        <w:rPr>
          <w:rFonts w:ascii="Foundry Form Sans" w:hAnsi="Foundry Form Sans" w:cs="Arial"/>
          <w:szCs w:val="24"/>
        </w:rPr>
        <w:t>.</w:t>
      </w:r>
      <w:r w:rsidRPr="00503B0A">
        <w:rPr>
          <w:rFonts w:ascii="Foundry Form Sans" w:hAnsi="Foundry Form Sans" w:cs="Arial"/>
          <w:szCs w:val="24"/>
        </w:rPr>
        <w:t xml:space="preserve"> </w:t>
      </w:r>
    </w:p>
    <w:p w:rsidR="003058A6" w:rsidRPr="00503B0A" w:rsidRDefault="003058A6"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lastRenderedPageBreak/>
        <w:t xml:space="preserve">As the </w:t>
      </w:r>
      <w:r w:rsidR="00CD27E3">
        <w:rPr>
          <w:rFonts w:ascii="Foundry Form Sans" w:hAnsi="Foundry Form Sans" w:cs="Arial"/>
          <w:szCs w:val="24"/>
        </w:rPr>
        <w:t>B</w:t>
      </w:r>
      <w:r w:rsidRPr="00503B0A">
        <w:rPr>
          <w:rFonts w:ascii="Foundry Form Sans" w:hAnsi="Foundry Form Sans" w:cs="Arial"/>
          <w:szCs w:val="24"/>
        </w:rPr>
        <w:t>idders</w:t>
      </w:r>
      <w:r w:rsidR="001B714B" w:rsidRPr="00503B0A">
        <w:rPr>
          <w:rFonts w:ascii="Foundry Form Sans" w:hAnsi="Foundry Form Sans" w:cs="Arial"/>
          <w:szCs w:val="24"/>
        </w:rPr>
        <w:t>’</w:t>
      </w:r>
      <w:r w:rsidRPr="00503B0A">
        <w:rPr>
          <w:rFonts w:ascii="Foundry Form Sans" w:hAnsi="Foundry Form Sans" w:cs="Arial"/>
          <w:szCs w:val="24"/>
        </w:rPr>
        <w:t xml:space="preserve"> financial offer is to constitute the guaranteed minimum </w:t>
      </w:r>
      <w:r w:rsidR="00036016" w:rsidRPr="00503B0A">
        <w:rPr>
          <w:rFonts w:ascii="Foundry Form Sans" w:hAnsi="Foundry Form Sans" w:cs="Arial"/>
          <w:szCs w:val="24"/>
        </w:rPr>
        <w:t xml:space="preserve">land value for the </w:t>
      </w:r>
      <w:r w:rsidR="00514E0E">
        <w:rPr>
          <w:rFonts w:ascii="Foundry Form Sans" w:hAnsi="Foundry Form Sans" w:cs="Arial"/>
          <w:szCs w:val="24"/>
        </w:rPr>
        <w:t xml:space="preserve">Site. </w:t>
      </w:r>
      <w:r w:rsidR="00036016" w:rsidRPr="00503B0A">
        <w:rPr>
          <w:rFonts w:ascii="Foundry Form Sans" w:hAnsi="Foundry Form Sans" w:cs="Arial"/>
          <w:szCs w:val="24"/>
        </w:rPr>
        <w:t xml:space="preserve">  </w:t>
      </w:r>
      <w:r w:rsidR="00514E0E">
        <w:rPr>
          <w:rFonts w:ascii="Foundry Form Sans" w:hAnsi="Foundry Form Sans" w:cs="Arial"/>
          <w:szCs w:val="24"/>
        </w:rPr>
        <w:t>W</w:t>
      </w:r>
      <w:r w:rsidRPr="00503B0A">
        <w:rPr>
          <w:rFonts w:ascii="Foundry Form Sans" w:hAnsi="Foundry Form Sans" w:cs="Arial"/>
          <w:szCs w:val="24"/>
        </w:rPr>
        <w:t xml:space="preserve">here a </w:t>
      </w:r>
      <w:r w:rsidR="00036016" w:rsidRPr="00503B0A">
        <w:rPr>
          <w:rFonts w:ascii="Foundry Form Sans" w:hAnsi="Foundry Form Sans" w:cs="Arial"/>
          <w:szCs w:val="24"/>
        </w:rPr>
        <w:t>B</w:t>
      </w:r>
      <w:r w:rsidRPr="00503B0A">
        <w:rPr>
          <w:rFonts w:ascii="Foundry Form Sans" w:hAnsi="Foundry Form Sans" w:cs="Arial"/>
          <w:szCs w:val="24"/>
        </w:rPr>
        <w:t xml:space="preserve">idder considers that further technical </w:t>
      </w:r>
      <w:r w:rsidR="00B26247" w:rsidRPr="00503B0A">
        <w:rPr>
          <w:rFonts w:ascii="Foundry Form Sans" w:hAnsi="Foundry Form Sans" w:cs="Arial"/>
          <w:szCs w:val="24"/>
        </w:rPr>
        <w:t xml:space="preserve">or legal/title </w:t>
      </w:r>
      <w:r w:rsidRPr="00503B0A">
        <w:rPr>
          <w:rFonts w:ascii="Foundry Form Sans" w:hAnsi="Foundry Form Sans" w:cs="Arial"/>
          <w:szCs w:val="24"/>
        </w:rPr>
        <w:t xml:space="preserve">due diligence is required the </w:t>
      </w:r>
      <w:r w:rsidR="00036016" w:rsidRPr="00503B0A">
        <w:rPr>
          <w:rFonts w:ascii="Foundry Form Sans" w:hAnsi="Foundry Form Sans" w:cs="Arial"/>
          <w:szCs w:val="24"/>
        </w:rPr>
        <w:t xml:space="preserve">Bidder </w:t>
      </w:r>
      <w:r w:rsidRPr="00503B0A">
        <w:rPr>
          <w:rFonts w:ascii="Foundry Form Sans" w:hAnsi="Foundry Form Sans" w:cs="Arial"/>
          <w:szCs w:val="24"/>
        </w:rPr>
        <w:t xml:space="preserve">should explicitly identify each area of technical due diligence that is required, the cost for the item that has been allowed in </w:t>
      </w:r>
      <w:r w:rsidR="00036016" w:rsidRPr="00503B0A">
        <w:rPr>
          <w:rFonts w:ascii="Foundry Form Sans" w:hAnsi="Foundry Form Sans" w:cs="Arial"/>
          <w:szCs w:val="24"/>
        </w:rPr>
        <w:t>its</w:t>
      </w:r>
      <w:r w:rsidRPr="00503B0A">
        <w:rPr>
          <w:rFonts w:ascii="Foundry Form Sans" w:hAnsi="Foundry Form Sans" w:cs="Arial"/>
          <w:szCs w:val="24"/>
        </w:rPr>
        <w:t xml:space="preserve"> development appraisal and provide confirmation that the cost allowance is capped such that any increase in the cost would be the </w:t>
      </w:r>
      <w:r w:rsidR="00036016" w:rsidRPr="00503B0A">
        <w:rPr>
          <w:rFonts w:ascii="Foundry Form Sans" w:hAnsi="Foundry Form Sans" w:cs="Arial"/>
          <w:szCs w:val="24"/>
        </w:rPr>
        <w:t xml:space="preserve">Bidder's </w:t>
      </w:r>
      <w:r w:rsidRPr="00503B0A">
        <w:rPr>
          <w:rFonts w:ascii="Foundry Form Sans" w:hAnsi="Foundry Form Sans" w:cs="Arial"/>
          <w:szCs w:val="24"/>
        </w:rPr>
        <w:t xml:space="preserve">risk. It is expected that, following the completion of any technical due diligence any saving would accrue back to </w:t>
      </w:r>
      <w:r w:rsidR="00F850A6" w:rsidRPr="00503B0A">
        <w:rPr>
          <w:rFonts w:ascii="Foundry Form Sans" w:hAnsi="Foundry Form Sans" w:cs="Arial"/>
          <w:szCs w:val="24"/>
        </w:rPr>
        <w:t>GLA</w:t>
      </w:r>
      <w:r w:rsidRPr="00503B0A">
        <w:rPr>
          <w:rFonts w:ascii="Foundry Form Sans" w:hAnsi="Foundry Form Sans" w:cs="Arial"/>
          <w:szCs w:val="24"/>
        </w:rPr>
        <w:t>.</w:t>
      </w:r>
      <w:r w:rsidR="00B26247" w:rsidRPr="00503B0A">
        <w:rPr>
          <w:rFonts w:ascii="Foundry Form Sans" w:hAnsi="Foundry Form Sans" w:cs="Arial"/>
          <w:szCs w:val="24"/>
        </w:rPr>
        <w:t xml:space="preserve">  </w:t>
      </w:r>
    </w:p>
    <w:p w:rsidR="003058A6" w:rsidRPr="00503B0A" w:rsidRDefault="00C93E60"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When responding to this section</w:t>
      </w:r>
      <w:r w:rsidR="003058A6" w:rsidRPr="00503B0A">
        <w:rPr>
          <w:rFonts w:ascii="Foundry Form Sans" w:hAnsi="Foundry Form Sans" w:cs="Arial"/>
          <w:szCs w:val="24"/>
        </w:rPr>
        <w:t xml:space="preserve">, </w:t>
      </w:r>
      <w:r w:rsidR="004E5FED" w:rsidRPr="00503B0A">
        <w:rPr>
          <w:rFonts w:ascii="Foundry Form Sans" w:hAnsi="Foundry Form Sans" w:cs="Arial"/>
          <w:szCs w:val="24"/>
        </w:rPr>
        <w:t>B</w:t>
      </w:r>
      <w:r w:rsidR="003058A6" w:rsidRPr="00503B0A">
        <w:rPr>
          <w:rFonts w:ascii="Foundry Form Sans" w:hAnsi="Foundry Form Sans" w:cs="Arial"/>
          <w:szCs w:val="24"/>
        </w:rPr>
        <w:t>idders are to provide the following:</w:t>
      </w:r>
    </w:p>
    <w:p w:rsidR="003058A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058A6" w:rsidRPr="00503B0A">
        <w:rPr>
          <w:rFonts w:ascii="Foundry Form Sans" w:hAnsi="Foundry Form Sans" w:cs="Arial"/>
          <w:szCs w:val="24"/>
        </w:rPr>
        <w:t xml:space="preserve">An explanation of </w:t>
      </w:r>
      <w:r w:rsidR="004E5FED" w:rsidRPr="00503B0A">
        <w:rPr>
          <w:rFonts w:ascii="Foundry Form Sans" w:hAnsi="Foundry Form Sans" w:cs="Arial"/>
          <w:szCs w:val="24"/>
        </w:rPr>
        <w:t xml:space="preserve">the </w:t>
      </w:r>
      <w:r w:rsidR="003058A6" w:rsidRPr="00503B0A">
        <w:rPr>
          <w:rFonts w:ascii="Foundry Form Sans" w:hAnsi="Foundry Form Sans" w:cs="Arial"/>
          <w:szCs w:val="24"/>
        </w:rPr>
        <w:t>financial offer, including key dates and all input assumptions made based upon the identified payment structure</w:t>
      </w:r>
      <w:r w:rsidR="00916B42" w:rsidRPr="00503B0A">
        <w:rPr>
          <w:rFonts w:ascii="Foundry Form Sans" w:hAnsi="Foundry Form Sans" w:cs="Arial"/>
          <w:szCs w:val="24"/>
        </w:rPr>
        <w:t>;</w:t>
      </w:r>
      <w:r w:rsidR="003058A6" w:rsidRPr="00503B0A">
        <w:rPr>
          <w:rFonts w:ascii="Foundry Form Sans" w:hAnsi="Foundry Form Sans" w:cs="Arial"/>
          <w:szCs w:val="24"/>
        </w:rPr>
        <w:t xml:space="preserve">  </w:t>
      </w:r>
    </w:p>
    <w:p w:rsidR="003058A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058A6" w:rsidRPr="00503B0A">
        <w:rPr>
          <w:rFonts w:ascii="Foundry Form Sans" w:hAnsi="Foundry Form Sans" w:cs="Arial"/>
          <w:szCs w:val="24"/>
        </w:rPr>
        <w:t xml:space="preserve">Confirmation of the dates on which payments will be made to </w:t>
      </w:r>
      <w:r w:rsidR="00F850A6" w:rsidRPr="00503B0A">
        <w:rPr>
          <w:rFonts w:ascii="Foundry Form Sans" w:hAnsi="Foundry Form Sans" w:cs="Arial"/>
          <w:szCs w:val="24"/>
        </w:rPr>
        <w:t>GLA</w:t>
      </w:r>
      <w:r w:rsidR="003058A6" w:rsidRPr="00503B0A">
        <w:rPr>
          <w:rFonts w:ascii="Foundry Form Sans" w:hAnsi="Foundry Form Sans" w:cs="Arial"/>
          <w:szCs w:val="24"/>
        </w:rPr>
        <w:t xml:space="preserve"> and the quantum of each payment</w:t>
      </w:r>
      <w:r w:rsidR="00916B42" w:rsidRPr="00503B0A">
        <w:rPr>
          <w:rFonts w:ascii="Foundry Form Sans" w:hAnsi="Foundry Form Sans" w:cs="Arial"/>
          <w:szCs w:val="24"/>
        </w:rPr>
        <w:t>;</w:t>
      </w:r>
    </w:p>
    <w:p w:rsidR="003058A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058A6" w:rsidRPr="00503B0A">
        <w:rPr>
          <w:rFonts w:ascii="Foundry Form Sans" w:hAnsi="Foundry Form Sans" w:cs="Arial"/>
          <w:szCs w:val="24"/>
        </w:rPr>
        <w:t>A full detailed financial model/development appraisal and cashflow supporting the financial offer</w:t>
      </w:r>
      <w:r w:rsidR="00CC4AD1" w:rsidRPr="00503B0A">
        <w:rPr>
          <w:rFonts w:ascii="Foundry Form Sans" w:hAnsi="Foundry Form Sans" w:cs="Arial"/>
          <w:szCs w:val="24"/>
        </w:rPr>
        <w:t xml:space="preserve"> for </w:t>
      </w:r>
      <w:r w:rsidR="000C606B" w:rsidRPr="00503B0A">
        <w:rPr>
          <w:rFonts w:ascii="Foundry Form Sans" w:hAnsi="Foundry Form Sans" w:cs="Arial"/>
          <w:szCs w:val="24"/>
        </w:rPr>
        <w:t xml:space="preserve">the </w:t>
      </w:r>
      <w:r w:rsidR="00514E0E">
        <w:rPr>
          <w:rFonts w:ascii="Foundry Form Sans" w:hAnsi="Foundry Form Sans" w:cs="Arial"/>
          <w:szCs w:val="24"/>
        </w:rPr>
        <w:t>Site</w:t>
      </w:r>
      <w:r w:rsidR="00F315E3" w:rsidRPr="00503B0A">
        <w:rPr>
          <w:rFonts w:ascii="Foundry Form Sans" w:hAnsi="Foundry Form Sans" w:cs="Arial"/>
          <w:szCs w:val="24"/>
        </w:rPr>
        <w:t xml:space="preserve"> </w:t>
      </w:r>
      <w:r w:rsidR="006A0AE5" w:rsidRPr="00503B0A">
        <w:rPr>
          <w:rFonts w:ascii="Foundry Form Sans" w:hAnsi="Foundry Form Sans" w:cs="Arial"/>
          <w:szCs w:val="24"/>
        </w:rPr>
        <w:t xml:space="preserve">with the </w:t>
      </w:r>
      <w:r w:rsidR="00F30AB4" w:rsidRPr="00503B0A">
        <w:rPr>
          <w:rFonts w:ascii="Foundry Form Sans" w:hAnsi="Foundry Form Sans" w:cs="Arial"/>
          <w:szCs w:val="24"/>
        </w:rPr>
        <w:t>capitalised</w:t>
      </w:r>
      <w:r w:rsidR="006A0AE5" w:rsidRPr="00503B0A">
        <w:rPr>
          <w:rFonts w:ascii="Foundry Form Sans" w:hAnsi="Foundry Form Sans" w:cs="Arial"/>
          <w:szCs w:val="24"/>
        </w:rPr>
        <w:t xml:space="preserve"> cost of the </w:t>
      </w:r>
      <w:r w:rsidR="007A2058">
        <w:rPr>
          <w:rFonts w:ascii="Foundry Form Sans" w:hAnsi="Foundry Form Sans" w:cs="Arial"/>
          <w:szCs w:val="24"/>
        </w:rPr>
        <w:t>Temporary Open Space Land</w:t>
      </w:r>
      <w:r w:rsidR="006A0AE5" w:rsidRPr="00503B0A">
        <w:rPr>
          <w:rFonts w:ascii="Foundry Form Sans" w:hAnsi="Foundry Form Sans" w:cs="Arial"/>
          <w:szCs w:val="24"/>
        </w:rPr>
        <w:t xml:space="preserve"> as a clear budget line.</w:t>
      </w:r>
    </w:p>
    <w:p w:rsidR="003058A6"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3058A6" w:rsidRPr="00503B0A">
        <w:rPr>
          <w:rFonts w:ascii="Foundry Form Sans" w:hAnsi="Foundry Form Sans" w:cs="Arial"/>
          <w:szCs w:val="24"/>
        </w:rPr>
        <w:t xml:space="preserve">A summary of the assumptions and outputs in accordance with the spreadsheet </w:t>
      </w:r>
      <w:r w:rsidR="00C11F95" w:rsidRPr="00503B0A">
        <w:rPr>
          <w:rFonts w:ascii="Foundry Form Sans" w:hAnsi="Foundry Form Sans" w:cs="Arial"/>
          <w:szCs w:val="24"/>
        </w:rPr>
        <w:t xml:space="preserve">(see </w:t>
      </w:r>
      <w:r w:rsidR="002126D9" w:rsidRPr="00503B0A">
        <w:rPr>
          <w:rFonts w:ascii="Foundry Form Sans" w:hAnsi="Foundry Form Sans" w:cs="Arial"/>
          <w:szCs w:val="24"/>
        </w:rPr>
        <w:t>Annex A</w:t>
      </w:r>
      <w:r w:rsidR="00C93E60" w:rsidRPr="00503B0A">
        <w:rPr>
          <w:rFonts w:ascii="Foundry Form Sans" w:hAnsi="Foundry Form Sans" w:cs="Arial"/>
          <w:szCs w:val="24"/>
        </w:rPr>
        <w:t>3</w:t>
      </w:r>
      <w:r w:rsidR="00046ED7" w:rsidRPr="00503B0A">
        <w:rPr>
          <w:rFonts w:ascii="Foundry Form Sans" w:hAnsi="Foundry Form Sans" w:cs="Arial"/>
          <w:szCs w:val="24"/>
        </w:rPr>
        <w:t xml:space="preserve"> </w:t>
      </w:r>
      <w:r w:rsidR="00C11F95" w:rsidRPr="00503B0A">
        <w:rPr>
          <w:rFonts w:ascii="Foundry Form Sans" w:hAnsi="Foundry Form Sans" w:cs="Arial"/>
          <w:szCs w:val="24"/>
        </w:rPr>
        <w:t>- Development Appraisal Summary)</w:t>
      </w:r>
      <w:r w:rsidR="003058A6" w:rsidRPr="00503B0A">
        <w:rPr>
          <w:rFonts w:ascii="Foundry Form Sans" w:hAnsi="Foundry Form Sans" w:cs="Arial"/>
          <w:szCs w:val="24"/>
        </w:rPr>
        <w:t xml:space="preserve"> of the ITT. All summaries should include the following:</w:t>
      </w:r>
    </w:p>
    <w:p w:rsidR="003058A6" w:rsidRPr="003058A6" w:rsidRDefault="003058A6" w:rsidP="009F133B">
      <w:pPr>
        <w:numPr>
          <w:ilvl w:val="1"/>
          <w:numId w:val="27"/>
        </w:numPr>
        <w:spacing w:after="120"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Total GIA (m2) and NSA (m2) of development, broken down by tenure</w:t>
      </w:r>
    </w:p>
    <w:p w:rsidR="00E633FD" w:rsidRDefault="00117F2D" w:rsidP="009F133B">
      <w:pPr>
        <w:numPr>
          <w:ilvl w:val="1"/>
          <w:numId w:val="27"/>
        </w:numPr>
        <w:spacing w:after="120" w:line="23" w:lineRule="atLeast"/>
        <w:ind w:left="284" w:hanging="284"/>
        <w:jc w:val="both"/>
        <w:rPr>
          <w:rFonts w:ascii="Foundry Form Sans" w:hAnsi="Foundry Form Sans" w:cs="Arial"/>
          <w:sz w:val="22"/>
          <w:lang w:val="en-US" w:eastAsia="en-GB"/>
        </w:rPr>
      </w:pPr>
      <w:r>
        <w:rPr>
          <w:rFonts w:ascii="Foundry Form Sans" w:hAnsi="Foundry Form Sans" w:cs="Arial"/>
          <w:sz w:val="22"/>
          <w:lang w:val="en-US" w:eastAsia="en-GB"/>
        </w:rPr>
        <w:t>Estimated Scheme Revenues</w:t>
      </w:r>
      <w:r w:rsidR="003058A6" w:rsidRPr="003058A6">
        <w:rPr>
          <w:rFonts w:ascii="Foundry Form Sans" w:hAnsi="Foundry Form Sans" w:cs="Arial"/>
          <w:sz w:val="22"/>
          <w:lang w:val="en-US" w:eastAsia="en-GB"/>
        </w:rPr>
        <w:t>.  This should be broken down by private and affordable housing.</w:t>
      </w:r>
    </w:p>
    <w:p w:rsidR="00E633FD" w:rsidRPr="00E633FD" w:rsidRDefault="00E633FD" w:rsidP="009F133B">
      <w:pPr>
        <w:numPr>
          <w:ilvl w:val="1"/>
          <w:numId w:val="27"/>
        </w:numPr>
        <w:spacing w:after="120" w:line="23" w:lineRule="atLeast"/>
        <w:ind w:left="284" w:hanging="284"/>
        <w:jc w:val="both"/>
        <w:rPr>
          <w:rFonts w:ascii="Foundry Form Sans" w:hAnsi="Foundry Form Sans" w:cs="Arial"/>
          <w:sz w:val="22"/>
          <w:lang w:val="en-US" w:eastAsia="en-GB"/>
        </w:rPr>
      </w:pPr>
      <w:r w:rsidRPr="00E633FD">
        <w:rPr>
          <w:rFonts w:ascii="Foundry Form Sans" w:hAnsi="Foundry Form Sans" w:cs="Arial"/>
          <w:sz w:val="22"/>
          <w:lang w:eastAsia="en-GB"/>
        </w:rPr>
        <w:t>Estimated Scheme Revenues, including any proposed tenant incentives for the non-residential floorspace</w:t>
      </w:r>
    </w:p>
    <w:p w:rsidR="003058A6" w:rsidRPr="003058A6" w:rsidRDefault="003058A6" w:rsidP="009F133B">
      <w:pPr>
        <w:numPr>
          <w:ilvl w:val="1"/>
          <w:numId w:val="27"/>
        </w:numPr>
        <w:spacing w:after="120"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Development specification and c</w:t>
      </w:r>
      <w:r w:rsidR="00E5260B">
        <w:rPr>
          <w:rFonts w:ascii="Foundry Form Sans" w:hAnsi="Foundry Form Sans" w:cs="Arial"/>
          <w:sz w:val="22"/>
          <w:lang w:val="en-US" w:eastAsia="en-GB"/>
        </w:rPr>
        <w:t>ost plan broken down to include:</w:t>
      </w:r>
    </w:p>
    <w:p w:rsidR="003058A6" w:rsidRPr="003058A6" w:rsidRDefault="003058A6" w:rsidP="009F133B">
      <w:pPr>
        <w:numPr>
          <w:ilvl w:val="2"/>
          <w:numId w:val="27"/>
        </w:numPr>
        <w:spacing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infrastructure costs,</w:t>
      </w:r>
    </w:p>
    <w:p w:rsidR="003058A6" w:rsidRPr="00B26247" w:rsidRDefault="003058A6" w:rsidP="009F133B">
      <w:pPr>
        <w:numPr>
          <w:ilvl w:val="2"/>
          <w:numId w:val="27"/>
        </w:numPr>
        <w:spacing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abnormal costs,</w:t>
      </w:r>
      <w:r w:rsidRPr="00B26247">
        <w:rPr>
          <w:rFonts w:ascii="Foundry Form Sans" w:hAnsi="Foundry Form Sans" w:cs="Arial"/>
          <w:sz w:val="22"/>
          <w:lang w:val="en-US" w:eastAsia="en-GB"/>
        </w:rPr>
        <w:t xml:space="preserve"> </w:t>
      </w:r>
    </w:p>
    <w:p w:rsidR="003058A6" w:rsidRPr="003058A6" w:rsidRDefault="003058A6" w:rsidP="009F133B">
      <w:pPr>
        <w:numPr>
          <w:ilvl w:val="2"/>
          <w:numId w:val="27"/>
        </w:numPr>
        <w:spacing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 xml:space="preserve">elemental breakdown of construction costs, </w:t>
      </w:r>
    </w:p>
    <w:p w:rsidR="003058A6" w:rsidRPr="003058A6" w:rsidRDefault="003058A6" w:rsidP="009F133B">
      <w:pPr>
        <w:numPr>
          <w:ilvl w:val="2"/>
          <w:numId w:val="27"/>
        </w:numPr>
        <w:spacing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S106</w:t>
      </w:r>
      <w:r w:rsidR="007B73BD">
        <w:rPr>
          <w:rFonts w:ascii="Foundry Form Sans" w:hAnsi="Foundry Form Sans" w:cs="Arial"/>
          <w:sz w:val="22"/>
          <w:lang w:val="en-US" w:eastAsia="en-GB"/>
        </w:rPr>
        <w:t>/CIL</w:t>
      </w:r>
      <w:r w:rsidRPr="003058A6">
        <w:rPr>
          <w:rFonts w:ascii="Foundry Form Sans" w:hAnsi="Foundry Form Sans" w:cs="Arial"/>
          <w:sz w:val="22"/>
          <w:lang w:val="en-US" w:eastAsia="en-GB"/>
        </w:rPr>
        <w:t xml:space="preserve">, </w:t>
      </w:r>
    </w:p>
    <w:p w:rsidR="003058A6" w:rsidRPr="003058A6" w:rsidRDefault="003058A6" w:rsidP="009F133B">
      <w:pPr>
        <w:numPr>
          <w:ilvl w:val="2"/>
          <w:numId w:val="27"/>
        </w:numPr>
        <w:spacing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professional fees,</w:t>
      </w:r>
    </w:p>
    <w:p w:rsidR="007B73BD" w:rsidRDefault="003058A6" w:rsidP="009F133B">
      <w:pPr>
        <w:numPr>
          <w:ilvl w:val="2"/>
          <w:numId w:val="27"/>
        </w:numPr>
        <w:spacing w:after="120" w:line="20"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 xml:space="preserve">marketing and legal costs.  </w:t>
      </w:r>
    </w:p>
    <w:p w:rsidR="003058A6" w:rsidRPr="003058A6" w:rsidRDefault="003058A6" w:rsidP="009F133B">
      <w:pPr>
        <w:spacing w:after="120" w:line="20" w:lineRule="atLeast"/>
        <w:ind w:left="284"/>
        <w:jc w:val="both"/>
        <w:rPr>
          <w:rFonts w:ascii="Foundry Form Sans" w:hAnsi="Foundry Form Sans" w:cs="Arial"/>
          <w:sz w:val="22"/>
          <w:lang w:val="en-US" w:eastAsia="en-GB"/>
        </w:rPr>
      </w:pPr>
      <w:r w:rsidRPr="003058A6">
        <w:rPr>
          <w:rFonts w:ascii="Foundry Form Sans" w:hAnsi="Foundry Form Sans" w:cs="Arial"/>
          <w:sz w:val="22"/>
          <w:lang w:val="en-US" w:eastAsia="en-GB"/>
        </w:rPr>
        <w:t>Costs should be broken down on a GIA (m2) basis.</w:t>
      </w:r>
    </w:p>
    <w:p w:rsidR="003058A6" w:rsidRPr="003058A6" w:rsidRDefault="003058A6" w:rsidP="009F133B">
      <w:pPr>
        <w:numPr>
          <w:ilvl w:val="0"/>
          <w:numId w:val="28"/>
        </w:numPr>
        <w:spacing w:after="120" w:line="23" w:lineRule="atLeast"/>
        <w:ind w:left="284" w:hanging="284"/>
        <w:jc w:val="both"/>
        <w:rPr>
          <w:rFonts w:ascii="Foundry Form Sans" w:hAnsi="Foundry Form Sans" w:cs="Arial"/>
          <w:sz w:val="22"/>
          <w:lang w:val="en-US" w:eastAsia="en-GB"/>
        </w:rPr>
      </w:pPr>
      <w:r w:rsidRPr="003058A6">
        <w:rPr>
          <w:rFonts w:ascii="Foundry Form Sans" w:hAnsi="Foundry Form Sans" w:cs="Arial"/>
          <w:sz w:val="22"/>
          <w:lang w:val="en-US" w:eastAsia="en-GB"/>
        </w:rPr>
        <w:t>Finance cost and interest rate assumptions</w:t>
      </w:r>
    </w:p>
    <w:p w:rsidR="006100E6" w:rsidRPr="009E55A6" w:rsidRDefault="003058A6" w:rsidP="009F133B">
      <w:pPr>
        <w:numPr>
          <w:ilvl w:val="0"/>
          <w:numId w:val="28"/>
        </w:numPr>
        <w:spacing w:after="120" w:line="23" w:lineRule="atLeast"/>
        <w:ind w:left="284" w:hanging="284"/>
        <w:jc w:val="both"/>
        <w:rPr>
          <w:rFonts w:ascii="Foundry Form Sans" w:hAnsi="Foundry Form Sans" w:cs="Arial"/>
          <w:sz w:val="22"/>
          <w:lang w:val="en-US" w:eastAsia="en-GB"/>
        </w:rPr>
      </w:pPr>
      <w:r w:rsidRPr="009E55A6">
        <w:rPr>
          <w:rFonts w:ascii="Foundry Form Sans" w:hAnsi="Foundry Form Sans" w:cs="Arial"/>
          <w:sz w:val="22"/>
          <w:lang w:val="en-US" w:eastAsia="en-GB"/>
        </w:rPr>
        <w:t xml:space="preserve">The percentage development return Design, Build, </w:t>
      </w:r>
      <w:r w:rsidR="00AA5FB0" w:rsidRPr="009E55A6">
        <w:rPr>
          <w:rFonts w:ascii="Foundry Form Sans" w:hAnsi="Foundry Form Sans" w:cs="Arial"/>
          <w:sz w:val="22"/>
          <w:lang w:val="en-US" w:eastAsia="en-GB"/>
        </w:rPr>
        <w:t xml:space="preserve">Sales </w:t>
      </w:r>
      <w:r w:rsidRPr="009E55A6">
        <w:rPr>
          <w:rFonts w:ascii="Foundry Form Sans" w:hAnsi="Foundry Form Sans" w:cs="Arial"/>
          <w:sz w:val="22"/>
          <w:lang w:val="en-US" w:eastAsia="en-GB"/>
        </w:rPr>
        <w:t>and Rental Programme</w:t>
      </w:r>
    </w:p>
    <w:p w:rsidR="009003DC" w:rsidRDefault="009003DC" w:rsidP="009F133B">
      <w:pPr>
        <w:spacing w:after="120" w:line="23" w:lineRule="atLeast"/>
        <w:ind w:left="284"/>
        <w:jc w:val="both"/>
        <w:rPr>
          <w:rFonts w:ascii="Foundry Form Sans" w:hAnsi="Foundry Form Sans" w:cs="Arial"/>
          <w:b/>
          <w:sz w:val="22"/>
          <w:lang w:eastAsia="en-GB"/>
        </w:rPr>
      </w:pPr>
    </w:p>
    <w:p w:rsidR="003058A6" w:rsidRPr="00E1371A" w:rsidRDefault="008B6ECE" w:rsidP="009F133B">
      <w:pPr>
        <w:pStyle w:val="BodyText"/>
        <w:numPr>
          <w:ilvl w:val="1"/>
          <w:numId w:val="42"/>
        </w:numPr>
        <w:spacing w:after="120" w:line="23" w:lineRule="atLeast"/>
        <w:ind w:left="284"/>
        <w:jc w:val="both"/>
        <w:rPr>
          <w:rFonts w:ascii="Foundry Form Sans" w:hAnsi="Foundry Form Sans" w:cs="Arial"/>
          <w:b/>
          <w:u w:val="single"/>
          <w:lang w:eastAsia="en-GB"/>
        </w:rPr>
      </w:pPr>
      <w:r>
        <w:rPr>
          <w:rFonts w:ascii="Foundry Form Sans" w:hAnsi="Foundry Form Sans" w:cs="Arial"/>
          <w:b/>
          <w:u w:val="single"/>
          <w:lang w:eastAsia="en-GB"/>
        </w:rPr>
        <w:t xml:space="preserve">C.2 </w:t>
      </w:r>
      <w:r w:rsidR="003058A6" w:rsidRPr="00E1371A">
        <w:rPr>
          <w:rFonts w:ascii="Foundry Form Sans" w:hAnsi="Foundry Form Sans" w:cs="Arial"/>
          <w:b/>
          <w:u w:val="single"/>
          <w:lang w:eastAsia="en-GB"/>
        </w:rPr>
        <w:t>Planning and Revenue Overage</w:t>
      </w:r>
    </w:p>
    <w:p w:rsidR="007B73BD" w:rsidRPr="00503B0A" w:rsidRDefault="00E01125"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Please propose a</w:t>
      </w:r>
      <w:r w:rsidR="00A54269" w:rsidRPr="00503B0A">
        <w:rPr>
          <w:rFonts w:ascii="Foundry Form Sans" w:hAnsi="Foundry Form Sans" w:cs="Arial"/>
          <w:szCs w:val="24"/>
        </w:rPr>
        <w:t xml:space="preserve">n </w:t>
      </w:r>
      <w:r w:rsidR="0062521D" w:rsidRPr="00503B0A">
        <w:rPr>
          <w:rFonts w:ascii="Foundry Form Sans" w:hAnsi="Foundry Form Sans" w:cs="Arial"/>
          <w:szCs w:val="24"/>
        </w:rPr>
        <w:t xml:space="preserve">appropriate </w:t>
      </w:r>
      <w:r w:rsidR="007B73BD" w:rsidRPr="00503B0A">
        <w:rPr>
          <w:rFonts w:ascii="Foundry Form Sans" w:hAnsi="Foundry Form Sans" w:cs="Arial"/>
          <w:szCs w:val="24"/>
        </w:rPr>
        <w:t xml:space="preserve">Planning and </w:t>
      </w:r>
      <w:r w:rsidR="0062521D" w:rsidRPr="00503B0A">
        <w:rPr>
          <w:rFonts w:ascii="Foundry Form Sans" w:hAnsi="Foundry Form Sans" w:cs="Arial"/>
          <w:szCs w:val="24"/>
        </w:rPr>
        <w:t>Revenue O</w:t>
      </w:r>
      <w:r w:rsidR="007609A9" w:rsidRPr="00503B0A">
        <w:rPr>
          <w:rFonts w:ascii="Foundry Form Sans" w:hAnsi="Foundry Form Sans" w:cs="Arial"/>
          <w:szCs w:val="24"/>
        </w:rPr>
        <w:t>verage</w:t>
      </w:r>
      <w:r w:rsidR="00EC5435" w:rsidRPr="00503B0A">
        <w:rPr>
          <w:rFonts w:ascii="Foundry Form Sans" w:hAnsi="Foundry Form Sans" w:cs="Arial"/>
          <w:szCs w:val="24"/>
        </w:rPr>
        <w:t xml:space="preserve"> </w:t>
      </w:r>
      <w:r w:rsidR="007B73BD" w:rsidRPr="00503B0A">
        <w:rPr>
          <w:rFonts w:ascii="Foundry Form Sans" w:hAnsi="Foundry Form Sans" w:cs="Arial"/>
          <w:szCs w:val="24"/>
        </w:rPr>
        <w:t>in line with the following</w:t>
      </w:r>
      <w:r w:rsidR="006D5DB0" w:rsidRPr="00503B0A">
        <w:rPr>
          <w:rFonts w:ascii="Foundry Form Sans" w:hAnsi="Foundry Form Sans" w:cs="Arial"/>
          <w:szCs w:val="24"/>
        </w:rPr>
        <w:t>:</w:t>
      </w:r>
    </w:p>
    <w:p w:rsidR="007B73BD" w:rsidRPr="00503B0A" w:rsidRDefault="007B73BD"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Revenue Overage – A 50% share of any increase in</w:t>
      </w:r>
      <w:r w:rsidR="00EC5435" w:rsidRPr="00503B0A">
        <w:rPr>
          <w:rFonts w:ascii="Foundry Form Sans" w:hAnsi="Foundry Form Sans" w:cs="Arial"/>
          <w:szCs w:val="24"/>
        </w:rPr>
        <w:t xml:space="preserve"> net sales values achieved above an agreed threshold sales rate per sq ft.</w:t>
      </w:r>
      <w:r w:rsidRPr="00503B0A">
        <w:rPr>
          <w:rFonts w:ascii="Foundry Form Sans" w:hAnsi="Foundry Form Sans" w:cs="Arial"/>
          <w:szCs w:val="24"/>
        </w:rPr>
        <w:t xml:space="preserve">  The </w:t>
      </w:r>
      <w:r w:rsidR="006D5DB0" w:rsidRPr="00503B0A">
        <w:rPr>
          <w:rFonts w:ascii="Foundry Form Sans" w:hAnsi="Foundry Form Sans" w:cs="Arial"/>
          <w:szCs w:val="24"/>
        </w:rPr>
        <w:t xml:space="preserve">Bidder </w:t>
      </w:r>
      <w:r w:rsidRPr="00503B0A">
        <w:rPr>
          <w:rFonts w:ascii="Foundry Form Sans" w:hAnsi="Foundry Form Sans" w:cs="Arial"/>
          <w:szCs w:val="24"/>
        </w:rPr>
        <w:t>is to explicitly confirm the proposed threshold sales rate per sq ft as this will then be considered as part of the scoring of the financial section.</w:t>
      </w:r>
    </w:p>
    <w:p w:rsidR="007B73BD" w:rsidRPr="00503B0A" w:rsidRDefault="007B73BD"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Planning Overage – A payment based on an agreed land price per sq ft for any increase in net saleable area of private residential accommodation above that proposed in the bid submission.   The </w:t>
      </w:r>
      <w:r w:rsidR="006D5DB0" w:rsidRPr="00503B0A">
        <w:rPr>
          <w:rFonts w:ascii="Foundry Form Sans" w:hAnsi="Foundry Form Sans" w:cs="Arial"/>
          <w:szCs w:val="24"/>
        </w:rPr>
        <w:t xml:space="preserve">Bidder </w:t>
      </w:r>
      <w:r w:rsidRPr="00503B0A">
        <w:rPr>
          <w:rFonts w:ascii="Foundry Form Sans" w:hAnsi="Foundry Form Sans" w:cs="Arial"/>
          <w:szCs w:val="24"/>
        </w:rPr>
        <w:t>is to explicitly confirm the proposed land price per sq ft as this will then be considered as part of the scoring of the financial section.</w:t>
      </w:r>
    </w:p>
    <w:p w:rsidR="007609A9" w:rsidRPr="00503B0A" w:rsidRDefault="005B3BC8"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For the avoidance of doubt, </w:t>
      </w:r>
      <w:r w:rsidR="006D5DB0" w:rsidRPr="00503B0A">
        <w:rPr>
          <w:rFonts w:ascii="Foundry Form Sans" w:hAnsi="Foundry Form Sans" w:cs="Arial"/>
          <w:szCs w:val="24"/>
        </w:rPr>
        <w:t>B</w:t>
      </w:r>
      <w:r w:rsidRPr="00503B0A">
        <w:rPr>
          <w:rFonts w:ascii="Foundry Form Sans" w:hAnsi="Foundry Form Sans" w:cs="Arial"/>
          <w:szCs w:val="24"/>
        </w:rPr>
        <w:t>idders should note that th</w:t>
      </w:r>
      <w:r w:rsidR="007B73BD" w:rsidRPr="00503B0A">
        <w:rPr>
          <w:rFonts w:ascii="Foundry Form Sans" w:hAnsi="Foundry Form Sans" w:cs="Arial"/>
          <w:szCs w:val="24"/>
        </w:rPr>
        <w:t>e</w:t>
      </w:r>
      <w:r w:rsidR="00B204CE" w:rsidRPr="00503B0A">
        <w:rPr>
          <w:rFonts w:ascii="Foundry Form Sans" w:hAnsi="Foundry Form Sans" w:cs="Arial"/>
          <w:szCs w:val="24"/>
        </w:rPr>
        <w:t xml:space="preserve"> overage </w:t>
      </w:r>
      <w:r w:rsidR="007B73BD" w:rsidRPr="00503B0A">
        <w:rPr>
          <w:rFonts w:ascii="Foundry Form Sans" w:hAnsi="Foundry Form Sans" w:cs="Arial"/>
          <w:szCs w:val="24"/>
        </w:rPr>
        <w:t>will</w:t>
      </w:r>
      <w:r w:rsidR="00B204CE" w:rsidRPr="00503B0A">
        <w:rPr>
          <w:rFonts w:ascii="Foundry Form Sans" w:hAnsi="Foundry Form Sans" w:cs="Arial"/>
          <w:szCs w:val="24"/>
        </w:rPr>
        <w:t xml:space="preserve"> form part of the scoring </w:t>
      </w:r>
      <w:r w:rsidR="007B73BD" w:rsidRPr="00503B0A">
        <w:rPr>
          <w:rFonts w:ascii="Foundry Form Sans" w:hAnsi="Foundry Form Sans" w:cs="Arial"/>
          <w:szCs w:val="24"/>
        </w:rPr>
        <w:t>of</w:t>
      </w:r>
      <w:r w:rsidRPr="00503B0A">
        <w:rPr>
          <w:rFonts w:ascii="Foundry Form Sans" w:hAnsi="Foundry Form Sans" w:cs="Arial"/>
          <w:szCs w:val="24"/>
        </w:rPr>
        <w:t xml:space="preserve"> financial evaluation </w:t>
      </w:r>
      <w:r w:rsidR="007B73BD" w:rsidRPr="00503B0A">
        <w:rPr>
          <w:rFonts w:ascii="Foundry Form Sans" w:hAnsi="Foundry Form Sans" w:cs="Arial"/>
          <w:szCs w:val="24"/>
        </w:rPr>
        <w:t xml:space="preserve">alongside </w:t>
      </w:r>
      <w:r w:rsidRPr="00503B0A">
        <w:rPr>
          <w:rFonts w:ascii="Foundry Form Sans" w:hAnsi="Foundry Form Sans" w:cs="Arial"/>
          <w:szCs w:val="24"/>
        </w:rPr>
        <w:t xml:space="preserve">the guaranteed </w:t>
      </w:r>
      <w:r w:rsidR="006D5DB0" w:rsidRPr="00503B0A">
        <w:rPr>
          <w:rFonts w:ascii="Foundry Form Sans" w:hAnsi="Foundry Form Sans" w:cs="Arial"/>
          <w:szCs w:val="24"/>
        </w:rPr>
        <w:t xml:space="preserve">minimum land value for the </w:t>
      </w:r>
      <w:r w:rsidR="00514E0E">
        <w:rPr>
          <w:rFonts w:ascii="Foundry Form Sans" w:hAnsi="Foundry Form Sans" w:cs="Arial"/>
          <w:szCs w:val="24"/>
        </w:rPr>
        <w:t>Site</w:t>
      </w:r>
      <w:r w:rsidRPr="00503B0A">
        <w:rPr>
          <w:rFonts w:ascii="Foundry Form Sans" w:hAnsi="Foundry Form Sans" w:cs="Arial"/>
          <w:szCs w:val="24"/>
        </w:rPr>
        <w:t>.</w:t>
      </w:r>
    </w:p>
    <w:p w:rsidR="0076730C" w:rsidRDefault="0076730C" w:rsidP="009F133B">
      <w:pPr>
        <w:spacing w:after="120" w:line="23" w:lineRule="atLeast"/>
        <w:ind w:left="284"/>
        <w:jc w:val="both"/>
        <w:rPr>
          <w:rFonts w:ascii="Foundry Form Sans" w:hAnsi="Foundry Form Sans" w:cs="Arial"/>
          <w:sz w:val="22"/>
          <w:lang w:eastAsia="en-GB"/>
        </w:rPr>
      </w:pPr>
      <w:r>
        <w:rPr>
          <w:rFonts w:ascii="Foundry Form Sans" w:hAnsi="Foundry Form Sans" w:cs="Arial"/>
          <w:sz w:val="22"/>
          <w:lang w:eastAsia="en-GB"/>
        </w:rPr>
        <w:br w:type="page"/>
      </w:r>
    </w:p>
    <w:p w:rsidR="00033233" w:rsidRPr="006E4071" w:rsidRDefault="00033233" w:rsidP="009F133B">
      <w:pPr>
        <w:pStyle w:val="Heading1"/>
        <w:numPr>
          <w:ilvl w:val="0"/>
          <w:numId w:val="42"/>
        </w:numPr>
        <w:pBdr>
          <w:bottom w:val="single" w:sz="4" w:space="1" w:color="auto"/>
        </w:pBdr>
        <w:ind w:left="284"/>
        <w:jc w:val="both"/>
      </w:pPr>
      <w:bookmarkStart w:id="13" w:name="_Toc441674210"/>
      <w:r w:rsidRPr="00F27EDC">
        <w:lastRenderedPageBreak/>
        <w:t>Evaluation</w:t>
      </w:r>
      <w:r>
        <w:t xml:space="preserve"> Criteria</w:t>
      </w:r>
      <w:bookmarkEnd w:id="13"/>
    </w:p>
    <w:p w:rsidR="00242FB4" w:rsidRDefault="00242FB4" w:rsidP="009F133B">
      <w:pPr>
        <w:spacing w:line="23" w:lineRule="atLeast"/>
        <w:ind w:left="284"/>
        <w:jc w:val="both"/>
        <w:rPr>
          <w:rFonts w:ascii="Foundry Form Sans" w:hAnsi="Foundry Form Sans" w:cs="Arial"/>
          <w:b/>
        </w:rPr>
      </w:pPr>
    </w:p>
    <w:p w:rsidR="00242FB4" w:rsidRPr="00062EDB" w:rsidRDefault="00242FB4" w:rsidP="009F133B">
      <w:pPr>
        <w:pStyle w:val="BodyText"/>
        <w:numPr>
          <w:ilvl w:val="1"/>
          <w:numId w:val="42"/>
        </w:numPr>
        <w:spacing w:after="120" w:line="23" w:lineRule="atLeast"/>
        <w:ind w:left="284"/>
        <w:jc w:val="both"/>
        <w:rPr>
          <w:rFonts w:ascii="Foundry Form Sans" w:hAnsi="Foundry Form Sans" w:cs="Arial"/>
          <w:b/>
        </w:rPr>
      </w:pPr>
      <w:r w:rsidRPr="00062EDB">
        <w:rPr>
          <w:rFonts w:ascii="Foundry Form Sans" w:hAnsi="Foundry Form Sans" w:cs="Arial"/>
          <w:b/>
        </w:rPr>
        <w:t xml:space="preserve">Stage 1: Evaluation </w:t>
      </w:r>
    </w:p>
    <w:p w:rsidR="00242FB4" w:rsidRPr="00503B0A"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 xml:space="preserve">Each Tender will be checked initially for compliance with all requirements of the ITT. During the evaluation period, the GLA/TfL reserves the right to seek clarification in any form, from any or all of the </w:t>
      </w:r>
      <w:r w:rsidR="00300BFA" w:rsidRPr="00503B0A">
        <w:rPr>
          <w:rFonts w:ascii="Foundry Form Sans" w:hAnsi="Foundry Form Sans" w:cs="Arial"/>
          <w:szCs w:val="24"/>
        </w:rPr>
        <w:t>Bidder</w:t>
      </w:r>
      <w:r w:rsidRPr="00503B0A">
        <w:rPr>
          <w:rFonts w:ascii="Foundry Form Sans" w:hAnsi="Foundry Form Sans" w:cs="Arial"/>
          <w:szCs w:val="24"/>
        </w:rPr>
        <w:t>s, to assist in its consideration of their Tenders.</w:t>
      </w:r>
    </w:p>
    <w:p w:rsidR="00242FB4" w:rsidRPr="00503B0A"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503B0A">
        <w:rPr>
          <w:rFonts w:ascii="Foundry Form Sans" w:hAnsi="Foundry Form Sans" w:cs="Arial"/>
          <w:szCs w:val="24"/>
        </w:rPr>
        <w:t>The Tenders are to be evaluated against the following pre-determined award criteria, which will enable the most economically advantageous Tender to be selected:</w:t>
      </w:r>
    </w:p>
    <w:tbl>
      <w:tblPr>
        <w:tblW w:w="7528" w:type="dxa"/>
        <w:tblInd w:w="6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318"/>
        <w:gridCol w:w="1488"/>
        <w:gridCol w:w="1488"/>
        <w:gridCol w:w="2234"/>
      </w:tblGrid>
      <w:tr w:rsidR="00242FB4" w:rsidRPr="00062EDB">
        <w:trPr>
          <w:trHeight w:val="765"/>
        </w:trPr>
        <w:tc>
          <w:tcPr>
            <w:tcW w:w="2509" w:type="dxa"/>
            <w:vAlign w:val="center"/>
          </w:tcPr>
          <w:p w:rsidR="00242FB4" w:rsidRPr="00062EDB" w:rsidRDefault="00242FB4" w:rsidP="009F133B">
            <w:pPr>
              <w:spacing w:after="120" w:line="23" w:lineRule="atLeast"/>
              <w:ind w:left="284"/>
              <w:jc w:val="both"/>
              <w:rPr>
                <w:rFonts w:ascii="Foundry Form Sans" w:hAnsi="Foundry Form Sans"/>
                <w:b/>
                <w:bCs/>
                <w:color w:val="000000"/>
              </w:rPr>
            </w:pPr>
            <w:r w:rsidRPr="00062EDB">
              <w:rPr>
                <w:rFonts w:ascii="Foundry Form Sans" w:hAnsi="Foundry Form Sans"/>
                <w:b/>
                <w:bCs/>
                <w:color w:val="000000"/>
                <w:sz w:val="22"/>
              </w:rPr>
              <w:t>Evaluation factor</w:t>
            </w:r>
          </w:p>
        </w:tc>
        <w:tc>
          <w:tcPr>
            <w:tcW w:w="1332" w:type="dxa"/>
            <w:vAlign w:val="center"/>
          </w:tcPr>
          <w:p w:rsidR="00242FB4" w:rsidRPr="00062EDB" w:rsidRDefault="00242FB4" w:rsidP="009F133B">
            <w:pPr>
              <w:spacing w:after="120" w:line="23" w:lineRule="atLeast"/>
              <w:ind w:left="284"/>
              <w:jc w:val="both"/>
              <w:rPr>
                <w:rFonts w:ascii="Foundry Form Sans" w:hAnsi="Foundry Form Sans"/>
                <w:b/>
                <w:bCs/>
                <w:color w:val="000000"/>
              </w:rPr>
            </w:pPr>
            <w:r w:rsidRPr="00062EDB">
              <w:rPr>
                <w:rFonts w:ascii="Foundry Form Sans" w:hAnsi="Foundry Form Sans"/>
                <w:b/>
                <w:bCs/>
                <w:color w:val="000000"/>
                <w:sz w:val="22"/>
              </w:rPr>
              <w:t>Relative Weighting</w:t>
            </w:r>
          </w:p>
        </w:tc>
        <w:tc>
          <w:tcPr>
            <w:tcW w:w="1292" w:type="dxa"/>
            <w:vAlign w:val="center"/>
          </w:tcPr>
          <w:p w:rsidR="00242FB4" w:rsidRPr="00062EDB" w:rsidRDefault="00242FB4" w:rsidP="009F133B">
            <w:pPr>
              <w:spacing w:after="120" w:line="23" w:lineRule="atLeast"/>
              <w:ind w:left="284"/>
              <w:jc w:val="both"/>
              <w:rPr>
                <w:rFonts w:ascii="Foundry Form Sans" w:hAnsi="Foundry Form Sans"/>
                <w:b/>
                <w:bCs/>
                <w:color w:val="000000"/>
              </w:rPr>
            </w:pPr>
            <w:r w:rsidRPr="00062EDB">
              <w:rPr>
                <w:rFonts w:ascii="Foundry Form Sans" w:hAnsi="Foundry Form Sans"/>
                <w:b/>
                <w:bCs/>
                <w:color w:val="000000"/>
                <w:sz w:val="22"/>
              </w:rPr>
              <w:t>Weighting</w:t>
            </w:r>
          </w:p>
        </w:tc>
        <w:tc>
          <w:tcPr>
            <w:tcW w:w="2395" w:type="dxa"/>
            <w:vAlign w:val="center"/>
          </w:tcPr>
          <w:p w:rsidR="00242FB4" w:rsidRPr="00062EDB" w:rsidRDefault="00242FB4" w:rsidP="009F133B">
            <w:pPr>
              <w:spacing w:after="120" w:line="23" w:lineRule="atLeast"/>
              <w:ind w:left="284"/>
              <w:jc w:val="both"/>
              <w:rPr>
                <w:rFonts w:ascii="Foundry Form Sans" w:hAnsi="Foundry Form Sans" w:cs="Arial"/>
                <w:b/>
                <w:bCs/>
                <w:iCs/>
                <w:color w:val="000000"/>
                <w:szCs w:val="28"/>
              </w:rPr>
            </w:pPr>
            <w:r w:rsidRPr="00062EDB">
              <w:rPr>
                <w:rFonts w:ascii="Foundry Form Sans" w:hAnsi="Foundry Form Sans"/>
                <w:b/>
                <w:bCs/>
                <w:color w:val="000000"/>
                <w:sz w:val="22"/>
              </w:rPr>
              <w:t>Component</w:t>
            </w:r>
          </w:p>
        </w:tc>
      </w:tr>
      <w:tr w:rsidR="00C8451A" w:rsidRPr="00062EDB">
        <w:trPr>
          <w:cantSplit/>
          <w:trHeight w:val="735"/>
        </w:trPr>
        <w:tc>
          <w:tcPr>
            <w:tcW w:w="2509" w:type="dxa"/>
            <w:vMerge w:val="restart"/>
            <w:shd w:val="clear" w:color="000000" w:fill="FF9900"/>
            <w:vAlign w:val="center"/>
          </w:tcPr>
          <w:p w:rsidR="00C8451A" w:rsidRPr="00062EDB" w:rsidRDefault="003F6A44" w:rsidP="009F133B">
            <w:pPr>
              <w:spacing w:after="120" w:line="23" w:lineRule="atLeast"/>
              <w:ind w:left="284"/>
              <w:jc w:val="both"/>
              <w:rPr>
                <w:rFonts w:ascii="Foundry Form Sans" w:hAnsi="Foundry Form Sans"/>
                <w:b/>
                <w:bCs/>
                <w:color w:val="000000"/>
              </w:rPr>
            </w:pPr>
            <w:r>
              <w:rPr>
                <w:rFonts w:ascii="Foundry Form Sans" w:hAnsi="Foundry Form Sans"/>
                <w:b/>
                <w:bCs/>
                <w:color w:val="000000"/>
                <w:sz w:val="22"/>
              </w:rPr>
              <w:t xml:space="preserve">A. </w:t>
            </w:r>
            <w:r w:rsidR="00C8451A" w:rsidRPr="00062EDB">
              <w:rPr>
                <w:rFonts w:ascii="Foundry Form Sans" w:hAnsi="Foundry Form Sans"/>
                <w:b/>
                <w:bCs/>
                <w:color w:val="000000"/>
                <w:sz w:val="22"/>
              </w:rPr>
              <w:t>Quality</w:t>
            </w:r>
          </w:p>
        </w:tc>
        <w:tc>
          <w:tcPr>
            <w:tcW w:w="1332" w:type="dxa"/>
            <w:vMerge w:val="restart"/>
            <w:shd w:val="clear" w:color="000000" w:fill="FF9900"/>
            <w:vAlign w:val="center"/>
          </w:tcPr>
          <w:p w:rsidR="00C8451A" w:rsidRPr="00062EDB" w:rsidRDefault="00C8451A"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40%</w:t>
            </w:r>
          </w:p>
        </w:tc>
        <w:tc>
          <w:tcPr>
            <w:tcW w:w="1292" w:type="dxa"/>
            <w:shd w:val="clear" w:color="000000" w:fill="FF9900"/>
            <w:vAlign w:val="center"/>
          </w:tcPr>
          <w:p w:rsidR="00C8451A" w:rsidRPr="00062EDB" w:rsidRDefault="00C8451A"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5%</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A.1 </w:t>
            </w:r>
            <w:r w:rsidR="00C8451A" w:rsidRPr="00062EDB">
              <w:rPr>
                <w:rFonts w:ascii="Foundry Form Sans" w:hAnsi="Foundry Form Sans"/>
                <w:color w:val="000000"/>
                <w:sz w:val="22"/>
              </w:rPr>
              <w:t>Project Team Approach /Project Management</w:t>
            </w:r>
          </w:p>
        </w:tc>
      </w:tr>
      <w:tr w:rsidR="00C8451A" w:rsidRPr="00062EDB">
        <w:trPr>
          <w:trHeight w:val="450"/>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CC4AD1"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20</w:t>
            </w:r>
            <w:r w:rsidR="00C8451A" w:rsidRPr="00062EDB">
              <w:rPr>
                <w:rFonts w:ascii="Foundry Form Sans" w:hAnsi="Foundry Form Sans"/>
                <w:color w:val="000000"/>
                <w:sz w:val="22"/>
              </w:rPr>
              <w:t>%</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A.2 </w:t>
            </w:r>
            <w:r w:rsidR="00C8451A" w:rsidRPr="00062EDB">
              <w:rPr>
                <w:rFonts w:ascii="Foundry Form Sans" w:hAnsi="Foundry Form Sans"/>
                <w:color w:val="000000"/>
                <w:sz w:val="22"/>
              </w:rPr>
              <w:t>Scheme Proposal and Design Approach</w:t>
            </w:r>
          </w:p>
        </w:tc>
      </w:tr>
      <w:tr w:rsidR="00C8451A" w:rsidRPr="00062EDB" w:rsidTr="00C8451A">
        <w:trPr>
          <w:trHeight w:val="300"/>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C8451A"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2.5</w:t>
            </w:r>
            <w:r w:rsidRPr="00062EDB">
              <w:rPr>
                <w:rFonts w:ascii="Foundry Form Sans" w:hAnsi="Foundry Form Sans"/>
                <w:color w:val="000000"/>
                <w:sz w:val="22"/>
              </w:rPr>
              <w:t>%</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A.3 </w:t>
            </w:r>
            <w:r w:rsidR="00C8451A" w:rsidRPr="00062EDB">
              <w:rPr>
                <w:rFonts w:ascii="Foundry Form Sans" w:hAnsi="Foundry Form Sans"/>
                <w:color w:val="000000"/>
                <w:sz w:val="22"/>
              </w:rPr>
              <w:t>Approach to Gaining Planning Permission</w:t>
            </w:r>
          </w:p>
        </w:tc>
      </w:tr>
      <w:tr w:rsidR="00C8451A" w:rsidRPr="00062EDB" w:rsidTr="00F51BBE">
        <w:trPr>
          <w:trHeight w:val="300"/>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951AF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2.</w:t>
            </w:r>
            <w:r w:rsidR="00C8451A">
              <w:rPr>
                <w:rFonts w:ascii="Foundry Form Sans" w:hAnsi="Foundry Form Sans"/>
                <w:color w:val="000000"/>
                <w:sz w:val="22"/>
              </w:rPr>
              <w:t>5</w:t>
            </w:r>
            <w:r w:rsidR="00C8451A" w:rsidRPr="00062EDB">
              <w:rPr>
                <w:rFonts w:ascii="Foundry Form Sans" w:hAnsi="Foundry Form Sans"/>
                <w:color w:val="000000"/>
                <w:sz w:val="22"/>
              </w:rPr>
              <w:t>%</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A.4 </w:t>
            </w:r>
            <w:r w:rsidR="00C8451A" w:rsidRPr="00062EDB">
              <w:rPr>
                <w:rFonts w:ascii="Foundry Form Sans" w:hAnsi="Foundry Form Sans"/>
                <w:color w:val="000000"/>
                <w:sz w:val="22"/>
              </w:rPr>
              <w:t xml:space="preserve">Construction </w:t>
            </w:r>
            <w:r w:rsidR="00C8451A">
              <w:rPr>
                <w:rFonts w:ascii="Foundry Form Sans" w:hAnsi="Foundry Form Sans"/>
                <w:color w:val="000000"/>
                <w:sz w:val="22"/>
              </w:rPr>
              <w:t>Strategy</w:t>
            </w:r>
          </w:p>
        </w:tc>
      </w:tr>
      <w:tr w:rsidR="00C8451A" w:rsidRPr="00062EDB">
        <w:trPr>
          <w:trHeight w:val="810"/>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CC4AD1"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2.5</w:t>
            </w:r>
            <w:r w:rsidR="00C8451A" w:rsidRPr="00062EDB">
              <w:rPr>
                <w:rFonts w:ascii="Foundry Form Sans" w:hAnsi="Foundry Form Sans"/>
                <w:color w:val="000000"/>
                <w:sz w:val="22"/>
              </w:rPr>
              <w:t>%</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A.5 </w:t>
            </w:r>
            <w:r w:rsidR="00C8451A" w:rsidRPr="00062EDB">
              <w:rPr>
                <w:rFonts w:ascii="Foundry Form Sans" w:hAnsi="Foundry Form Sans"/>
                <w:color w:val="000000"/>
                <w:sz w:val="22"/>
              </w:rPr>
              <w:t>Long</w:t>
            </w:r>
            <w:r w:rsidR="00616BFA">
              <w:rPr>
                <w:rFonts w:ascii="Foundry Form Sans" w:hAnsi="Foundry Form Sans"/>
                <w:color w:val="000000"/>
                <w:sz w:val="22"/>
              </w:rPr>
              <w:t xml:space="preserve"> </w:t>
            </w:r>
            <w:r w:rsidR="00C8451A" w:rsidRPr="00062EDB">
              <w:rPr>
                <w:rFonts w:ascii="Foundry Form Sans" w:hAnsi="Foundry Form Sans"/>
                <w:color w:val="000000"/>
                <w:sz w:val="22"/>
              </w:rPr>
              <w:t>Term Management Proposal</w:t>
            </w:r>
          </w:p>
        </w:tc>
      </w:tr>
      <w:tr w:rsidR="00C8451A" w:rsidRPr="00062EDB">
        <w:trPr>
          <w:trHeight w:val="675"/>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C8451A"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2.5%</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A.6 </w:t>
            </w:r>
            <w:r w:rsidR="00C8451A" w:rsidRPr="00062EDB">
              <w:rPr>
                <w:rFonts w:ascii="Foundry Form Sans" w:hAnsi="Foundry Form Sans"/>
                <w:color w:val="000000"/>
                <w:sz w:val="22"/>
              </w:rPr>
              <w:t>Project Risk management</w:t>
            </w:r>
          </w:p>
        </w:tc>
      </w:tr>
      <w:tr w:rsidR="00C8451A" w:rsidRPr="00062EDB">
        <w:trPr>
          <w:trHeight w:val="755"/>
        </w:trPr>
        <w:tc>
          <w:tcPr>
            <w:tcW w:w="2509" w:type="dxa"/>
            <w:vMerge/>
            <w:vAlign w:val="center"/>
          </w:tcPr>
          <w:p w:rsidR="00C8451A" w:rsidRPr="00062EDB" w:rsidRDefault="00C8451A" w:rsidP="009F133B">
            <w:pPr>
              <w:spacing w:after="120" w:line="23" w:lineRule="atLeast"/>
              <w:ind w:left="284"/>
              <w:jc w:val="both"/>
              <w:rPr>
                <w:rFonts w:ascii="Foundry Form Sans" w:hAnsi="Foundry Form Sans"/>
                <w:b/>
                <w:bCs/>
                <w:color w:val="000000"/>
              </w:rPr>
            </w:pPr>
          </w:p>
        </w:tc>
        <w:tc>
          <w:tcPr>
            <w:tcW w:w="1332" w:type="dxa"/>
            <w:vMerge/>
            <w:vAlign w:val="center"/>
          </w:tcPr>
          <w:p w:rsidR="00C8451A" w:rsidRPr="00062EDB" w:rsidRDefault="00C8451A" w:rsidP="009F133B">
            <w:pPr>
              <w:spacing w:after="120" w:line="23" w:lineRule="atLeast"/>
              <w:ind w:left="284"/>
              <w:jc w:val="both"/>
              <w:rPr>
                <w:rFonts w:ascii="Foundry Form Sans" w:hAnsi="Foundry Form Sans"/>
                <w:color w:val="000000"/>
              </w:rPr>
            </w:pPr>
          </w:p>
        </w:tc>
        <w:tc>
          <w:tcPr>
            <w:tcW w:w="1292" w:type="dxa"/>
            <w:shd w:val="clear" w:color="000000" w:fill="FF9900"/>
            <w:vAlign w:val="center"/>
          </w:tcPr>
          <w:p w:rsidR="00C8451A" w:rsidRPr="00062EDB" w:rsidRDefault="00C8451A"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5%</w:t>
            </w:r>
          </w:p>
        </w:tc>
        <w:tc>
          <w:tcPr>
            <w:tcW w:w="2395" w:type="dxa"/>
            <w:shd w:val="clear" w:color="000000" w:fill="FF9900"/>
            <w:vAlign w:val="center"/>
          </w:tcPr>
          <w:p w:rsidR="00C8451A" w:rsidRPr="00062EDB"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A.7 </w:t>
            </w:r>
            <w:r w:rsidR="00C8451A" w:rsidRPr="00062EDB">
              <w:rPr>
                <w:rFonts w:ascii="Foundry Form Sans" w:hAnsi="Foundry Form Sans"/>
                <w:color w:val="000000"/>
                <w:sz w:val="22"/>
              </w:rPr>
              <w:t>Programme</w:t>
            </w:r>
          </w:p>
        </w:tc>
      </w:tr>
      <w:tr w:rsidR="007A15FD" w:rsidRPr="00062EDB">
        <w:trPr>
          <w:cantSplit/>
          <w:trHeight w:val="465"/>
        </w:trPr>
        <w:tc>
          <w:tcPr>
            <w:tcW w:w="2509" w:type="dxa"/>
            <w:vMerge w:val="restart"/>
            <w:shd w:val="clear" w:color="000000" w:fill="FFCC00"/>
            <w:vAlign w:val="center"/>
          </w:tcPr>
          <w:p w:rsidR="007A15FD" w:rsidRPr="00062EDB" w:rsidRDefault="003F6A44" w:rsidP="009F133B">
            <w:pPr>
              <w:spacing w:after="120" w:line="23" w:lineRule="atLeast"/>
              <w:ind w:left="284"/>
              <w:jc w:val="both"/>
              <w:rPr>
                <w:rFonts w:ascii="Foundry Form Sans" w:hAnsi="Foundry Form Sans"/>
                <w:b/>
                <w:bCs/>
                <w:color w:val="000000"/>
              </w:rPr>
            </w:pPr>
            <w:r>
              <w:rPr>
                <w:rFonts w:ascii="Foundry Form Sans" w:hAnsi="Foundry Form Sans"/>
                <w:b/>
                <w:bCs/>
                <w:color w:val="000000"/>
                <w:sz w:val="22"/>
              </w:rPr>
              <w:t xml:space="preserve">B. </w:t>
            </w:r>
            <w:r w:rsidR="007A15FD" w:rsidRPr="00062EDB">
              <w:rPr>
                <w:rFonts w:ascii="Foundry Form Sans" w:hAnsi="Foundry Form Sans"/>
                <w:b/>
                <w:bCs/>
                <w:color w:val="000000"/>
                <w:sz w:val="22"/>
              </w:rPr>
              <w:t xml:space="preserve">Commercial </w:t>
            </w:r>
          </w:p>
        </w:tc>
        <w:tc>
          <w:tcPr>
            <w:tcW w:w="1332" w:type="dxa"/>
            <w:vMerge w:val="restart"/>
            <w:shd w:val="clear" w:color="000000" w:fill="FFCC00"/>
            <w:vAlign w:val="center"/>
          </w:tcPr>
          <w:p w:rsidR="007A15FD" w:rsidRPr="00470145" w:rsidRDefault="007A15FD" w:rsidP="009F133B">
            <w:pPr>
              <w:spacing w:after="120" w:line="23" w:lineRule="atLeast"/>
              <w:ind w:left="284"/>
              <w:jc w:val="both"/>
              <w:rPr>
                <w:rFonts w:ascii="Foundry Form Sans" w:hAnsi="Foundry Form Sans"/>
                <w:color w:val="000000"/>
              </w:rPr>
            </w:pPr>
            <w:r w:rsidRPr="00470145">
              <w:rPr>
                <w:rFonts w:ascii="Foundry Form Sans" w:hAnsi="Foundry Form Sans"/>
                <w:color w:val="000000"/>
                <w:sz w:val="22"/>
              </w:rPr>
              <w:t>20%</w:t>
            </w:r>
          </w:p>
        </w:tc>
        <w:tc>
          <w:tcPr>
            <w:tcW w:w="1292" w:type="dxa"/>
            <w:shd w:val="clear" w:color="000000" w:fill="FFCC00"/>
            <w:vAlign w:val="center"/>
          </w:tcPr>
          <w:p w:rsidR="007A15FD" w:rsidRPr="00470145" w:rsidRDefault="00630E7A" w:rsidP="009F133B">
            <w:pPr>
              <w:spacing w:after="120" w:line="23" w:lineRule="atLeast"/>
              <w:ind w:left="284"/>
              <w:jc w:val="both"/>
              <w:rPr>
                <w:rFonts w:ascii="Foundry Form Sans" w:hAnsi="Foundry Form Sans"/>
                <w:color w:val="000000"/>
              </w:rPr>
            </w:pPr>
            <w:r w:rsidRPr="00470145">
              <w:rPr>
                <w:rFonts w:ascii="Foundry Form Sans" w:hAnsi="Foundry Form Sans"/>
                <w:color w:val="000000"/>
                <w:sz w:val="22"/>
              </w:rPr>
              <w:t>10</w:t>
            </w:r>
            <w:r w:rsidR="007A15FD" w:rsidRPr="00470145">
              <w:rPr>
                <w:rFonts w:ascii="Foundry Form Sans" w:hAnsi="Foundry Form Sans"/>
                <w:color w:val="000000"/>
                <w:sz w:val="22"/>
              </w:rPr>
              <w:t>%</w:t>
            </w:r>
          </w:p>
        </w:tc>
        <w:tc>
          <w:tcPr>
            <w:tcW w:w="2395" w:type="dxa"/>
            <w:shd w:val="clear" w:color="000000" w:fill="FFCC00"/>
            <w:vAlign w:val="center"/>
          </w:tcPr>
          <w:p w:rsidR="007A15FD" w:rsidRPr="00470145"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B.1 </w:t>
            </w:r>
            <w:r w:rsidR="00544D13" w:rsidRPr="00470145">
              <w:rPr>
                <w:rFonts w:ascii="Foundry Form Sans" w:hAnsi="Foundry Form Sans"/>
                <w:color w:val="000000"/>
                <w:sz w:val="22"/>
              </w:rPr>
              <w:t xml:space="preserve">Marketing and Letting Strategy </w:t>
            </w:r>
          </w:p>
        </w:tc>
      </w:tr>
      <w:tr w:rsidR="007A15FD" w:rsidRPr="00062EDB">
        <w:trPr>
          <w:trHeight w:val="275"/>
        </w:trPr>
        <w:tc>
          <w:tcPr>
            <w:tcW w:w="2509" w:type="dxa"/>
            <w:vMerge/>
            <w:vAlign w:val="center"/>
          </w:tcPr>
          <w:p w:rsidR="007A15FD" w:rsidRPr="00062EDB" w:rsidRDefault="007A15FD" w:rsidP="009F133B">
            <w:pPr>
              <w:spacing w:after="120" w:line="23" w:lineRule="atLeast"/>
              <w:ind w:left="284"/>
              <w:jc w:val="both"/>
              <w:rPr>
                <w:rFonts w:ascii="Foundry Form Sans" w:hAnsi="Foundry Form Sans"/>
                <w:b/>
                <w:bCs/>
                <w:color w:val="000000"/>
              </w:rPr>
            </w:pPr>
          </w:p>
        </w:tc>
        <w:tc>
          <w:tcPr>
            <w:tcW w:w="1332" w:type="dxa"/>
            <w:vMerge/>
            <w:vAlign w:val="center"/>
          </w:tcPr>
          <w:p w:rsidR="007A15FD" w:rsidRPr="00470145" w:rsidRDefault="007A15FD" w:rsidP="009F133B">
            <w:pPr>
              <w:spacing w:after="120" w:line="23" w:lineRule="atLeast"/>
              <w:ind w:left="284"/>
              <w:jc w:val="both"/>
              <w:rPr>
                <w:rFonts w:ascii="Foundry Form Sans" w:hAnsi="Foundry Form Sans"/>
                <w:color w:val="000000"/>
              </w:rPr>
            </w:pPr>
          </w:p>
        </w:tc>
        <w:tc>
          <w:tcPr>
            <w:tcW w:w="1292" w:type="dxa"/>
            <w:shd w:val="clear" w:color="000000" w:fill="FFCC00"/>
            <w:vAlign w:val="center"/>
          </w:tcPr>
          <w:p w:rsidR="007A15FD" w:rsidRPr="00470145" w:rsidRDefault="00630E7A" w:rsidP="009F133B">
            <w:pPr>
              <w:spacing w:after="120" w:line="23" w:lineRule="atLeast"/>
              <w:ind w:left="284"/>
              <w:jc w:val="both"/>
              <w:rPr>
                <w:rFonts w:ascii="Foundry Form Sans" w:hAnsi="Foundry Form Sans"/>
                <w:color w:val="000000"/>
              </w:rPr>
            </w:pPr>
            <w:r w:rsidRPr="00470145">
              <w:rPr>
                <w:rFonts w:ascii="Foundry Form Sans" w:hAnsi="Foundry Form Sans"/>
                <w:color w:val="000000"/>
                <w:sz w:val="22"/>
              </w:rPr>
              <w:t>10</w:t>
            </w:r>
            <w:r w:rsidR="0051571B" w:rsidRPr="00470145">
              <w:rPr>
                <w:rFonts w:ascii="Foundry Form Sans" w:hAnsi="Foundry Form Sans"/>
                <w:color w:val="000000"/>
                <w:sz w:val="22"/>
              </w:rPr>
              <w:t>%</w:t>
            </w:r>
          </w:p>
        </w:tc>
        <w:tc>
          <w:tcPr>
            <w:tcW w:w="2395" w:type="dxa"/>
            <w:shd w:val="clear" w:color="000000" w:fill="FFCC00"/>
            <w:vAlign w:val="center"/>
          </w:tcPr>
          <w:p w:rsidR="007A15FD" w:rsidRPr="00470145" w:rsidRDefault="003F6A44"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B.2 </w:t>
            </w:r>
            <w:r w:rsidR="0051571B" w:rsidRPr="00470145">
              <w:rPr>
                <w:rFonts w:ascii="Foundry Form Sans" w:hAnsi="Foundry Form Sans"/>
                <w:color w:val="000000"/>
                <w:sz w:val="22"/>
              </w:rPr>
              <w:t>Approach to Securing Funding</w:t>
            </w:r>
          </w:p>
        </w:tc>
      </w:tr>
      <w:tr w:rsidR="007B73BD" w:rsidRPr="00062EDB">
        <w:trPr>
          <w:trHeight w:val="909"/>
        </w:trPr>
        <w:tc>
          <w:tcPr>
            <w:tcW w:w="2509" w:type="dxa"/>
            <w:vMerge w:val="restart"/>
            <w:shd w:val="clear" w:color="000000" w:fill="FFCC00"/>
            <w:vAlign w:val="center"/>
          </w:tcPr>
          <w:p w:rsidR="007B73BD" w:rsidRPr="00062EDB" w:rsidRDefault="003F6A44" w:rsidP="009F133B">
            <w:pPr>
              <w:spacing w:after="120" w:line="23" w:lineRule="atLeast"/>
              <w:ind w:left="284"/>
              <w:jc w:val="both"/>
              <w:rPr>
                <w:rFonts w:ascii="Foundry Form Sans" w:hAnsi="Foundry Form Sans"/>
                <w:b/>
                <w:bCs/>
                <w:color w:val="000000"/>
              </w:rPr>
            </w:pPr>
            <w:r>
              <w:rPr>
                <w:rFonts w:ascii="Foundry Form Sans" w:hAnsi="Foundry Form Sans"/>
                <w:b/>
                <w:bCs/>
                <w:color w:val="000000"/>
                <w:sz w:val="22"/>
              </w:rPr>
              <w:t xml:space="preserve">C. </w:t>
            </w:r>
            <w:r w:rsidR="007B73BD" w:rsidRPr="00062EDB">
              <w:rPr>
                <w:rFonts w:ascii="Foundry Form Sans" w:hAnsi="Foundry Form Sans"/>
                <w:b/>
                <w:bCs/>
                <w:color w:val="000000"/>
                <w:sz w:val="22"/>
              </w:rPr>
              <w:t>Financial Offer</w:t>
            </w:r>
          </w:p>
        </w:tc>
        <w:tc>
          <w:tcPr>
            <w:tcW w:w="1332" w:type="dxa"/>
            <w:vMerge w:val="restart"/>
            <w:shd w:val="clear" w:color="000000" w:fill="FFCC00"/>
            <w:vAlign w:val="center"/>
          </w:tcPr>
          <w:p w:rsidR="007B73BD" w:rsidRPr="00062EDB" w:rsidRDefault="007B73BD"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40%</w:t>
            </w:r>
          </w:p>
        </w:tc>
        <w:tc>
          <w:tcPr>
            <w:tcW w:w="1292" w:type="dxa"/>
            <w:shd w:val="clear" w:color="000000" w:fill="FFCC00"/>
            <w:vAlign w:val="center"/>
          </w:tcPr>
          <w:p w:rsidR="007B73BD" w:rsidRPr="00062EDB" w:rsidRDefault="007B73BD"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3</w:t>
            </w:r>
            <w:r w:rsidR="00C836CA">
              <w:rPr>
                <w:rFonts w:ascii="Foundry Form Sans" w:hAnsi="Foundry Form Sans"/>
                <w:color w:val="000000"/>
                <w:sz w:val="22"/>
              </w:rPr>
              <w:t>5</w:t>
            </w:r>
            <w:r w:rsidRPr="00062EDB">
              <w:rPr>
                <w:rFonts w:ascii="Foundry Form Sans" w:hAnsi="Foundry Form Sans"/>
                <w:color w:val="000000"/>
                <w:sz w:val="22"/>
              </w:rPr>
              <w:t>%</w:t>
            </w:r>
          </w:p>
        </w:tc>
        <w:tc>
          <w:tcPr>
            <w:tcW w:w="2395" w:type="dxa"/>
            <w:shd w:val="clear" w:color="000000" w:fill="FFCC00"/>
            <w:vAlign w:val="center"/>
          </w:tcPr>
          <w:p w:rsidR="007B73BD" w:rsidRPr="00062EDB" w:rsidRDefault="008B6ECE" w:rsidP="009F133B">
            <w:pPr>
              <w:spacing w:after="120" w:line="23" w:lineRule="atLeast"/>
              <w:ind w:left="284"/>
              <w:jc w:val="both"/>
              <w:rPr>
                <w:rFonts w:ascii="Foundry Form Sans" w:hAnsi="Foundry Form Sans"/>
                <w:color w:val="000000"/>
              </w:rPr>
            </w:pPr>
            <w:r>
              <w:rPr>
                <w:rFonts w:ascii="Foundry Form Sans" w:hAnsi="Foundry Form Sans"/>
                <w:color w:val="000000"/>
                <w:sz w:val="22"/>
              </w:rPr>
              <w:t xml:space="preserve">C.1 </w:t>
            </w:r>
            <w:r w:rsidR="007B73BD" w:rsidRPr="00062EDB">
              <w:rPr>
                <w:rFonts w:ascii="Foundry Form Sans" w:hAnsi="Foundry Form Sans"/>
                <w:color w:val="000000"/>
                <w:sz w:val="22"/>
              </w:rPr>
              <w:t xml:space="preserve">Land </w:t>
            </w:r>
            <w:r w:rsidR="007B73BD">
              <w:rPr>
                <w:rFonts w:ascii="Foundry Form Sans" w:hAnsi="Foundry Form Sans"/>
                <w:color w:val="000000"/>
                <w:sz w:val="22"/>
              </w:rPr>
              <w:t>Price</w:t>
            </w:r>
          </w:p>
        </w:tc>
      </w:tr>
      <w:tr w:rsidR="007B73BD" w:rsidRPr="00062EDB">
        <w:trPr>
          <w:trHeight w:val="909"/>
        </w:trPr>
        <w:tc>
          <w:tcPr>
            <w:tcW w:w="2509" w:type="dxa"/>
            <w:vMerge/>
            <w:shd w:val="clear" w:color="000000" w:fill="FFCC00"/>
            <w:vAlign w:val="center"/>
          </w:tcPr>
          <w:p w:rsidR="007B73BD" w:rsidRPr="00062EDB" w:rsidRDefault="007B73BD" w:rsidP="009F133B">
            <w:pPr>
              <w:spacing w:after="120" w:line="23" w:lineRule="atLeast"/>
              <w:ind w:left="284"/>
              <w:jc w:val="both"/>
              <w:rPr>
                <w:rFonts w:ascii="Foundry Form Sans" w:hAnsi="Foundry Form Sans"/>
                <w:b/>
                <w:bCs/>
                <w:color w:val="000000"/>
                <w:sz w:val="22"/>
              </w:rPr>
            </w:pPr>
          </w:p>
        </w:tc>
        <w:tc>
          <w:tcPr>
            <w:tcW w:w="1332" w:type="dxa"/>
            <w:vMerge/>
            <w:shd w:val="clear" w:color="000000" w:fill="FFCC00"/>
            <w:vAlign w:val="center"/>
          </w:tcPr>
          <w:p w:rsidR="007B73BD" w:rsidRPr="00062EDB" w:rsidRDefault="007B73BD" w:rsidP="009F133B">
            <w:pPr>
              <w:spacing w:after="120" w:line="23" w:lineRule="atLeast"/>
              <w:ind w:left="284"/>
              <w:jc w:val="both"/>
              <w:rPr>
                <w:rFonts w:ascii="Foundry Form Sans" w:hAnsi="Foundry Form Sans"/>
                <w:color w:val="000000"/>
                <w:sz w:val="22"/>
              </w:rPr>
            </w:pPr>
          </w:p>
        </w:tc>
        <w:tc>
          <w:tcPr>
            <w:tcW w:w="1292" w:type="dxa"/>
            <w:shd w:val="clear" w:color="000000" w:fill="FFCC00"/>
            <w:vAlign w:val="center"/>
          </w:tcPr>
          <w:p w:rsidR="007B73BD" w:rsidRPr="00062EDB" w:rsidRDefault="00C836CA" w:rsidP="009F133B">
            <w:pPr>
              <w:spacing w:after="120" w:line="23" w:lineRule="atLeast"/>
              <w:ind w:left="284"/>
              <w:jc w:val="both"/>
              <w:rPr>
                <w:rFonts w:ascii="Foundry Form Sans" w:hAnsi="Foundry Form Sans"/>
                <w:color w:val="000000"/>
                <w:sz w:val="22"/>
              </w:rPr>
            </w:pPr>
            <w:r>
              <w:rPr>
                <w:rFonts w:ascii="Foundry Form Sans" w:hAnsi="Foundry Form Sans"/>
                <w:color w:val="000000"/>
                <w:sz w:val="22"/>
              </w:rPr>
              <w:t>5</w:t>
            </w:r>
            <w:r w:rsidR="007B73BD">
              <w:rPr>
                <w:rFonts w:ascii="Foundry Form Sans" w:hAnsi="Foundry Form Sans"/>
                <w:color w:val="000000"/>
                <w:sz w:val="22"/>
              </w:rPr>
              <w:t>%</w:t>
            </w:r>
          </w:p>
        </w:tc>
        <w:tc>
          <w:tcPr>
            <w:tcW w:w="2395" w:type="dxa"/>
            <w:shd w:val="clear" w:color="000000" w:fill="FFCC00"/>
            <w:vAlign w:val="center"/>
          </w:tcPr>
          <w:p w:rsidR="007B73BD" w:rsidRPr="00062EDB" w:rsidRDefault="008B6ECE" w:rsidP="009F133B">
            <w:pPr>
              <w:spacing w:after="120" w:line="23" w:lineRule="atLeast"/>
              <w:ind w:left="284"/>
              <w:jc w:val="both"/>
              <w:rPr>
                <w:rFonts w:ascii="Foundry Form Sans" w:hAnsi="Foundry Form Sans"/>
                <w:color w:val="000000"/>
                <w:sz w:val="22"/>
              </w:rPr>
            </w:pPr>
            <w:r>
              <w:rPr>
                <w:rFonts w:ascii="Foundry Form Sans" w:hAnsi="Foundry Form Sans"/>
                <w:color w:val="000000"/>
                <w:sz w:val="22"/>
              </w:rPr>
              <w:t xml:space="preserve">C.2 </w:t>
            </w:r>
            <w:r w:rsidR="007B73BD">
              <w:rPr>
                <w:rFonts w:ascii="Foundry Form Sans" w:hAnsi="Foundry Form Sans"/>
                <w:color w:val="000000"/>
                <w:sz w:val="22"/>
              </w:rPr>
              <w:t>Overage Thresholds</w:t>
            </w:r>
          </w:p>
        </w:tc>
      </w:tr>
      <w:tr w:rsidR="00242FB4" w:rsidRPr="00062EDB">
        <w:trPr>
          <w:trHeight w:val="330"/>
        </w:trPr>
        <w:tc>
          <w:tcPr>
            <w:tcW w:w="2509" w:type="dxa"/>
            <w:vAlign w:val="center"/>
          </w:tcPr>
          <w:p w:rsidR="00242FB4" w:rsidRPr="00062EDB" w:rsidRDefault="00242FB4" w:rsidP="009F133B">
            <w:pPr>
              <w:spacing w:after="120" w:line="23" w:lineRule="atLeast"/>
              <w:ind w:left="284"/>
              <w:jc w:val="both"/>
              <w:rPr>
                <w:rFonts w:ascii="Foundry Form Sans" w:hAnsi="Foundry Form Sans"/>
                <w:b/>
                <w:bCs/>
                <w:color w:val="000000"/>
              </w:rPr>
            </w:pPr>
            <w:r w:rsidRPr="00062EDB">
              <w:rPr>
                <w:rFonts w:ascii="Foundry Form Sans" w:hAnsi="Foundry Form Sans"/>
                <w:b/>
                <w:bCs/>
                <w:color w:val="000000"/>
                <w:sz w:val="22"/>
              </w:rPr>
              <w:t>Total</w:t>
            </w:r>
          </w:p>
        </w:tc>
        <w:tc>
          <w:tcPr>
            <w:tcW w:w="1332" w:type="dxa"/>
            <w:vAlign w:val="center"/>
          </w:tcPr>
          <w:p w:rsidR="00242FB4" w:rsidRPr="00062EDB" w:rsidRDefault="00242FB4"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100%</w:t>
            </w:r>
          </w:p>
        </w:tc>
        <w:tc>
          <w:tcPr>
            <w:tcW w:w="1292" w:type="dxa"/>
            <w:vAlign w:val="center"/>
          </w:tcPr>
          <w:p w:rsidR="00242FB4" w:rsidRPr="00062EDB" w:rsidRDefault="00242FB4" w:rsidP="009F133B">
            <w:pPr>
              <w:spacing w:after="120" w:line="23" w:lineRule="atLeast"/>
              <w:ind w:left="284"/>
              <w:jc w:val="both"/>
              <w:rPr>
                <w:rFonts w:ascii="Foundry Form Sans" w:hAnsi="Foundry Form Sans"/>
                <w:color w:val="000000"/>
              </w:rPr>
            </w:pPr>
            <w:r w:rsidRPr="00062EDB">
              <w:rPr>
                <w:rFonts w:ascii="Foundry Form Sans" w:hAnsi="Foundry Form Sans"/>
                <w:color w:val="000000"/>
                <w:sz w:val="22"/>
              </w:rPr>
              <w:t>100%</w:t>
            </w:r>
          </w:p>
        </w:tc>
        <w:tc>
          <w:tcPr>
            <w:tcW w:w="2395" w:type="dxa"/>
            <w:vAlign w:val="center"/>
          </w:tcPr>
          <w:p w:rsidR="00242FB4" w:rsidRPr="00062EDB" w:rsidRDefault="00242FB4" w:rsidP="009F133B">
            <w:pPr>
              <w:spacing w:after="120" w:line="23" w:lineRule="atLeast"/>
              <w:ind w:left="284"/>
              <w:jc w:val="both"/>
              <w:rPr>
                <w:rFonts w:ascii="Foundry Form Sans" w:hAnsi="Foundry Form Sans"/>
                <w:b/>
                <w:bCs/>
                <w:color w:val="000000"/>
              </w:rPr>
            </w:pPr>
            <w:r w:rsidRPr="00062EDB">
              <w:rPr>
                <w:rFonts w:ascii="Foundry Form Sans" w:hAnsi="Foundry Form Sans"/>
                <w:b/>
                <w:bCs/>
                <w:color w:val="000000"/>
                <w:sz w:val="22"/>
              </w:rPr>
              <w:t> </w:t>
            </w:r>
          </w:p>
        </w:tc>
      </w:tr>
    </w:tbl>
    <w:p w:rsidR="00242FB4" w:rsidRDefault="00242FB4" w:rsidP="009F133B">
      <w:pPr>
        <w:spacing w:after="120" w:line="23" w:lineRule="atLeast"/>
        <w:ind w:left="284"/>
        <w:jc w:val="both"/>
        <w:rPr>
          <w:rFonts w:ascii="Foundry Form Sans" w:hAnsi="Foundry Form Sans" w:cs="Arial"/>
          <w:sz w:val="22"/>
          <w:highlight w:val="yellow"/>
        </w:rPr>
      </w:pPr>
    </w:p>
    <w:p w:rsidR="00D32ED3" w:rsidRPr="00062EDB" w:rsidRDefault="00D32ED3" w:rsidP="009F133B">
      <w:pPr>
        <w:pStyle w:val="BodyText"/>
        <w:numPr>
          <w:ilvl w:val="1"/>
          <w:numId w:val="42"/>
        </w:numPr>
        <w:spacing w:after="120" w:line="23" w:lineRule="atLeast"/>
        <w:ind w:left="284"/>
        <w:jc w:val="both"/>
        <w:rPr>
          <w:rFonts w:ascii="Foundry Form Sans" w:hAnsi="Foundry Form Sans" w:cs="Arial"/>
          <w:b/>
        </w:rPr>
      </w:pPr>
      <w:r>
        <w:rPr>
          <w:rFonts w:ascii="Foundry Form Sans" w:hAnsi="Foundry Form Sans" w:cs="Arial"/>
          <w:b/>
        </w:rPr>
        <w:t>Ev</w:t>
      </w:r>
      <w:r w:rsidRPr="00062EDB">
        <w:rPr>
          <w:rFonts w:ascii="Foundry Form Sans" w:hAnsi="Foundry Form Sans" w:cs="Arial"/>
          <w:b/>
        </w:rPr>
        <w:t xml:space="preserve">aluation </w:t>
      </w:r>
      <w:r>
        <w:rPr>
          <w:rFonts w:ascii="Foundry Form Sans" w:hAnsi="Foundry Form Sans" w:cs="Arial"/>
          <w:b/>
        </w:rPr>
        <w:t>methodology</w:t>
      </w:r>
      <w:r w:rsidRPr="00062EDB">
        <w:rPr>
          <w:rFonts w:ascii="Foundry Form Sans" w:hAnsi="Foundry Form Sans" w:cs="Arial"/>
          <w:b/>
        </w:rPr>
        <w:t xml:space="preserve"> </w:t>
      </w:r>
      <w:r>
        <w:rPr>
          <w:rFonts w:ascii="Foundry Form Sans" w:hAnsi="Foundry Form Sans" w:cs="Arial"/>
          <w:b/>
        </w:rPr>
        <w:t xml:space="preserve">for Quality and Commercial factors </w:t>
      </w:r>
    </w:p>
    <w:p w:rsidR="00D32ED3" w:rsidRDefault="00D32ED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The analysis of the Quality and Commercial factors (60% of the overall score) will be carried out in accordance with the evaluation matrix below. </w:t>
      </w:r>
    </w:p>
    <w:tbl>
      <w:tblPr>
        <w:tblW w:w="5000" w:type="pct"/>
        <w:tblCellSpacing w:w="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49"/>
        <w:gridCol w:w="2026"/>
        <w:gridCol w:w="6285"/>
      </w:tblGrid>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lastRenderedPageBreak/>
              <w:t>Score</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Classification</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Definition</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0</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b/>
                <w:bCs/>
                <w:sz w:val="22"/>
                <w:szCs w:val="22"/>
              </w:rPr>
            </w:pPr>
            <w:r w:rsidRPr="00F27EDC">
              <w:rPr>
                <w:rFonts w:ascii="Foundry Form Sans" w:hAnsi="Foundry Form Sans"/>
                <w:b/>
                <w:bCs/>
                <w:sz w:val="22"/>
                <w:szCs w:val="22"/>
              </w:rPr>
              <w:t xml:space="preserve">Unacceptable response </w:t>
            </w:r>
          </w:p>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(failure in all significant areas) </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Completely unacceptable submission which fails in all significant areas and/or fails to provide any detail or evidence of the Bidder’s ability to meet the objectives and/or deliver the requirements and/or the response is incomprehensible.</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1</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b/>
                <w:bCs/>
                <w:sz w:val="22"/>
                <w:szCs w:val="22"/>
              </w:rPr>
              <w:t>Unsatisfactory response</w:t>
            </w:r>
            <w:r w:rsidRPr="00F27EDC">
              <w:rPr>
                <w:rFonts w:ascii="Foundry Form Sans" w:hAnsi="Foundry Form Sans"/>
                <w:sz w:val="22"/>
                <w:szCs w:val="22"/>
              </w:rPr>
              <w:t xml:space="preserve"> </w:t>
            </w:r>
          </w:p>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(potential for some compliance but very major areas of weakness)</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Substantially unsatisfactory submission which fails in several significant areas to set out a solution that addresses and meets the requirements: little or no detail may (and, where evidence is required or necessary, little or no evidence) have been provided to support and demonstrate that the Bidder will be able to meet the objectives and/or considerable reservations as to the Bidder’s understanding of and/or the extent to which the proposals will deliver the requirements. </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2</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b/>
                <w:bCs/>
                <w:sz w:val="22"/>
                <w:szCs w:val="22"/>
              </w:rPr>
            </w:pPr>
            <w:r w:rsidRPr="00F27EDC">
              <w:rPr>
                <w:rFonts w:ascii="Foundry Form Sans" w:hAnsi="Foundry Form Sans"/>
                <w:b/>
                <w:bCs/>
                <w:sz w:val="22"/>
                <w:szCs w:val="22"/>
              </w:rPr>
              <w:t xml:space="preserve">Partially acceptable response </w:t>
            </w:r>
          </w:p>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(one or more areas of major weakness)</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Weak submission which does not set out a solution that fully addresses and meets the requirements: response may be basic, with limited detail (and, where evidence is required or necessary, with insufficient evidence) provided to support the solution and demonstrate that the Bidder will be able to meet the objectives and/or some reservations as to the Bidder’s understanding of and/or the extent to which the proposals will deliver the requirements. </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3</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b/>
                <w:bCs/>
                <w:sz w:val="22"/>
                <w:szCs w:val="22"/>
              </w:rPr>
              <w:t>Satisfactory and acceptable response</w:t>
            </w:r>
            <w:r w:rsidRPr="00F27EDC">
              <w:rPr>
                <w:rFonts w:ascii="Foundry Form Sans" w:hAnsi="Foundry Form Sans"/>
                <w:sz w:val="22"/>
                <w:szCs w:val="22"/>
              </w:rPr>
              <w:t xml:space="preserve"> (substantial compliance with no major concerns)</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Submission sets out a solution that largely addresses and meets the requirements, with some detail (or, where evidence is required or necessary, some relevant evidence) provided to support the solution; minor reservations as to the Bidder’s understanding of and/or the extent to which the proposals will deliver the requirements or weakness in a few areas of the solution. </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4</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b/>
                <w:bCs/>
                <w:sz w:val="22"/>
                <w:szCs w:val="22"/>
              </w:rPr>
            </w:pPr>
            <w:r w:rsidRPr="00F27EDC">
              <w:rPr>
                <w:rFonts w:ascii="Foundry Form Sans" w:hAnsi="Foundry Form Sans"/>
                <w:b/>
                <w:bCs/>
                <w:sz w:val="22"/>
                <w:szCs w:val="22"/>
              </w:rPr>
              <w:t xml:space="preserve">Fully satisfactory /very good response </w:t>
            </w:r>
          </w:p>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(fully compliant with requirements).</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Submission sets out a robust solution that fully addresses and meets the requirements, with full details (and, where evidence is required or necessary, full and relevant evidence) provided to support the solution; provides full confidence as to the Bidder’s understanding of the requirements and that the proposals will deliver the requirements. </w:t>
            </w:r>
          </w:p>
        </w:tc>
      </w:tr>
      <w:tr w:rsidR="00D32ED3" w:rsidRPr="00F27EDC" w:rsidTr="00081B38">
        <w:trPr>
          <w:tblCellSpacing w:w="0" w:type="dxa"/>
        </w:trPr>
        <w:tc>
          <w:tcPr>
            <w:tcW w:w="40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5</w:t>
            </w:r>
          </w:p>
        </w:tc>
        <w:tc>
          <w:tcPr>
            <w:tcW w:w="1147" w:type="pct"/>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b/>
                <w:bCs/>
                <w:sz w:val="22"/>
                <w:szCs w:val="22"/>
              </w:rPr>
              <w:t>Outstanding response</w:t>
            </w:r>
            <w:r w:rsidRPr="00F27EDC">
              <w:rPr>
                <w:rFonts w:ascii="Foundry Form Sans" w:hAnsi="Foundry Form Sans"/>
                <w:sz w:val="22"/>
                <w:szCs w:val="22"/>
              </w:rPr>
              <w:t xml:space="preserve"> (fully compliant, with some areas exceeding requirements)</w:t>
            </w:r>
          </w:p>
        </w:tc>
        <w:tc>
          <w:tcPr>
            <w:tcW w:w="0" w:type="auto"/>
            <w:tcBorders>
              <w:top w:val="single" w:sz="8" w:space="0" w:color="auto"/>
              <w:left w:val="single" w:sz="8" w:space="0" w:color="auto"/>
              <w:bottom w:val="single" w:sz="8" w:space="0" w:color="auto"/>
              <w:right w:val="single" w:sz="8" w:space="0" w:color="auto"/>
            </w:tcBorders>
            <w:tcMar>
              <w:top w:w="75" w:type="dxa"/>
              <w:left w:w="75" w:type="dxa"/>
              <w:bottom w:w="75" w:type="dxa"/>
              <w:right w:w="75" w:type="dxa"/>
            </w:tcMar>
            <w:hideMark/>
          </w:tcPr>
          <w:p w:rsidR="00D32ED3" w:rsidRPr="00F27EDC" w:rsidRDefault="00D32ED3" w:rsidP="009F133B">
            <w:pPr>
              <w:ind w:left="284"/>
              <w:jc w:val="both"/>
              <w:rPr>
                <w:rFonts w:ascii="Foundry Form Sans" w:eastAsiaTheme="minorHAnsi" w:hAnsi="Foundry Form Sans"/>
                <w:sz w:val="22"/>
                <w:szCs w:val="22"/>
              </w:rPr>
            </w:pPr>
            <w:r w:rsidRPr="00F27EDC">
              <w:rPr>
                <w:rFonts w:ascii="Foundry Form Sans" w:hAnsi="Foundry Form Sans"/>
                <w:sz w:val="22"/>
                <w:szCs w:val="22"/>
              </w:rPr>
              <w:t xml:space="preserve">Submission sets out a robust solution (as for a 4 score – above) and, in addition, provides or proposes additional value and/or elements of the solution which exceed the requirements in substance and outcomes in a manner acceptable to the GLA; the proposals and the evidence submitted in support of those proposals not only provides full confidence as to the Bidder’s understanding of the requirements and that the proposals will deliver the requirements but that these requirements will be exceeded. </w:t>
            </w:r>
          </w:p>
        </w:tc>
      </w:tr>
    </w:tbl>
    <w:p w:rsidR="00D32ED3" w:rsidRDefault="00D32ED3" w:rsidP="009F133B">
      <w:pPr>
        <w:pStyle w:val="-Text"/>
        <w:tabs>
          <w:tab w:val="clear" w:pos="709"/>
        </w:tabs>
        <w:ind w:left="284" w:firstLine="0"/>
        <w:rPr>
          <w:rFonts w:ascii="Foundry Form Sans" w:hAnsi="Foundry Form Sans" w:cs="Arial"/>
          <w:noProof w:val="0"/>
          <w:sz w:val="22"/>
          <w:szCs w:val="22"/>
        </w:rPr>
      </w:pPr>
    </w:p>
    <w:p w:rsidR="00D32ED3" w:rsidRDefault="00D32ED3" w:rsidP="009F133B">
      <w:pPr>
        <w:pStyle w:val="-Text"/>
        <w:tabs>
          <w:tab w:val="clear" w:pos="709"/>
        </w:tabs>
        <w:ind w:left="284" w:firstLine="0"/>
        <w:rPr>
          <w:rFonts w:ascii="Foundry Form Sans" w:hAnsi="Foundry Form Sans" w:cs="Arial"/>
          <w:noProof w:val="0"/>
          <w:sz w:val="22"/>
          <w:szCs w:val="22"/>
        </w:rPr>
      </w:pPr>
    </w:p>
    <w:p w:rsidR="00174388" w:rsidRPr="00F77563" w:rsidRDefault="00174388" w:rsidP="009F133B">
      <w:pPr>
        <w:spacing w:after="120" w:line="23" w:lineRule="atLeast"/>
        <w:ind w:left="284"/>
        <w:jc w:val="both"/>
        <w:rPr>
          <w:rFonts w:ascii="Foundry Form Sans" w:hAnsi="Foundry Form Sans" w:cs="Arial"/>
          <w:b/>
          <w:sz w:val="22"/>
          <w:highlight w:val="yellow"/>
        </w:rPr>
      </w:pPr>
    </w:p>
    <w:p w:rsidR="00174388" w:rsidRPr="002A6358" w:rsidRDefault="00174388" w:rsidP="009F133B">
      <w:pPr>
        <w:pStyle w:val="BodyText"/>
        <w:numPr>
          <w:ilvl w:val="1"/>
          <w:numId w:val="42"/>
        </w:numPr>
        <w:spacing w:after="120" w:line="23" w:lineRule="atLeast"/>
        <w:ind w:left="284"/>
        <w:jc w:val="both"/>
        <w:rPr>
          <w:rFonts w:ascii="Foundry Form Sans" w:hAnsi="Foundry Form Sans" w:cs="Arial"/>
          <w:b/>
        </w:rPr>
      </w:pPr>
      <w:r w:rsidRPr="006F061D">
        <w:rPr>
          <w:rFonts w:ascii="Foundry Form Sans" w:hAnsi="Foundry Form Sans" w:cs="Arial"/>
          <w:b/>
        </w:rPr>
        <w:t>Evaluation</w:t>
      </w:r>
      <w:r w:rsidRPr="002A6358">
        <w:rPr>
          <w:rFonts w:ascii="Foundry Form Sans" w:hAnsi="Foundry Form Sans" w:cs="Arial"/>
          <w:b/>
        </w:rPr>
        <w:t xml:space="preserve"> </w:t>
      </w:r>
      <w:r w:rsidR="00D32ED3">
        <w:rPr>
          <w:rFonts w:ascii="Foundry Form Sans" w:hAnsi="Foundry Form Sans" w:cs="Arial"/>
          <w:b/>
        </w:rPr>
        <w:t>m</w:t>
      </w:r>
      <w:r w:rsidRPr="002A6358">
        <w:rPr>
          <w:rFonts w:ascii="Foundry Form Sans" w:hAnsi="Foundry Form Sans" w:cs="Arial"/>
          <w:b/>
        </w:rPr>
        <w:t xml:space="preserve">ethodology for the </w:t>
      </w:r>
      <w:r w:rsidR="00D32ED3">
        <w:rPr>
          <w:rFonts w:ascii="Foundry Form Sans" w:hAnsi="Foundry Form Sans" w:cs="Arial"/>
          <w:b/>
        </w:rPr>
        <w:t>F</w:t>
      </w:r>
      <w:r w:rsidRPr="002A6358">
        <w:rPr>
          <w:rFonts w:ascii="Foundry Form Sans" w:hAnsi="Foundry Form Sans" w:cs="Arial"/>
          <w:b/>
        </w:rPr>
        <w:t xml:space="preserve">inancial </w:t>
      </w:r>
      <w:r w:rsidR="00D32ED3">
        <w:rPr>
          <w:rFonts w:ascii="Foundry Form Sans" w:hAnsi="Foundry Form Sans" w:cs="Arial"/>
          <w:b/>
        </w:rPr>
        <w:t>O</w:t>
      </w:r>
      <w:r w:rsidRPr="002A6358">
        <w:rPr>
          <w:rFonts w:ascii="Foundry Form Sans" w:hAnsi="Foundry Form Sans" w:cs="Arial"/>
          <w:b/>
        </w:rPr>
        <w:t>ffer</w:t>
      </w:r>
    </w:p>
    <w:p w:rsidR="00F77563" w:rsidRDefault="00F77563" w:rsidP="009F133B">
      <w:pPr>
        <w:spacing w:after="120" w:line="23" w:lineRule="atLeast"/>
        <w:ind w:left="284"/>
        <w:jc w:val="both"/>
        <w:rPr>
          <w:rFonts w:ascii="Foundry Form Sans" w:hAnsi="Foundry Form Sans" w:cs="Arial"/>
          <w:sz w:val="22"/>
          <w:highlight w:val="yellow"/>
        </w:rPr>
      </w:pPr>
    </w:p>
    <w:p w:rsidR="00F77563" w:rsidRDefault="00F77563"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The analysis of the </w:t>
      </w:r>
      <w:r w:rsidR="00D32ED3">
        <w:rPr>
          <w:rFonts w:ascii="Foundry Form Sans" w:hAnsi="Foundry Form Sans" w:cs="Arial"/>
          <w:szCs w:val="24"/>
        </w:rPr>
        <w:t>F</w:t>
      </w:r>
      <w:r>
        <w:rPr>
          <w:rFonts w:ascii="Foundry Form Sans" w:hAnsi="Foundry Form Sans" w:cs="Arial"/>
          <w:szCs w:val="24"/>
        </w:rPr>
        <w:t xml:space="preserve">inancial </w:t>
      </w:r>
      <w:r w:rsidR="00D32ED3">
        <w:rPr>
          <w:rFonts w:ascii="Foundry Form Sans" w:hAnsi="Foundry Form Sans" w:cs="Arial"/>
          <w:szCs w:val="24"/>
        </w:rPr>
        <w:t>O</w:t>
      </w:r>
      <w:r>
        <w:rPr>
          <w:rFonts w:ascii="Foundry Form Sans" w:hAnsi="Foundry Form Sans" w:cs="Arial"/>
          <w:szCs w:val="24"/>
        </w:rPr>
        <w:t>ffer (40% of the overall score) of each tender submission will involve:</w:t>
      </w:r>
    </w:p>
    <w:p w:rsidR="00D32ED3" w:rsidRDefault="00D32ED3" w:rsidP="009F133B">
      <w:pPr>
        <w:pStyle w:val="-Text"/>
        <w:ind w:left="284" w:firstLine="0"/>
        <w:textAlignment w:val="auto"/>
        <w:rPr>
          <w:rFonts w:ascii="Foundry Form Sans" w:hAnsi="Foundry Form Sans" w:cs="Arial"/>
        </w:rPr>
      </w:pPr>
    </w:p>
    <w:p w:rsidR="00F77563"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F77563" w:rsidRPr="00503B0A">
        <w:rPr>
          <w:rFonts w:ascii="Foundry Form Sans" w:hAnsi="Foundry Form Sans" w:cs="Arial"/>
          <w:szCs w:val="24"/>
        </w:rPr>
        <w:t>Completing a comparative analysis of each financial offer, including an evaluation of their proposed sales values, construction costs, land value, overheads and profit etc.</w:t>
      </w:r>
      <w:r w:rsidR="00D32ED3" w:rsidRPr="00503B0A">
        <w:rPr>
          <w:rFonts w:ascii="Foundry Form Sans" w:hAnsi="Foundry Form Sans" w:cs="Arial"/>
          <w:szCs w:val="24"/>
        </w:rPr>
        <w:t>;</w:t>
      </w:r>
    </w:p>
    <w:p w:rsidR="00F77563"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F77563" w:rsidRPr="00503B0A">
        <w:rPr>
          <w:rFonts w:ascii="Foundry Form Sans" w:hAnsi="Foundry Form Sans" w:cs="Arial"/>
          <w:szCs w:val="24"/>
        </w:rPr>
        <w:t xml:space="preserve">The financial evaluation will assess each tender based on the total Net Present Value of the fixed/guaranteed deferred payments and will then consider </w:t>
      </w:r>
      <w:r w:rsidR="00FF3BCE" w:rsidRPr="00503B0A">
        <w:rPr>
          <w:rFonts w:ascii="Foundry Form Sans" w:hAnsi="Foundry Form Sans" w:cs="Arial"/>
          <w:szCs w:val="24"/>
        </w:rPr>
        <w:t>separately</w:t>
      </w:r>
      <w:r w:rsidR="00F77563" w:rsidRPr="00503B0A">
        <w:rPr>
          <w:rFonts w:ascii="Foundry Form Sans" w:hAnsi="Foundry Form Sans" w:cs="Arial"/>
          <w:szCs w:val="24"/>
        </w:rPr>
        <w:t xml:space="preserve"> the overage thresholds</w:t>
      </w:r>
      <w:r w:rsidR="00D32ED3" w:rsidRPr="00503B0A">
        <w:rPr>
          <w:rFonts w:ascii="Foundry Form Sans" w:hAnsi="Foundry Form Sans" w:cs="Arial"/>
          <w:szCs w:val="24"/>
        </w:rPr>
        <w:t>;</w:t>
      </w:r>
    </w:p>
    <w:p w:rsidR="00F77563"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F77563" w:rsidRPr="00503B0A">
        <w:rPr>
          <w:rFonts w:ascii="Foundry Form Sans" w:hAnsi="Foundry Form Sans" w:cs="Arial"/>
          <w:szCs w:val="24"/>
        </w:rPr>
        <w:t xml:space="preserve">The approach to scoring the financial offer will be formula based as set out in the detailed </w:t>
      </w:r>
      <w:r w:rsidR="00D32ED3" w:rsidRPr="00503B0A">
        <w:rPr>
          <w:rFonts w:ascii="Foundry Form Sans" w:hAnsi="Foundry Form Sans" w:cs="Arial"/>
          <w:szCs w:val="24"/>
        </w:rPr>
        <w:t xml:space="preserve">financial </w:t>
      </w:r>
      <w:r w:rsidR="00F77563" w:rsidRPr="00503B0A">
        <w:rPr>
          <w:rFonts w:ascii="Foundry Form Sans" w:hAnsi="Foundry Form Sans" w:cs="Arial"/>
          <w:szCs w:val="24"/>
        </w:rPr>
        <w:t>evaluation matrix below</w:t>
      </w:r>
      <w:r w:rsidR="00D32ED3" w:rsidRPr="00503B0A">
        <w:rPr>
          <w:rFonts w:ascii="Foundry Form Sans" w:hAnsi="Foundry Form Sans" w:cs="Arial"/>
          <w:szCs w:val="24"/>
        </w:rPr>
        <w:t>;</w:t>
      </w:r>
    </w:p>
    <w:p w:rsidR="00F77563" w:rsidRPr="00503B0A" w:rsidRDefault="00503B0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 xml:space="preserve">- </w:t>
      </w:r>
      <w:r w:rsidR="00F77563" w:rsidRPr="00503B0A">
        <w:rPr>
          <w:rFonts w:ascii="Foundry Form Sans" w:hAnsi="Foundry Form Sans" w:cs="Arial"/>
          <w:szCs w:val="24"/>
        </w:rPr>
        <w:t>The overages will be reviewed and scored based on the most advantageous threshold or payment amount</w:t>
      </w:r>
      <w:r w:rsidR="00D32ED3" w:rsidRPr="00503B0A">
        <w:rPr>
          <w:rFonts w:ascii="Foundry Form Sans" w:hAnsi="Foundry Form Sans" w:cs="Arial"/>
          <w:szCs w:val="24"/>
        </w:rPr>
        <w:t>.</w:t>
      </w:r>
    </w:p>
    <w:p w:rsidR="00F77563" w:rsidRDefault="00F77563" w:rsidP="009F133B">
      <w:pPr>
        <w:pStyle w:val="-Text"/>
        <w:ind w:left="284" w:firstLine="680"/>
        <w:rPr>
          <w:rFonts w:ascii="Foundry Form Sans" w:hAnsi="Foundry Form Sans" w:cs="Arial"/>
          <w:b/>
          <w:noProof w:val="0"/>
          <w:szCs w:val="24"/>
        </w:rPr>
      </w:pPr>
    </w:p>
    <w:p w:rsidR="00F77563" w:rsidRDefault="00F77563" w:rsidP="009F133B">
      <w:pPr>
        <w:pStyle w:val="-Text"/>
        <w:ind w:left="284" w:firstLine="680"/>
        <w:rPr>
          <w:rFonts w:ascii="Foundry Form Sans" w:hAnsi="Foundry Form Sans" w:cs="Arial"/>
          <w:b/>
          <w:noProof w:val="0"/>
          <w:szCs w:val="24"/>
        </w:rPr>
      </w:pPr>
    </w:p>
    <w:p w:rsidR="00F77563" w:rsidRDefault="00F77563" w:rsidP="009F133B">
      <w:pPr>
        <w:pStyle w:val="-Text"/>
        <w:ind w:left="284" w:firstLine="0"/>
        <w:rPr>
          <w:rFonts w:ascii="Foundry Form Sans" w:hAnsi="Foundry Form Sans" w:cs="Arial"/>
          <w:noProof w:val="0"/>
          <w:szCs w:val="24"/>
        </w:rPr>
      </w:pPr>
    </w:p>
    <w:p w:rsidR="00F77563" w:rsidRDefault="00F77563" w:rsidP="009F133B">
      <w:pPr>
        <w:pStyle w:val="-Text"/>
        <w:ind w:left="284" w:firstLine="0"/>
        <w:rPr>
          <w:rFonts w:ascii="Foundry Form Sans" w:hAnsi="Foundry Form Sans" w:cs="Arial"/>
          <w:noProof w:val="0"/>
          <w:szCs w:val="24"/>
        </w:rPr>
      </w:pPr>
    </w:p>
    <w:p w:rsidR="00F77563" w:rsidRDefault="00F77563" w:rsidP="009F133B">
      <w:pPr>
        <w:ind w:left="284"/>
        <w:jc w:val="both"/>
        <w:rPr>
          <w:rStyle w:val="Heading1Char"/>
          <w:bCs w:val="0"/>
        </w:rPr>
        <w:sectPr w:rsidR="00F77563" w:rsidSect="009F133B">
          <w:type w:val="continuous"/>
          <w:pgSz w:w="11906" w:h="16838"/>
          <w:pgMar w:top="1440" w:right="1418" w:bottom="1440" w:left="1418" w:header="709" w:footer="709" w:gutter="0"/>
          <w:paperSrc w:first="264" w:other="264"/>
          <w:cols w:space="720"/>
          <w:docGrid w:linePitch="326"/>
        </w:sectPr>
      </w:pPr>
    </w:p>
    <w:p w:rsidR="00F77563" w:rsidRDefault="00F77563" w:rsidP="009F133B">
      <w:pPr>
        <w:pStyle w:val="Heading3"/>
        <w:pBdr>
          <w:bottom w:val="single" w:sz="4" w:space="1" w:color="auto"/>
        </w:pBdr>
        <w:ind w:left="284"/>
        <w:jc w:val="both"/>
        <w:rPr>
          <w:rStyle w:val="Heading1Char"/>
          <w:bCs/>
        </w:rPr>
      </w:pPr>
      <w:bookmarkStart w:id="14" w:name="_Toc348523360"/>
      <w:r>
        <w:rPr>
          <w:rStyle w:val="Heading1Char"/>
        </w:rPr>
        <w:lastRenderedPageBreak/>
        <w:t>EVALUATION METHODOLOGY &amp; CRITERIA</w:t>
      </w:r>
      <w:bookmarkEnd w:id="14"/>
    </w:p>
    <w:p w:rsidR="00F77563" w:rsidRDefault="00F77563" w:rsidP="009F133B">
      <w:pPr>
        <w:pStyle w:val="Body"/>
        <w:tabs>
          <w:tab w:val="clear" w:pos="851"/>
          <w:tab w:val="clear" w:pos="1843"/>
        </w:tabs>
        <w:spacing w:after="0" w:line="240" w:lineRule="auto"/>
        <w:ind w:left="284"/>
      </w:pPr>
    </w:p>
    <w:p w:rsidR="00F77563" w:rsidRDefault="00F77563" w:rsidP="009F133B">
      <w:pPr>
        <w:ind w:left="284"/>
        <w:jc w:val="both"/>
        <w:rPr>
          <w:rFonts w:ascii="Foundry Form Sans" w:hAnsi="Foundry Form Sans" w:cs="Arial"/>
          <w:sz w:val="22"/>
          <w:szCs w:val="20"/>
          <w:highlight w:val="yellow"/>
        </w:rPr>
      </w:pPr>
      <w:bookmarkStart w:id="15" w:name="_NN128"/>
      <w:bookmarkEnd w:id="15"/>
    </w:p>
    <w:p w:rsidR="00F77563" w:rsidRDefault="00F77563" w:rsidP="009F133B">
      <w:pPr>
        <w:ind w:left="284"/>
        <w:jc w:val="both"/>
        <w:rPr>
          <w:rFonts w:ascii="Foundry Form Sans" w:hAnsi="Foundry Form Sans" w:cs="Arial"/>
          <w:sz w:val="22"/>
          <w:szCs w:val="20"/>
          <w:highlight w:val="yellow"/>
        </w:rPr>
      </w:pPr>
    </w:p>
    <w:p w:rsidR="00F77563" w:rsidRDefault="00F77563" w:rsidP="009F133B">
      <w:pPr>
        <w:ind w:left="284"/>
        <w:jc w:val="both"/>
        <w:rPr>
          <w:rFonts w:ascii="Foundry Form Sans" w:hAnsi="Foundry Form Sans"/>
          <w:b/>
          <w:sz w:val="28"/>
        </w:rPr>
      </w:pPr>
      <w:r>
        <w:rPr>
          <w:rFonts w:ascii="Foundry Form Sans" w:hAnsi="Foundry Form Sans"/>
          <w:b/>
          <w:sz w:val="28"/>
        </w:rPr>
        <w:t>Section C – Financial Offer (40% of Overall Score)</w:t>
      </w:r>
    </w:p>
    <w:p w:rsidR="00F77563" w:rsidRDefault="00F77563" w:rsidP="009F133B">
      <w:pPr>
        <w:ind w:left="284"/>
        <w:jc w:val="both"/>
        <w:rPr>
          <w:rFonts w:ascii="Foundry Form Sans" w:hAnsi="Foundry Form Sans"/>
          <w:b/>
          <w:sz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7"/>
        <w:gridCol w:w="1030"/>
        <w:gridCol w:w="1488"/>
        <w:gridCol w:w="4177"/>
        <w:gridCol w:w="5168"/>
      </w:tblGrid>
      <w:tr w:rsidR="00F77563" w:rsidTr="00F77563">
        <w:trPr>
          <w:trHeight w:val="274"/>
          <w:tblHeader/>
        </w:trPr>
        <w:tc>
          <w:tcPr>
            <w:tcW w:w="2490" w:type="dxa"/>
            <w:tcBorders>
              <w:top w:val="nil"/>
              <w:left w:val="single" w:sz="4" w:space="0" w:color="auto"/>
              <w:bottom w:val="single" w:sz="4" w:space="0" w:color="auto"/>
              <w:right w:val="single" w:sz="4" w:space="0" w:color="auto"/>
            </w:tcBorders>
            <w:shd w:val="clear" w:color="auto" w:fill="000000"/>
            <w:hideMark/>
          </w:tcPr>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 xml:space="preserve">Project Delivery  </w:t>
            </w:r>
          </w:p>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Sub-Criteria (and details of requirements tested)</w:t>
            </w:r>
          </w:p>
        </w:tc>
        <w:tc>
          <w:tcPr>
            <w:tcW w:w="955" w:type="dxa"/>
            <w:tcBorders>
              <w:top w:val="nil"/>
              <w:left w:val="single" w:sz="4" w:space="0" w:color="auto"/>
              <w:bottom w:val="single" w:sz="4" w:space="0" w:color="auto"/>
              <w:right w:val="single" w:sz="4" w:space="0" w:color="auto"/>
            </w:tcBorders>
            <w:shd w:val="clear" w:color="auto" w:fill="000000"/>
            <w:hideMark/>
          </w:tcPr>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 xml:space="preserve">Max Score </w:t>
            </w:r>
          </w:p>
        </w:tc>
        <w:tc>
          <w:tcPr>
            <w:tcW w:w="1114" w:type="dxa"/>
            <w:tcBorders>
              <w:top w:val="nil"/>
              <w:left w:val="single" w:sz="4" w:space="0" w:color="auto"/>
              <w:bottom w:val="single" w:sz="4" w:space="0" w:color="auto"/>
              <w:right w:val="single" w:sz="4" w:space="0" w:color="auto"/>
            </w:tcBorders>
            <w:shd w:val="clear" w:color="auto" w:fill="000000"/>
            <w:hideMark/>
          </w:tcPr>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Weighting</w:t>
            </w:r>
          </w:p>
        </w:tc>
        <w:tc>
          <w:tcPr>
            <w:tcW w:w="4187" w:type="dxa"/>
            <w:tcBorders>
              <w:top w:val="nil"/>
              <w:left w:val="single" w:sz="4" w:space="0" w:color="auto"/>
              <w:bottom w:val="single" w:sz="4" w:space="0" w:color="auto"/>
              <w:right w:val="single" w:sz="4" w:space="0" w:color="auto"/>
            </w:tcBorders>
            <w:shd w:val="clear" w:color="auto" w:fill="000000"/>
            <w:hideMark/>
          </w:tcPr>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 xml:space="preserve">Minimum Response Required </w:t>
            </w:r>
          </w:p>
        </w:tc>
        <w:tc>
          <w:tcPr>
            <w:tcW w:w="5178" w:type="dxa"/>
            <w:tcBorders>
              <w:top w:val="nil"/>
              <w:left w:val="single" w:sz="4" w:space="0" w:color="auto"/>
              <w:bottom w:val="single" w:sz="4" w:space="0" w:color="auto"/>
              <w:right w:val="single" w:sz="4" w:space="0" w:color="auto"/>
            </w:tcBorders>
            <w:shd w:val="clear" w:color="auto" w:fill="000000"/>
            <w:hideMark/>
          </w:tcPr>
          <w:p w:rsidR="00F77563" w:rsidRDefault="00F77563" w:rsidP="009F133B">
            <w:pPr>
              <w:widowControl w:val="0"/>
              <w:ind w:left="284"/>
              <w:jc w:val="both"/>
              <w:rPr>
                <w:rFonts w:ascii="Foundry Form Sans" w:hAnsi="Foundry Form Sans" w:cs="Arial"/>
                <w:b/>
                <w:bCs/>
                <w:color w:val="FFFFFF"/>
                <w:sz w:val="22"/>
                <w:szCs w:val="20"/>
              </w:rPr>
            </w:pPr>
            <w:r>
              <w:rPr>
                <w:rFonts w:ascii="Foundry Form Sans" w:hAnsi="Foundry Form Sans" w:cs="Arial"/>
                <w:b/>
                <w:bCs/>
                <w:color w:val="FFFFFF"/>
                <w:sz w:val="22"/>
                <w:szCs w:val="20"/>
              </w:rPr>
              <w:t>Background / Explanatory Notes</w:t>
            </w:r>
          </w:p>
        </w:tc>
      </w:tr>
      <w:tr w:rsidR="00F77563" w:rsidTr="00F77563">
        <w:trPr>
          <w:trHeight w:val="1337"/>
        </w:trPr>
        <w:tc>
          <w:tcPr>
            <w:tcW w:w="2490"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b/>
                <w:sz w:val="22"/>
                <w:szCs w:val="20"/>
              </w:rPr>
            </w:pPr>
          </w:p>
          <w:p w:rsidR="00F77563" w:rsidRDefault="00F77563" w:rsidP="009F133B">
            <w:pPr>
              <w:ind w:left="284"/>
              <w:jc w:val="both"/>
              <w:rPr>
                <w:rFonts w:ascii="Foundry Form Sans" w:hAnsi="Foundry Form Sans" w:cs="Arial"/>
                <w:b/>
                <w:sz w:val="22"/>
                <w:szCs w:val="20"/>
              </w:rPr>
            </w:pPr>
            <w:r>
              <w:rPr>
                <w:rFonts w:ascii="Foundry Form Sans" w:hAnsi="Foundry Form Sans" w:cs="Arial"/>
                <w:b/>
                <w:sz w:val="22"/>
                <w:szCs w:val="20"/>
              </w:rPr>
              <w:t>Level of financial offer to the GLA</w:t>
            </w:r>
          </w:p>
          <w:p w:rsidR="00F77563" w:rsidRDefault="00F77563" w:rsidP="009F133B">
            <w:pPr>
              <w:ind w:left="284"/>
              <w:jc w:val="both"/>
              <w:rPr>
                <w:rFonts w:ascii="Foundry Form Sans" w:hAnsi="Foundry Form Sans" w:cs="Arial"/>
                <w:b/>
                <w:sz w:val="22"/>
                <w:szCs w:val="20"/>
              </w:rPr>
            </w:pPr>
          </w:p>
          <w:p w:rsidR="00F77563" w:rsidRDefault="00F77563" w:rsidP="009F133B">
            <w:pPr>
              <w:ind w:left="284"/>
              <w:jc w:val="both"/>
              <w:rPr>
                <w:rFonts w:ascii="Foundry Form Sans" w:hAnsi="Foundry Form Sans" w:cs="Foundry Form Sans"/>
                <w:sz w:val="22"/>
                <w:szCs w:val="20"/>
              </w:rPr>
            </w:pPr>
            <w:r>
              <w:rPr>
                <w:rFonts w:ascii="Foundry Form Sans" w:hAnsi="Foundry Form Sans" w:cs="Arial"/>
                <w:sz w:val="22"/>
                <w:szCs w:val="20"/>
              </w:rPr>
              <w:t>Net Present Value of capital receipt(s) to the GLA.</w:t>
            </w:r>
          </w:p>
        </w:tc>
        <w:tc>
          <w:tcPr>
            <w:tcW w:w="955"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35%</w:t>
            </w:r>
          </w:p>
        </w:tc>
        <w:tc>
          <w:tcPr>
            <w:tcW w:w="1114" w:type="dxa"/>
            <w:tcBorders>
              <w:top w:val="single" w:sz="4" w:space="0" w:color="auto"/>
              <w:left w:val="single" w:sz="4" w:space="0" w:color="auto"/>
              <w:bottom w:val="single" w:sz="4" w:space="0" w:color="auto"/>
              <w:right w:val="single" w:sz="4" w:space="0" w:color="auto"/>
            </w:tcBorders>
            <w:noWrap/>
          </w:tcPr>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35%</w:t>
            </w:r>
          </w:p>
        </w:tc>
        <w:tc>
          <w:tcPr>
            <w:tcW w:w="4187"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You must provide:</w:t>
            </w:r>
          </w:p>
          <w:p w:rsidR="00F77563" w:rsidRDefault="00F77563" w:rsidP="009F133B">
            <w:pPr>
              <w:ind w:left="284"/>
              <w:jc w:val="both"/>
              <w:rPr>
                <w:rFonts w:ascii="Foundry Form Sans" w:hAnsi="Foundry Form Sans" w:cs="Arial"/>
                <w:sz w:val="22"/>
                <w:szCs w:val="20"/>
              </w:rPr>
            </w:pPr>
          </w:p>
          <w:p w:rsidR="00F77563" w:rsidRDefault="00F77563" w:rsidP="009F133B">
            <w:pPr>
              <w:pStyle w:val="ListParagraph"/>
              <w:numPr>
                <w:ilvl w:val="0"/>
                <w:numId w:val="54"/>
              </w:numPr>
              <w:ind w:left="284" w:hanging="284"/>
              <w:jc w:val="both"/>
              <w:rPr>
                <w:rFonts w:ascii="Foundry Form Sans" w:hAnsi="Foundry Form Sans" w:cs="Arial"/>
                <w:sz w:val="22"/>
                <w:szCs w:val="20"/>
              </w:rPr>
            </w:pPr>
            <w:r>
              <w:rPr>
                <w:rFonts w:ascii="Foundry Form Sans" w:hAnsi="Foundry Form Sans" w:cs="Arial"/>
                <w:sz w:val="22"/>
                <w:szCs w:val="20"/>
              </w:rPr>
              <w:t xml:space="preserve">An explanation of your financial offer, including key dates and all input assumptions made based upon the identified payment structure.  </w:t>
            </w:r>
          </w:p>
          <w:p w:rsidR="00F77563" w:rsidRDefault="00F77563" w:rsidP="009F133B">
            <w:pPr>
              <w:pStyle w:val="ListParagraph"/>
              <w:numPr>
                <w:ilvl w:val="0"/>
                <w:numId w:val="54"/>
              </w:numPr>
              <w:ind w:left="284" w:hanging="284"/>
              <w:jc w:val="both"/>
              <w:rPr>
                <w:rFonts w:ascii="Foundry Form Sans" w:hAnsi="Foundry Form Sans" w:cs="Arial"/>
                <w:sz w:val="22"/>
                <w:szCs w:val="20"/>
              </w:rPr>
            </w:pPr>
            <w:r>
              <w:rPr>
                <w:rFonts w:ascii="Foundry Form Sans" w:hAnsi="Foundry Form Sans" w:cs="Arial"/>
                <w:sz w:val="22"/>
                <w:szCs w:val="20"/>
              </w:rPr>
              <w:t xml:space="preserve">Confirmation of the dates on which payments will be made to </w:t>
            </w:r>
            <w:r w:rsidR="00F850A6">
              <w:rPr>
                <w:rFonts w:ascii="Foundry Form Sans" w:hAnsi="Foundry Form Sans" w:cs="Arial"/>
                <w:sz w:val="22"/>
                <w:szCs w:val="20"/>
              </w:rPr>
              <w:t>GLA</w:t>
            </w:r>
            <w:r>
              <w:rPr>
                <w:rFonts w:ascii="Foundry Form Sans" w:hAnsi="Foundry Form Sans" w:cs="Arial"/>
                <w:sz w:val="22"/>
                <w:szCs w:val="20"/>
              </w:rPr>
              <w:t xml:space="preserve"> and the quantum of each payment</w:t>
            </w:r>
          </w:p>
          <w:p w:rsidR="00F77563" w:rsidRDefault="00F77563" w:rsidP="009F133B">
            <w:pPr>
              <w:pStyle w:val="ListParagraph"/>
              <w:numPr>
                <w:ilvl w:val="0"/>
                <w:numId w:val="54"/>
              </w:numPr>
              <w:ind w:left="284" w:hanging="284"/>
              <w:jc w:val="both"/>
              <w:rPr>
                <w:rFonts w:ascii="Foundry Form Sans" w:hAnsi="Foundry Form Sans" w:cs="Arial"/>
                <w:sz w:val="22"/>
                <w:szCs w:val="20"/>
              </w:rPr>
            </w:pPr>
            <w:r>
              <w:rPr>
                <w:rFonts w:ascii="Foundry Form Sans" w:hAnsi="Foundry Form Sans" w:cs="Arial"/>
                <w:sz w:val="22"/>
                <w:szCs w:val="20"/>
              </w:rPr>
              <w:t xml:space="preserve">A full detailed financial model/development appraisal and cashflow supporting the financial offer, </w:t>
            </w:r>
          </w:p>
          <w:p w:rsidR="00F77563" w:rsidRDefault="00F77563" w:rsidP="009F133B">
            <w:pPr>
              <w:pStyle w:val="ListParagraph"/>
              <w:numPr>
                <w:ilvl w:val="0"/>
                <w:numId w:val="54"/>
              </w:numPr>
              <w:ind w:left="284"/>
              <w:jc w:val="both"/>
              <w:rPr>
                <w:rFonts w:ascii="Foundry Form Sans" w:hAnsi="Foundry Form Sans" w:cs="Arial"/>
                <w:sz w:val="22"/>
                <w:szCs w:val="20"/>
              </w:rPr>
            </w:pPr>
            <w:r>
              <w:rPr>
                <w:rFonts w:ascii="Foundry Form Sans" w:hAnsi="Foundry Form Sans" w:cs="Arial"/>
                <w:sz w:val="22"/>
                <w:szCs w:val="20"/>
              </w:rPr>
              <w:t>A detailed explanation of your approach and structure to the delivery of the respective tenures included in your scheme</w:t>
            </w:r>
          </w:p>
          <w:p w:rsidR="00F77563" w:rsidRDefault="00F77563" w:rsidP="009F133B">
            <w:pPr>
              <w:pStyle w:val="ListParagraph"/>
              <w:numPr>
                <w:ilvl w:val="0"/>
                <w:numId w:val="54"/>
              </w:numPr>
              <w:ind w:left="284"/>
              <w:jc w:val="both"/>
              <w:rPr>
                <w:rFonts w:ascii="Foundry Form Sans" w:hAnsi="Foundry Form Sans" w:cs="Arial"/>
                <w:sz w:val="22"/>
                <w:szCs w:val="20"/>
              </w:rPr>
            </w:pPr>
            <w:r>
              <w:rPr>
                <w:rFonts w:ascii="Foundry Form Sans" w:hAnsi="Foundry Form Sans" w:cs="Arial"/>
                <w:sz w:val="22"/>
                <w:szCs w:val="20"/>
              </w:rPr>
              <w:t xml:space="preserve">Please produce a summary of assumptions and outputs in accordance with the spreadsheet attached at </w:t>
            </w:r>
            <w:r w:rsidR="005C2E53" w:rsidRPr="00E1371A">
              <w:rPr>
                <w:rFonts w:ascii="Foundry Form Sans" w:hAnsi="Foundry Form Sans" w:cs="Arial"/>
                <w:sz w:val="22"/>
                <w:szCs w:val="20"/>
              </w:rPr>
              <w:t xml:space="preserve">Annex </w:t>
            </w:r>
            <w:r w:rsidR="002126D9">
              <w:rPr>
                <w:rFonts w:ascii="Foundry Form Sans" w:hAnsi="Foundry Form Sans" w:cs="Arial"/>
                <w:sz w:val="22"/>
                <w:szCs w:val="20"/>
              </w:rPr>
              <w:t>A</w:t>
            </w:r>
            <w:r w:rsidR="005C2E53">
              <w:rPr>
                <w:rFonts w:ascii="Foundry Form Sans" w:hAnsi="Foundry Form Sans" w:cs="Arial"/>
                <w:sz w:val="22"/>
                <w:szCs w:val="20"/>
              </w:rPr>
              <w:t xml:space="preserve"> </w:t>
            </w:r>
            <w:r>
              <w:rPr>
                <w:rFonts w:ascii="Foundry Form Sans" w:hAnsi="Foundry Form Sans" w:cs="Arial"/>
                <w:sz w:val="22"/>
                <w:szCs w:val="20"/>
              </w:rPr>
              <w:t>of the ITT. All summaries should include the following:</w:t>
            </w:r>
          </w:p>
          <w:p w:rsidR="00F77563" w:rsidRDefault="00F77563" w:rsidP="009F133B">
            <w:pPr>
              <w:ind w:left="284"/>
              <w:jc w:val="both"/>
              <w:rPr>
                <w:rFonts w:ascii="Foundry Form Sans" w:hAnsi="Foundry Form Sans" w:cs="Arial"/>
                <w:sz w:val="22"/>
                <w:szCs w:val="20"/>
              </w:rPr>
            </w:pP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 xml:space="preserve">Total GIA (m2) and NSA (m2) of </w:t>
            </w:r>
            <w:r>
              <w:rPr>
                <w:rFonts w:ascii="Foundry Form Sans" w:hAnsi="Foundry Form Sans" w:cs="Arial"/>
                <w:sz w:val="22"/>
                <w:szCs w:val="20"/>
              </w:rPr>
              <w:lastRenderedPageBreak/>
              <w:t>development, broken down by tenure</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Estimated Scheme Revenues. This should be broken down by private and affordable housing.</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Estimated Rental Values of any PRS Units together with any rental growth assumptions that have been adopted.</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Details of the assumed management and maintenance costs and all such other costs as may be applicable together with an estimate of the assumed net rent.</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Development specification and cost plan broken down to include infrastructure costs, abnormal costs, elemental breakdown of construction costs, S106, professional fees, marketing and legal costs.  Costs should be broken down on a GIA (m2) basis.</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Finance cost and interest rate assumptions</w:t>
            </w:r>
          </w:p>
          <w:p w:rsidR="00F77563" w:rsidRDefault="00F77563" w:rsidP="009F133B">
            <w:pPr>
              <w:pStyle w:val="ListParagraph"/>
              <w:numPr>
                <w:ilvl w:val="0"/>
                <w:numId w:val="55"/>
              </w:numPr>
              <w:ind w:left="284"/>
              <w:jc w:val="both"/>
              <w:rPr>
                <w:rFonts w:ascii="Foundry Form Sans" w:hAnsi="Foundry Form Sans" w:cs="Arial"/>
                <w:sz w:val="22"/>
                <w:szCs w:val="20"/>
              </w:rPr>
            </w:pPr>
            <w:r>
              <w:rPr>
                <w:rFonts w:ascii="Foundry Form Sans" w:hAnsi="Foundry Form Sans" w:cs="Arial"/>
                <w:sz w:val="22"/>
                <w:szCs w:val="20"/>
              </w:rPr>
              <w:t>The percentage development return</w:t>
            </w:r>
          </w:p>
          <w:p w:rsidR="00F77563" w:rsidRDefault="00F77563" w:rsidP="009F133B">
            <w:pPr>
              <w:ind w:left="284"/>
              <w:jc w:val="both"/>
              <w:rPr>
                <w:rFonts w:ascii="Foundry Form Sans" w:hAnsi="Foundry Form Sans" w:cs="Arial"/>
                <w:sz w:val="22"/>
                <w:szCs w:val="20"/>
              </w:rPr>
            </w:pPr>
          </w:p>
        </w:tc>
        <w:tc>
          <w:tcPr>
            <w:tcW w:w="5178"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color w:val="FF0000"/>
                <w:sz w:val="28"/>
                <w:highlight w:val="yellow"/>
              </w:rPr>
            </w:pPr>
            <w:r>
              <w:rPr>
                <w:rFonts w:ascii="Foundry Form Sans" w:hAnsi="Foundry Form Sans" w:cs="Arial"/>
                <w:sz w:val="22"/>
                <w:szCs w:val="20"/>
              </w:rPr>
              <w:t xml:space="preserve">Please see note below for further guidance and proposed scoring of the Financial Offer:  </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b/>
                <w:sz w:val="22"/>
                <w:szCs w:val="20"/>
              </w:rPr>
            </w:pPr>
            <w:r>
              <w:rPr>
                <w:rFonts w:ascii="Foundry Form Sans" w:hAnsi="Foundry Form Sans" w:cs="Arial"/>
                <w:b/>
                <w:sz w:val="22"/>
                <w:szCs w:val="20"/>
              </w:rPr>
              <w:t>Level of financial offer to GLA</w:t>
            </w: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The financial evaluation will assess each tender based on the total Net Present Value of the fixed/guaranteed deferred payments, in accordance with each developer</w:t>
            </w:r>
            <w:r w:rsidR="009E55A6">
              <w:rPr>
                <w:rFonts w:ascii="Foundry Form Sans" w:hAnsi="Foundry Form Sans" w:cs="Arial"/>
                <w:sz w:val="22"/>
                <w:szCs w:val="20"/>
              </w:rPr>
              <w:t>’</w:t>
            </w:r>
            <w:r>
              <w:rPr>
                <w:rFonts w:ascii="Foundry Form Sans" w:hAnsi="Foundry Form Sans" w:cs="Arial"/>
                <w:sz w:val="22"/>
                <w:szCs w:val="20"/>
              </w:rPr>
              <w:t xml:space="preserve">s payment structure and timing of the payments.  GLA will calculate the Net Present Value of the payment structure utilising the Treasury Discount Rate </w:t>
            </w:r>
            <w:r w:rsidRPr="00E1371A">
              <w:rPr>
                <w:rFonts w:ascii="Foundry Form Sans" w:hAnsi="Foundry Form Sans" w:cs="Arial"/>
                <w:sz w:val="22"/>
                <w:szCs w:val="20"/>
              </w:rPr>
              <w:t xml:space="preserve">of </w:t>
            </w:r>
            <w:r w:rsidR="005C2E53" w:rsidRPr="00E1371A">
              <w:rPr>
                <w:rFonts w:ascii="Foundry Form Sans" w:hAnsi="Foundry Form Sans" w:cs="Arial"/>
                <w:sz w:val="22"/>
                <w:szCs w:val="20"/>
              </w:rPr>
              <w:t xml:space="preserve">3.5 </w:t>
            </w:r>
            <w:r w:rsidRPr="00E1371A">
              <w:rPr>
                <w:rFonts w:ascii="Foundry Form Sans" w:hAnsi="Foundry Form Sans" w:cs="Arial"/>
                <w:sz w:val="22"/>
                <w:szCs w:val="20"/>
              </w:rPr>
              <w:t>%</w:t>
            </w:r>
            <w:r>
              <w:rPr>
                <w:rFonts w:ascii="Foundry Form Sans" w:hAnsi="Foundry Form Sans" w:cs="Arial"/>
                <w:sz w:val="22"/>
                <w:szCs w:val="20"/>
              </w:rPr>
              <w:t xml:space="preserve">  </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The approach to scoring the financial offer will be formula-based as follows:</w:t>
            </w:r>
          </w:p>
          <w:p w:rsidR="00F77563" w:rsidRDefault="00F77563" w:rsidP="009F133B">
            <w:pPr>
              <w:numPr>
                <w:ilvl w:val="0"/>
                <w:numId w:val="56"/>
              </w:numPr>
              <w:ind w:left="284"/>
              <w:jc w:val="both"/>
              <w:rPr>
                <w:rFonts w:ascii="Foundry Form Sans" w:hAnsi="Foundry Form Sans" w:cs="Arial"/>
                <w:sz w:val="22"/>
                <w:szCs w:val="20"/>
              </w:rPr>
            </w:pPr>
            <w:r>
              <w:rPr>
                <w:rFonts w:ascii="Foundry Form Sans" w:hAnsi="Foundry Form Sans" w:cs="Arial"/>
                <w:sz w:val="22"/>
                <w:szCs w:val="20"/>
              </w:rPr>
              <w:t>The GLA will first establish an average (mean) level of receipt across all bids based on the average NPV. The average will be allocated a weighting of 50%.</w:t>
            </w:r>
          </w:p>
          <w:p w:rsidR="00F77563" w:rsidRDefault="00F77563" w:rsidP="009F133B">
            <w:pPr>
              <w:numPr>
                <w:ilvl w:val="0"/>
                <w:numId w:val="56"/>
              </w:numPr>
              <w:ind w:left="284"/>
              <w:jc w:val="both"/>
              <w:rPr>
                <w:rFonts w:ascii="Foundry Form Sans" w:hAnsi="Foundry Form Sans" w:cs="Arial"/>
                <w:sz w:val="22"/>
                <w:szCs w:val="20"/>
              </w:rPr>
            </w:pPr>
            <w:r>
              <w:rPr>
                <w:rFonts w:ascii="Foundry Form Sans" w:hAnsi="Foundry Form Sans" w:cs="Arial"/>
                <w:sz w:val="22"/>
                <w:szCs w:val="20"/>
              </w:rPr>
              <w:t>Each individual financial offer will then be allocated a weighting based on their percentage relationship to this average, with offers above the average receiving a weighting in excess of 50% and those below the average receiving a weighting of less than 50%.</w:t>
            </w:r>
          </w:p>
          <w:p w:rsidR="00F77563" w:rsidRDefault="00F77563" w:rsidP="009F133B">
            <w:pPr>
              <w:numPr>
                <w:ilvl w:val="0"/>
                <w:numId w:val="56"/>
              </w:numPr>
              <w:ind w:left="284"/>
              <w:jc w:val="both"/>
              <w:rPr>
                <w:rFonts w:ascii="Foundry Form Sans" w:hAnsi="Foundry Form Sans" w:cs="Arial"/>
                <w:sz w:val="22"/>
                <w:szCs w:val="20"/>
              </w:rPr>
            </w:pPr>
            <w:r>
              <w:rPr>
                <w:rFonts w:ascii="Foundry Form Sans" w:hAnsi="Foundry Form Sans" w:cs="Arial"/>
                <w:sz w:val="22"/>
                <w:szCs w:val="20"/>
              </w:rPr>
              <w:t xml:space="preserve">The table below shows how offers above and below </w:t>
            </w:r>
            <w:r>
              <w:rPr>
                <w:rFonts w:ascii="Foundry Form Sans" w:hAnsi="Foundry Form Sans" w:cs="Arial"/>
                <w:sz w:val="22"/>
                <w:szCs w:val="20"/>
              </w:rPr>
              <w:lastRenderedPageBreak/>
              <w:t>the mean will be weighted:</w:t>
            </w:r>
          </w:p>
          <w:p w:rsidR="00F77563" w:rsidRDefault="00F77563" w:rsidP="009F133B">
            <w:pPr>
              <w:ind w:left="284"/>
              <w:jc w:val="both"/>
              <w:rPr>
                <w:rFonts w:ascii="Foundry Form Sans" w:hAnsi="Foundry Form Sans" w:cs="Arial"/>
                <w:sz w:val="2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0"/>
              <w:gridCol w:w="1812"/>
            </w:tblGrid>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b/>
                      <w:sz w:val="22"/>
                      <w:szCs w:val="20"/>
                      <w:lang w:eastAsia="en-GB"/>
                    </w:rPr>
                  </w:pPr>
                  <w:r>
                    <w:rPr>
                      <w:rFonts w:ascii="Foundry Form Sans" w:hAnsi="Foundry Form Sans" w:cs="Arial"/>
                      <w:b/>
                      <w:sz w:val="22"/>
                      <w:szCs w:val="20"/>
                      <w:lang w:eastAsia="en-GB"/>
                    </w:rPr>
                    <w:t>Financial offer relative to mean</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b/>
                      <w:sz w:val="22"/>
                      <w:szCs w:val="20"/>
                      <w:lang w:eastAsia="en-GB"/>
                    </w:rPr>
                  </w:pPr>
                  <w:r>
                    <w:rPr>
                      <w:rFonts w:ascii="Foundry Form Sans" w:hAnsi="Foundry Form Sans" w:cs="Arial"/>
                      <w:b/>
                      <w:sz w:val="22"/>
                      <w:szCs w:val="20"/>
                      <w:lang w:eastAsia="en-GB"/>
                    </w:rPr>
                    <w:t>Weighting</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-95% to 100% or less</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-90% to 94.9%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-85% to 89.9%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-80% to 84.5%</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-75% to 79.9%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-70% to 74.5%</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-65% to 69.9%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-60% to 64.5%</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-55% to 59.9%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 xml:space="preserve">-50% to 54.9% </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-45% to 49.9%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-40% to 44.9%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-35% to 39.9%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-30% to 34.5%</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-25% to 29.9%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-20% to 24.5%</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-15% to 19.9%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-10% to 14.9%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 to 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b/>
                      <w:sz w:val="22"/>
                      <w:szCs w:val="20"/>
                    </w:rPr>
                  </w:pPr>
                  <w:r>
                    <w:rPr>
                      <w:rFonts w:ascii="Foundry Form Sans" w:hAnsi="Foundry Form Sans" w:cs="Arial"/>
                      <w:b/>
                      <w:sz w:val="22"/>
                      <w:szCs w:val="20"/>
                    </w:rPr>
                    <w:t>-</w:t>
                  </w:r>
                  <w:r>
                    <w:rPr>
                      <w:rFonts w:ascii="Foundry Form Sans" w:hAnsi="Foundry Form Sans" w:cs="Arial"/>
                      <w:sz w:val="22"/>
                      <w:szCs w:val="20"/>
                    </w:rPr>
                    <w:t>0.1% to 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b/>
                      <w:sz w:val="22"/>
                      <w:szCs w:val="20"/>
                    </w:rPr>
                  </w:pPr>
                  <w:r>
                    <w:rPr>
                      <w:rFonts w:ascii="Foundry Form Sans" w:hAnsi="Foundry Form Sans" w:cs="Arial"/>
                      <w:b/>
                      <w:sz w:val="22"/>
                      <w:szCs w:val="20"/>
                    </w:rPr>
                    <w:t>Mean</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+0.1% to 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 to 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+10% to 14.9%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+15% to 19.9%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+20% to 24.9%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lastRenderedPageBreak/>
                    <w:t>+25% to 29.9%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65%</w:t>
                  </w:r>
                </w:p>
              </w:tc>
            </w:tr>
            <w:tr w:rsidR="00F77563">
              <w:trPr>
                <w:trHeight w:val="85"/>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+30% to 34.9%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67.%%</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+35% to 39.9%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+40% to 44.9%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72.%%</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+45% to 49.9%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+50% to 54.9%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+55% to 59.9%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+60% to 64.9%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+65% to 69.9%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+70% to 74.9%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+75% to 79.9%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90%</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+80% to 84.9%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92.5%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+85% to 89.9%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+90% to 94.9%</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97.5%</w:t>
                  </w:r>
                </w:p>
              </w:tc>
            </w:tr>
            <w:tr w:rsidR="00F77563">
              <w:trPr>
                <w:jc w:val="center"/>
              </w:trPr>
              <w:tc>
                <w:tcPr>
                  <w:tcW w:w="4292" w:type="dxa"/>
                  <w:tcBorders>
                    <w:top w:val="single" w:sz="4" w:space="0" w:color="auto"/>
                    <w:left w:val="single" w:sz="4" w:space="0" w:color="auto"/>
                    <w:bottom w:val="single" w:sz="4" w:space="0" w:color="auto"/>
                    <w:right w:val="single" w:sz="4" w:space="0" w:color="auto"/>
                  </w:tcBorders>
                  <w:hideMark/>
                </w:tcPr>
                <w:p w:rsidR="00F77563" w:rsidRDefault="00F77563" w:rsidP="00446F42">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+95% to 100% or above</w:t>
                  </w:r>
                </w:p>
              </w:tc>
              <w:tc>
                <w:tcPr>
                  <w:tcW w:w="2025" w:type="dxa"/>
                  <w:tcBorders>
                    <w:top w:val="single" w:sz="4" w:space="0" w:color="auto"/>
                    <w:left w:val="single" w:sz="4" w:space="0" w:color="auto"/>
                    <w:bottom w:val="single" w:sz="4" w:space="0" w:color="auto"/>
                    <w:right w:val="single" w:sz="4" w:space="0" w:color="auto"/>
                  </w:tcBorders>
                  <w:hideMark/>
                </w:tcPr>
                <w:p w:rsidR="00F77563" w:rsidRDefault="00F77563" w:rsidP="00ED2417">
                  <w:pPr>
                    <w:overflowPunct w:val="0"/>
                    <w:autoSpaceDE w:val="0"/>
                    <w:autoSpaceDN w:val="0"/>
                    <w:adjustRightInd w:val="0"/>
                    <w:ind w:left="284"/>
                    <w:jc w:val="both"/>
                    <w:textAlignment w:val="baseline"/>
                    <w:rPr>
                      <w:rFonts w:ascii="Foundry Form Sans" w:hAnsi="Foundry Form Sans" w:cs="Arial"/>
                      <w:sz w:val="22"/>
                      <w:szCs w:val="20"/>
                    </w:rPr>
                  </w:pPr>
                  <w:r>
                    <w:rPr>
                      <w:rFonts w:ascii="Foundry Form Sans" w:hAnsi="Foundry Form Sans" w:cs="Arial"/>
                      <w:sz w:val="22"/>
                      <w:szCs w:val="20"/>
                    </w:rPr>
                    <w:t>100%</w:t>
                  </w:r>
                </w:p>
              </w:tc>
            </w:tr>
          </w:tbl>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(the percentage relevant to the mean will be rounded to 1 decimal place in accordance with the table above)</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The weighting of each individual offer will then be multiplied by the weighting for the Financial Offer Section of the Evaluation Criteria (35%) to calculate the score to be awarded for each offer.</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For the avoidance of doubt the scoring of the financial offer will be based on the minimum guaranteed payments only and will exclude any potential estimated overages.  Overage will be scored separately, as set out below.</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p>
        </w:tc>
      </w:tr>
      <w:tr w:rsidR="00F77563" w:rsidTr="00F77563">
        <w:trPr>
          <w:trHeight w:val="1337"/>
        </w:trPr>
        <w:tc>
          <w:tcPr>
            <w:tcW w:w="2490"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b/>
                <w:sz w:val="22"/>
                <w:szCs w:val="20"/>
              </w:rPr>
            </w:pPr>
            <w:r>
              <w:rPr>
                <w:rFonts w:ascii="Foundry Form Sans" w:hAnsi="Foundry Form Sans" w:cs="Arial"/>
                <w:b/>
                <w:sz w:val="22"/>
                <w:szCs w:val="20"/>
              </w:rPr>
              <w:lastRenderedPageBreak/>
              <w:t xml:space="preserve">Revenue Overage </w:t>
            </w:r>
          </w:p>
        </w:tc>
        <w:tc>
          <w:tcPr>
            <w:tcW w:w="955"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2.5%</w:t>
            </w:r>
          </w:p>
        </w:tc>
        <w:tc>
          <w:tcPr>
            <w:tcW w:w="1114" w:type="dxa"/>
            <w:tcBorders>
              <w:top w:val="single" w:sz="4" w:space="0" w:color="auto"/>
              <w:left w:val="single" w:sz="4" w:space="0" w:color="auto"/>
              <w:bottom w:val="single" w:sz="4" w:space="0" w:color="auto"/>
              <w:right w:val="single" w:sz="4" w:space="0" w:color="auto"/>
            </w:tcBorders>
            <w:noWrap/>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2.5%</w:t>
            </w:r>
          </w:p>
        </w:tc>
        <w:tc>
          <w:tcPr>
            <w:tcW w:w="4187"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 xml:space="preserve">A confirmed threshold revenue per sq ft above which a 50% share of increases in net sales receipt will be paid </w:t>
            </w:r>
          </w:p>
        </w:tc>
        <w:tc>
          <w:tcPr>
            <w:tcW w:w="5178"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Bidders will be scored by reference to their proposed revenue overage threshold with the lowest threshold being awarded 100% of the mark.  Bidders will be scored relative to that lowest threshold i.e.</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1 - £400 per sq ft</w:t>
            </w: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2 - £300 per sq ft</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1 receives 100% of the mark – 2.5%</w:t>
            </w: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2 receives 75% of the mark – 1.875%</w:t>
            </w:r>
          </w:p>
          <w:p w:rsidR="00F77563" w:rsidRDefault="00F77563" w:rsidP="009F133B">
            <w:pPr>
              <w:ind w:left="284"/>
              <w:jc w:val="both"/>
              <w:rPr>
                <w:rFonts w:ascii="Foundry Form Sans" w:hAnsi="Foundry Form Sans" w:cs="Arial"/>
                <w:sz w:val="22"/>
                <w:szCs w:val="20"/>
              </w:rPr>
            </w:pPr>
          </w:p>
        </w:tc>
      </w:tr>
      <w:tr w:rsidR="00F77563" w:rsidTr="00F77563">
        <w:trPr>
          <w:trHeight w:val="1337"/>
        </w:trPr>
        <w:tc>
          <w:tcPr>
            <w:tcW w:w="2490"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b/>
                <w:sz w:val="22"/>
                <w:szCs w:val="20"/>
              </w:rPr>
            </w:pPr>
            <w:r>
              <w:rPr>
                <w:rFonts w:ascii="Foundry Form Sans" w:hAnsi="Foundry Form Sans" w:cs="Arial"/>
                <w:b/>
                <w:sz w:val="22"/>
                <w:szCs w:val="20"/>
              </w:rPr>
              <w:t>Planning Overage</w:t>
            </w:r>
          </w:p>
        </w:tc>
        <w:tc>
          <w:tcPr>
            <w:tcW w:w="955"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2.5%</w:t>
            </w:r>
          </w:p>
        </w:tc>
        <w:tc>
          <w:tcPr>
            <w:tcW w:w="1114" w:type="dxa"/>
            <w:tcBorders>
              <w:top w:val="single" w:sz="4" w:space="0" w:color="auto"/>
              <w:left w:val="single" w:sz="4" w:space="0" w:color="auto"/>
              <w:bottom w:val="single" w:sz="4" w:space="0" w:color="auto"/>
              <w:right w:val="single" w:sz="4" w:space="0" w:color="auto"/>
            </w:tcBorders>
            <w:noWrap/>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2.5%</w:t>
            </w:r>
          </w:p>
        </w:tc>
        <w:tc>
          <w:tcPr>
            <w:tcW w:w="4187" w:type="dxa"/>
            <w:tcBorders>
              <w:top w:val="single" w:sz="4" w:space="0" w:color="auto"/>
              <w:left w:val="single" w:sz="4" w:space="0" w:color="auto"/>
              <w:bottom w:val="single" w:sz="4" w:space="0" w:color="auto"/>
              <w:right w:val="single" w:sz="4" w:space="0" w:color="auto"/>
            </w:tcBorders>
            <w:hideMark/>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A confirmed payment per sq ft to be made for increases in the private residential area above that included in the offer</w:t>
            </w:r>
          </w:p>
        </w:tc>
        <w:tc>
          <w:tcPr>
            <w:tcW w:w="5178" w:type="dxa"/>
            <w:tcBorders>
              <w:top w:val="single" w:sz="4" w:space="0" w:color="auto"/>
              <w:left w:val="single" w:sz="4" w:space="0" w:color="auto"/>
              <w:bottom w:val="single" w:sz="4" w:space="0" w:color="auto"/>
              <w:right w:val="single" w:sz="4" w:space="0" w:color="auto"/>
            </w:tcBorders>
          </w:tcPr>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Bidders will be scored by reference to their proposed planning overage payment with the highest payment being awarded 100% of the mark.  Bidders will be scored relative to that highest payment i.e.</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1 - £50 per sq ft</w:t>
            </w: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2 - £40 per sq ft</w:t>
            </w:r>
          </w:p>
          <w:p w:rsidR="00F77563" w:rsidRDefault="00F77563" w:rsidP="009F133B">
            <w:pPr>
              <w:ind w:left="284"/>
              <w:jc w:val="both"/>
              <w:rPr>
                <w:rFonts w:ascii="Foundry Form Sans" w:hAnsi="Foundry Form Sans" w:cs="Arial"/>
                <w:sz w:val="22"/>
                <w:szCs w:val="20"/>
              </w:rPr>
            </w:pP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1 receives 100% of the mark – 2.5%</w:t>
            </w:r>
          </w:p>
          <w:p w:rsidR="00F77563" w:rsidRDefault="00F77563" w:rsidP="009F133B">
            <w:pPr>
              <w:ind w:left="284"/>
              <w:jc w:val="both"/>
              <w:rPr>
                <w:rFonts w:ascii="Foundry Form Sans" w:hAnsi="Foundry Form Sans" w:cs="Arial"/>
                <w:sz w:val="22"/>
                <w:szCs w:val="20"/>
              </w:rPr>
            </w:pPr>
            <w:r>
              <w:rPr>
                <w:rFonts w:ascii="Foundry Form Sans" w:hAnsi="Foundry Form Sans" w:cs="Arial"/>
                <w:sz w:val="22"/>
                <w:szCs w:val="20"/>
              </w:rPr>
              <w:t>Bidder 2 receives 80% of the mark – 2%</w:t>
            </w:r>
          </w:p>
          <w:p w:rsidR="00F77563" w:rsidRDefault="00F77563" w:rsidP="009F133B">
            <w:pPr>
              <w:ind w:left="284"/>
              <w:jc w:val="both"/>
              <w:rPr>
                <w:rFonts w:ascii="Foundry Form Sans" w:hAnsi="Foundry Form Sans" w:cs="Arial"/>
                <w:sz w:val="22"/>
                <w:szCs w:val="20"/>
              </w:rPr>
            </w:pPr>
          </w:p>
        </w:tc>
      </w:tr>
    </w:tbl>
    <w:p w:rsidR="00F77563" w:rsidRDefault="00F77563" w:rsidP="009F133B">
      <w:pPr>
        <w:ind w:left="284"/>
        <w:jc w:val="both"/>
        <w:rPr>
          <w:rFonts w:ascii="Foundry Form Sans" w:hAnsi="Foundry Form Sans"/>
          <w:b/>
        </w:rPr>
        <w:sectPr w:rsidR="00F77563" w:rsidSect="009F133B">
          <w:pgSz w:w="16838" w:h="11906" w:orient="landscape"/>
          <w:pgMar w:top="1418" w:right="1440" w:bottom="1418" w:left="1440" w:header="709" w:footer="709" w:gutter="0"/>
          <w:paperSrc w:first="264" w:other="264"/>
          <w:cols w:space="720"/>
          <w:docGrid w:linePitch="326"/>
        </w:sectPr>
      </w:pPr>
    </w:p>
    <w:p w:rsidR="00F77563" w:rsidRDefault="00F77563" w:rsidP="009F133B">
      <w:pPr>
        <w:spacing w:after="120" w:line="23" w:lineRule="atLeast"/>
        <w:ind w:left="284"/>
        <w:jc w:val="both"/>
        <w:rPr>
          <w:rFonts w:ascii="Foundry Form Sans" w:hAnsi="Foundry Form Sans" w:cs="Arial"/>
          <w:sz w:val="22"/>
          <w:highlight w:val="yellow"/>
        </w:rPr>
      </w:pPr>
    </w:p>
    <w:p w:rsidR="00242FB4" w:rsidRPr="00062EDB" w:rsidRDefault="00242FB4" w:rsidP="009F133B">
      <w:pPr>
        <w:pStyle w:val="BodyText"/>
        <w:numPr>
          <w:ilvl w:val="2"/>
          <w:numId w:val="42"/>
        </w:numPr>
        <w:spacing w:after="120" w:line="23" w:lineRule="atLeast"/>
        <w:ind w:left="284"/>
        <w:jc w:val="both"/>
        <w:rPr>
          <w:rFonts w:ascii="Foundry Form Sans" w:hAnsi="Foundry Form Sans" w:cs="Arial"/>
        </w:rPr>
      </w:pPr>
      <w:r w:rsidRPr="00062EDB">
        <w:rPr>
          <w:rFonts w:ascii="Foundry Form Sans" w:hAnsi="Foundry Form Sans" w:cs="Arial"/>
        </w:rPr>
        <w:t xml:space="preserve">During the evaluation process the GLA/TfL may invite the </w:t>
      </w:r>
      <w:r w:rsidR="00300BFA">
        <w:rPr>
          <w:rFonts w:ascii="Foundry Form Sans" w:hAnsi="Foundry Form Sans" w:cs="Arial"/>
        </w:rPr>
        <w:t>Bidder</w:t>
      </w:r>
      <w:r w:rsidRPr="00062EDB">
        <w:rPr>
          <w:rFonts w:ascii="Foundry Form Sans" w:hAnsi="Foundry Form Sans" w:cs="Arial"/>
        </w:rPr>
        <w:t xml:space="preserve">s to present their proposals to its tender evaluation panel and to interview key members of the </w:t>
      </w:r>
      <w:r w:rsidR="00300BFA">
        <w:rPr>
          <w:rFonts w:ascii="Foundry Form Sans" w:hAnsi="Foundry Form Sans" w:cs="Arial"/>
        </w:rPr>
        <w:t>Bidder</w:t>
      </w:r>
      <w:r w:rsidRPr="00062EDB">
        <w:rPr>
          <w:rFonts w:ascii="Foundry Form Sans" w:hAnsi="Foundry Form Sans" w:cs="Arial"/>
        </w:rPr>
        <w:t xml:space="preserve">s proposed team. </w:t>
      </w:r>
      <w:r w:rsidR="00300BFA">
        <w:rPr>
          <w:rFonts w:ascii="Foundry Form Sans" w:hAnsi="Foundry Form Sans" w:cs="Arial"/>
        </w:rPr>
        <w:t>Bidder</w:t>
      </w:r>
      <w:r w:rsidRPr="00062EDB">
        <w:rPr>
          <w:rFonts w:ascii="Foundry Form Sans" w:hAnsi="Foundry Form Sans" w:cs="Arial"/>
        </w:rPr>
        <w:t>s may also be asked to provide clarifications where necessary to ensure a full understanding of the tender.</w:t>
      </w:r>
    </w:p>
    <w:p w:rsidR="00834767" w:rsidRDefault="00D15B83" w:rsidP="009F133B">
      <w:pPr>
        <w:pStyle w:val="Heading1"/>
        <w:numPr>
          <w:ilvl w:val="0"/>
          <w:numId w:val="42"/>
        </w:numPr>
        <w:pBdr>
          <w:bottom w:val="single" w:sz="4" w:space="1" w:color="auto"/>
        </w:pBdr>
        <w:ind w:left="284"/>
        <w:jc w:val="both"/>
      </w:pPr>
      <w:bookmarkStart w:id="16" w:name="_Toc441674211"/>
      <w:r>
        <w:t>I</w:t>
      </w:r>
      <w:r w:rsidR="00834767">
        <w:t xml:space="preserve">nstructions to </w:t>
      </w:r>
      <w:r w:rsidR="00300BFA">
        <w:t>Bidder</w:t>
      </w:r>
      <w:r w:rsidR="00834767">
        <w:t>s</w:t>
      </w:r>
      <w:bookmarkEnd w:id="16"/>
    </w:p>
    <w:p w:rsidR="00791F39" w:rsidRPr="00F64813" w:rsidRDefault="00791F39" w:rsidP="009F133B">
      <w:pPr>
        <w:spacing w:before="120" w:after="120" w:line="23" w:lineRule="atLeast"/>
        <w:ind w:left="284"/>
        <w:contextualSpacing/>
        <w:jc w:val="both"/>
        <w:rPr>
          <w:rFonts w:ascii="Foundry Form Sans" w:hAnsi="Foundry Form Sans"/>
          <w:sz w:val="22"/>
        </w:rPr>
      </w:pPr>
    </w:p>
    <w:p w:rsidR="00791F39" w:rsidRPr="00503B0A" w:rsidRDefault="00791F39"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rPr>
        <w:t xml:space="preserve">This Invitation to Tender (ITT) is addressed to all </w:t>
      </w:r>
      <w:r w:rsidR="00300BFA" w:rsidRPr="00503B0A">
        <w:rPr>
          <w:rFonts w:ascii="Foundry Form Sans" w:hAnsi="Foundry Form Sans" w:cs="Arial"/>
        </w:rPr>
        <w:t>Bidder</w:t>
      </w:r>
      <w:r w:rsidRPr="00503B0A">
        <w:rPr>
          <w:rFonts w:ascii="Foundry Form Sans" w:hAnsi="Foundry Form Sans" w:cs="Arial"/>
        </w:rPr>
        <w:t xml:space="preserve">s. Selection of a </w:t>
      </w:r>
      <w:r w:rsidR="005A24AC" w:rsidRPr="00503B0A">
        <w:rPr>
          <w:rFonts w:ascii="Foundry Form Sans" w:hAnsi="Foundry Form Sans" w:cs="Arial"/>
        </w:rPr>
        <w:t>d</w:t>
      </w:r>
      <w:r w:rsidRPr="00503B0A">
        <w:rPr>
          <w:rFonts w:ascii="Foundry Form Sans" w:hAnsi="Foundry Form Sans" w:cs="Arial"/>
        </w:rPr>
        <w:t xml:space="preserve">elivery </w:t>
      </w:r>
      <w:r w:rsidR="005A24AC" w:rsidRPr="00503B0A">
        <w:rPr>
          <w:rFonts w:ascii="Foundry Form Sans" w:hAnsi="Foundry Form Sans" w:cs="Arial"/>
        </w:rPr>
        <w:t>p</w:t>
      </w:r>
      <w:r w:rsidRPr="00503B0A">
        <w:rPr>
          <w:rFonts w:ascii="Foundry Form Sans" w:hAnsi="Foundry Form Sans" w:cs="Arial"/>
        </w:rPr>
        <w:t xml:space="preserve">artner for the </w:t>
      </w:r>
      <w:r w:rsidR="00514E0E">
        <w:rPr>
          <w:rFonts w:ascii="Foundry Form Sans" w:hAnsi="Foundry Form Sans" w:cs="Arial"/>
        </w:rPr>
        <w:t xml:space="preserve">Site </w:t>
      </w:r>
      <w:r w:rsidRPr="00503B0A">
        <w:rPr>
          <w:rFonts w:ascii="Foundry Form Sans" w:hAnsi="Foundry Form Sans" w:cs="Arial"/>
        </w:rPr>
        <w:t>will be based upon information provided in the response to this ITT.</w:t>
      </w:r>
    </w:p>
    <w:p w:rsidR="00791F39" w:rsidRPr="00503B0A" w:rsidRDefault="00791F39"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rPr>
        <w:t xml:space="preserve">Tenders must be submitted strictly in accordance with the Tender Documents. Failure to comply with this requirement in any respect may result in the Tender being rejected by the </w:t>
      </w:r>
      <w:r w:rsidRPr="00F64813">
        <w:rPr>
          <w:rFonts w:ascii="Foundry Form Sans" w:hAnsi="Foundry Form Sans" w:cs="Arial"/>
        </w:rPr>
        <w:t>GLA/TfL</w:t>
      </w:r>
      <w:r w:rsidRPr="00503B0A">
        <w:rPr>
          <w:rFonts w:ascii="Foundry Form Sans" w:hAnsi="Foundry Form Sans" w:cs="Arial"/>
        </w:rPr>
        <w:t>, whose decision in the matter shall be final.</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t xml:space="preserve">Information supplied by the GLA/TfL (whether in the Tender Documents or otherwise) is supplied to all </w:t>
      </w:r>
      <w:r w:rsidR="00300BFA">
        <w:rPr>
          <w:rFonts w:ascii="Foundry Form Sans" w:hAnsi="Foundry Form Sans" w:cs="Arial"/>
        </w:rPr>
        <w:t>Bidder</w:t>
      </w:r>
      <w:r w:rsidRPr="00F64813">
        <w:rPr>
          <w:rFonts w:ascii="Foundry Form Sans" w:hAnsi="Foundry Form Sans" w:cs="Arial"/>
        </w:rPr>
        <w:t xml:space="preserve">s for general guidance in the preparation of their tenders. </w:t>
      </w:r>
      <w:r w:rsidR="00300BFA">
        <w:rPr>
          <w:rFonts w:ascii="Foundry Form Sans" w:hAnsi="Foundry Form Sans" w:cs="Arial"/>
        </w:rPr>
        <w:t>Bidder</w:t>
      </w:r>
      <w:r w:rsidRPr="00F64813">
        <w:rPr>
          <w:rFonts w:ascii="Foundry Form Sans" w:hAnsi="Foundry Form Sans" w:cs="Arial"/>
        </w:rPr>
        <w:t xml:space="preserve">s must satisfy themselves, using their own investigations, with regard to the accuracy of any such information and no responsibility is accepted by the </w:t>
      </w:r>
      <w:r w:rsidR="005A24AC">
        <w:rPr>
          <w:rFonts w:ascii="Foundry Form Sans" w:hAnsi="Foundry Form Sans" w:cs="Arial"/>
        </w:rPr>
        <w:t>GLA/TfL</w:t>
      </w:r>
      <w:r w:rsidRPr="00F64813">
        <w:rPr>
          <w:rFonts w:ascii="Foundry Form Sans" w:hAnsi="Foundry Form Sans" w:cs="Arial"/>
        </w:rPr>
        <w:t xml:space="preserve"> for any inaccurate information obtained or accepted by </w:t>
      </w:r>
      <w:r w:rsidR="00300BFA">
        <w:rPr>
          <w:rFonts w:ascii="Foundry Form Sans" w:hAnsi="Foundry Form Sans" w:cs="Arial"/>
        </w:rPr>
        <w:t>Bidder</w:t>
      </w:r>
      <w:r w:rsidRPr="00F64813">
        <w:rPr>
          <w:rFonts w:ascii="Foundry Form Sans" w:hAnsi="Foundry Form Sans" w:cs="Arial"/>
        </w:rPr>
        <w:t>s.</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t xml:space="preserve">The GLA/TfL shall not be liable for any costs or expenses incurred by any of the </w:t>
      </w:r>
      <w:r w:rsidR="00300BFA">
        <w:rPr>
          <w:rFonts w:ascii="Foundry Form Sans" w:hAnsi="Foundry Form Sans" w:cs="Arial"/>
        </w:rPr>
        <w:t>Bidder</w:t>
      </w:r>
      <w:r w:rsidRPr="00F64813">
        <w:rPr>
          <w:rFonts w:ascii="Foundry Form Sans" w:hAnsi="Foundry Form Sans" w:cs="Arial"/>
        </w:rPr>
        <w:t>s in the preparation of their tenders.</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t xml:space="preserve">Tenders must not be qualified or accompanied by statements or a covering letter that might be construed as rendering the tender equivocal and/or placing it on a different footing from other </w:t>
      </w:r>
      <w:r w:rsidR="00300BFA">
        <w:rPr>
          <w:rFonts w:ascii="Foundry Form Sans" w:hAnsi="Foundry Form Sans" w:cs="Arial"/>
        </w:rPr>
        <w:t>Bidder</w:t>
      </w:r>
      <w:r w:rsidRPr="00F64813">
        <w:rPr>
          <w:rFonts w:ascii="Foundry Form Sans" w:hAnsi="Foundry Form Sans" w:cs="Arial"/>
        </w:rPr>
        <w:t xml:space="preserve">s. The </w:t>
      </w:r>
      <w:r w:rsidR="00C137F6">
        <w:rPr>
          <w:rFonts w:ascii="Foundry Form Sans" w:hAnsi="Foundry Form Sans" w:cs="Arial"/>
        </w:rPr>
        <w:t>GLA/TfL</w:t>
      </w:r>
      <w:r w:rsidRPr="00F64813">
        <w:rPr>
          <w:rFonts w:ascii="Foundry Form Sans" w:hAnsi="Foundry Form Sans" w:cs="Arial"/>
        </w:rPr>
        <w:t xml:space="preserve"> reserves the right to reject and/or disqualify any tenders not submitted strictly in accordance with the Tender Documents.</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cs="Arial"/>
          <w:b/>
        </w:rPr>
      </w:pPr>
      <w:r w:rsidRPr="00F64813">
        <w:rPr>
          <w:rFonts w:ascii="Foundry Form Sans" w:hAnsi="Foundry Form Sans" w:cs="Arial"/>
          <w:b/>
        </w:rPr>
        <w:t xml:space="preserve">Acknowledgement of Receipt </w:t>
      </w:r>
    </w:p>
    <w:p w:rsidR="006F061D" w:rsidRPr="003060EA" w:rsidRDefault="00300BFA"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rPr>
        <w:t>Bidder</w:t>
      </w:r>
      <w:r w:rsidR="00791F39" w:rsidRPr="00503B0A">
        <w:rPr>
          <w:rFonts w:ascii="Foundry Form Sans" w:hAnsi="Foundry Form Sans" w:cs="Arial"/>
        </w:rPr>
        <w:t xml:space="preserve">s are required to email the ‘Acknowledgment of Receipt and Intent to Respond’ </w:t>
      </w:r>
      <w:r w:rsidR="00791F39" w:rsidRPr="003060EA">
        <w:rPr>
          <w:rFonts w:ascii="Foundry Form Sans" w:hAnsi="Foundry Form Sans" w:cs="Arial"/>
        </w:rPr>
        <w:t xml:space="preserve">by </w:t>
      </w:r>
      <w:r w:rsidR="00281030">
        <w:rPr>
          <w:rFonts w:ascii="Foundry Form Sans" w:hAnsi="Foundry Form Sans" w:cs="Arial"/>
        </w:rPr>
        <w:t>4pm</w:t>
      </w:r>
      <w:r w:rsidR="006F51A5" w:rsidRPr="003060EA">
        <w:rPr>
          <w:rFonts w:ascii="Foundry Form Sans" w:hAnsi="Foundry Form Sans" w:cs="Arial"/>
        </w:rPr>
        <w:t xml:space="preserve"> GMT on Friday 17</w:t>
      </w:r>
      <w:r w:rsidR="006F51A5" w:rsidRPr="003060EA">
        <w:rPr>
          <w:rFonts w:ascii="Foundry Form Sans" w:hAnsi="Foundry Form Sans" w:cs="Arial"/>
          <w:vertAlign w:val="superscript"/>
        </w:rPr>
        <w:t>th</w:t>
      </w:r>
      <w:r w:rsidR="006F51A5" w:rsidRPr="003060EA">
        <w:rPr>
          <w:rFonts w:ascii="Foundry Form Sans" w:hAnsi="Foundry Form Sans" w:cs="Arial"/>
        </w:rPr>
        <w:t xml:space="preserve"> March </w:t>
      </w:r>
      <w:r w:rsidR="00051C31" w:rsidRPr="003060EA">
        <w:rPr>
          <w:rFonts w:ascii="Foundry Form Sans" w:hAnsi="Foundry Form Sans" w:cs="Arial"/>
        </w:rPr>
        <w:t>201</w:t>
      </w:r>
      <w:r w:rsidR="005C01D5" w:rsidRPr="003060EA">
        <w:rPr>
          <w:rFonts w:ascii="Foundry Form Sans" w:hAnsi="Foundry Form Sans" w:cs="Arial"/>
        </w:rPr>
        <w:t>7</w:t>
      </w:r>
      <w:r w:rsidR="00791F39" w:rsidRPr="003060EA">
        <w:rPr>
          <w:rFonts w:ascii="Foundry Form Sans" w:hAnsi="Foundry Form Sans" w:cs="Arial"/>
        </w:rPr>
        <w:t xml:space="preserve"> </w:t>
      </w:r>
      <w:r w:rsidR="00C137F6" w:rsidRPr="003060EA">
        <w:rPr>
          <w:rFonts w:ascii="Foundry Form Sans" w:hAnsi="Foundry Form Sans" w:cs="Arial"/>
        </w:rPr>
        <w:t xml:space="preserve"> t</w:t>
      </w:r>
      <w:r w:rsidR="00791F39" w:rsidRPr="003060EA">
        <w:rPr>
          <w:rFonts w:ascii="Foundry Form Sans" w:hAnsi="Foundry Form Sans" w:cs="Arial"/>
        </w:rPr>
        <w:t xml:space="preserve">he receipt document can be found in </w:t>
      </w:r>
      <w:r w:rsidR="002126D9" w:rsidRPr="003060EA">
        <w:rPr>
          <w:rFonts w:ascii="Foundry Form Sans" w:hAnsi="Foundry Form Sans" w:cs="Arial"/>
        </w:rPr>
        <w:t>Annex A</w:t>
      </w:r>
      <w:r w:rsidR="006F061D" w:rsidRPr="003060EA">
        <w:rPr>
          <w:rFonts w:ascii="Foundry Form Sans" w:hAnsi="Foundry Form Sans" w:cs="Arial"/>
        </w:rPr>
        <w:t>1.</w:t>
      </w:r>
      <w:r w:rsidR="002126D9" w:rsidRPr="003060EA">
        <w:rPr>
          <w:rFonts w:ascii="Foundry Form Sans" w:hAnsi="Foundry Form Sans" w:cs="Arial"/>
        </w:rPr>
        <w:t xml:space="preserve"> </w:t>
      </w:r>
    </w:p>
    <w:p w:rsidR="00791F39" w:rsidRPr="00503B0A" w:rsidRDefault="00791F39" w:rsidP="009F133B">
      <w:pPr>
        <w:pStyle w:val="BodyText"/>
        <w:numPr>
          <w:ilvl w:val="2"/>
          <w:numId w:val="42"/>
        </w:numPr>
        <w:spacing w:after="120" w:line="23" w:lineRule="atLeast"/>
        <w:ind w:left="284"/>
        <w:jc w:val="both"/>
        <w:rPr>
          <w:rFonts w:ascii="Foundry Form Sans" w:hAnsi="Foundry Form Sans" w:cs="Arial"/>
        </w:rPr>
      </w:pPr>
      <w:r w:rsidRPr="00503B0A">
        <w:rPr>
          <w:rFonts w:ascii="Foundry Form Sans" w:hAnsi="Foundry Form Sans" w:cs="Arial"/>
        </w:rPr>
        <w:t xml:space="preserve">It is </w:t>
      </w:r>
      <w:r w:rsidR="00C137F6" w:rsidRPr="00503B0A">
        <w:rPr>
          <w:rFonts w:ascii="Foundry Form Sans" w:hAnsi="Foundry Form Sans" w:cs="Arial"/>
        </w:rPr>
        <w:t>each</w:t>
      </w:r>
      <w:r w:rsidR="00BF5744" w:rsidRPr="00503B0A">
        <w:rPr>
          <w:rFonts w:ascii="Foundry Form Sans" w:hAnsi="Foundry Form Sans" w:cs="Arial"/>
        </w:rPr>
        <w:t xml:space="preserve"> </w:t>
      </w:r>
      <w:r w:rsidR="00300BFA" w:rsidRPr="00503B0A">
        <w:rPr>
          <w:rFonts w:ascii="Foundry Form Sans" w:hAnsi="Foundry Form Sans" w:cs="Arial"/>
        </w:rPr>
        <w:t>Bidder</w:t>
      </w:r>
      <w:r w:rsidR="00C137F6" w:rsidRPr="00503B0A">
        <w:rPr>
          <w:rFonts w:ascii="Foundry Form Sans" w:hAnsi="Foundry Form Sans" w:cs="Arial"/>
        </w:rPr>
        <w:t>'</w:t>
      </w:r>
      <w:r w:rsidRPr="00503B0A">
        <w:rPr>
          <w:rFonts w:ascii="Foundry Form Sans" w:hAnsi="Foundry Form Sans" w:cs="Arial"/>
        </w:rPr>
        <w:t xml:space="preserve">s responsibility to ensure that all the documents listed in The </w:t>
      </w:r>
      <w:r w:rsidR="00AE7A68" w:rsidRPr="00503B0A">
        <w:rPr>
          <w:rFonts w:ascii="Foundry Form Sans" w:hAnsi="Foundry Form Sans" w:cs="Arial"/>
        </w:rPr>
        <w:t xml:space="preserve">Submission Checklist (see </w:t>
      </w:r>
      <w:r w:rsidR="006F061D" w:rsidRPr="00503B0A">
        <w:rPr>
          <w:rFonts w:ascii="Foundry Form Sans" w:hAnsi="Foundry Form Sans" w:cs="Arial"/>
        </w:rPr>
        <w:t xml:space="preserve">Annex </w:t>
      </w:r>
      <w:r w:rsidR="00AE7A68" w:rsidRPr="00503B0A">
        <w:rPr>
          <w:rFonts w:ascii="Foundry Form Sans" w:hAnsi="Foundry Form Sans" w:cs="Arial"/>
        </w:rPr>
        <w:t>A2</w:t>
      </w:r>
      <w:r w:rsidRPr="00503B0A">
        <w:rPr>
          <w:rFonts w:ascii="Foundry Form Sans" w:hAnsi="Foundry Form Sans" w:cs="Arial"/>
        </w:rPr>
        <w:t>) have been received and are complete.</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cs="Arial"/>
          <w:b/>
          <w:szCs w:val="24"/>
        </w:rPr>
      </w:pPr>
      <w:r w:rsidRPr="00F64813">
        <w:rPr>
          <w:rFonts w:ascii="Foundry Form Sans" w:hAnsi="Foundry Form Sans" w:cs="Arial"/>
          <w:b/>
          <w:szCs w:val="24"/>
        </w:rPr>
        <w:t>Decline or Inability to Return</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szCs w:val="24"/>
        </w:rPr>
      </w:pPr>
      <w:r w:rsidRPr="00F64813">
        <w:rPr>
          <w:rFonts w:ascii="Foundry Form Sans" w:hAnsi="Foundry Form Sans" w:cs="Arial"/>
          <w:szCs w:val="24"/>
        </w:rPr>
        <w:t xml:space="preserve">If for any reason the </w:t>
      </w:r>
      <w:r w:rsidR="00300BFA">
        <w:rPr>
          <w:rFonts w:ascii="Foundry Form Sans" w:hAnsi="Foundry Form Sans" w:cs="Arial"/>
          <w:szCs w:val="24"/>
        </w:rPr>
        <w:t>Bidder</w:t>
      </w:r>
      <w:r w:rsidRPr="00F64813">
        <w:rPr>
          <w:rFonts w:ascii="Foundry Form Sans" w:hAnsi="Foundry Form Sans" w:cs="Arial"/>
          <w:szCs w:val="24"/>
        </w:rPr>
        <w:t xml:space="preserve"> is unable to submit a Tender or wishes to decline to Tender then the </w:t>
      </w:r>
      <w:r w:rsidR="00300BFA">
        <w:rPr>
          <w:rFonts w:ascii="Foundry Form Sans" w:hAnsi="Foundry Form Sans" w:cs="Arial"/>
          <w:szCs w:val="24"/>
        </w:rPr>
        <w:t>Bidder</w:t>
      </w:r>
      <w:r w:rsidRPr="00F64813">
        <w:rPr>
          <w:rFonts w:ascii="Foundry Form Sans" w:hAnsi="Foundry Form Sans" w:cs="Arial"/>
          <w:szCs w:val="24"/>
        </w:rPr>
        <w:t xml:space="preserve"> should inform the </w:t>
      </w:r>
      <w:r w:rsidRPr="00F64813">
        <w:rPr>
          <w:rFonts w:ascii="Foundry Form Sans" w:hAnsi="Foundry Form Sans" w:cs="Arial"/>
        </w:rPr>
        <w:t>GLA/TfL</w:t>
      </w:r>
      <w:r w:rsidRPr="00F64813">
        <w:rPr>
          <w:rFonts w:ascii="Foundry Form Sans" w:hAnsi="Foundry Form Sans" w:cs="Arial"/>
          <w:szCs w:val="24"/>
        </w:rPr>
        <w:t xml:space="preserve"> via the e-tendering portal at the earliest opportunity.</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cs="Arial"/>
          <w:b/>
        </w:rPr>
      </w:pPr>
      <w:r w:rsidRPr="00F64813">
        <w:rPr>
          <w:rFonts w:ascii="Foundry Form Sans" w:hAnsi="Foundry Form Sans" w:cs="Arial"/>
          <w:b/>
          <w:color w:val="000000"/>
        </w:rPr>
        <w:t>The Tender Documents</w:t>
      </w:r>
    </w:p>
    <w:p w:rsidR="009B35D8" w:rsidRDefault="00300BFA" w:rsidP="009F133B">
      <w:pPr>
        <w:pStyle w:val="BodyText"/>
        <w:numPr>
          <w:ilvl w:val="2"/>
          <w:numId w:val="42"/>
        </w:numPr>
        <w:spacing w:after="120" w:line="23" w:lineRule="atLeast"/>
        <w:ind w:left="284"/>
        <w:jc w:val="both"/>
        <w:rPr>
          <w:rFonts w:ascii="Foundry Form Sans" w:hAnsi="Foundry Form Sans" w:cs="Arial"/>
          <w:color w:val="000000"/>
          <w:u w:val="single"/>
        </w:rPr>
      </w:pPr>
      <w:r>
        <w:rPr>
          <w:rFonts w:ascii="Foundry Form Sans" w:hAnsi="Foundry Form Sans" w:cs="Arial"/>
          <w:color w:val="000000"/>
        </w:rPr>
        <w:t>Bidder</w:t>
      </w:r>
      <w:r w:rsidR="00791F39" w:rsidRPr="00F64813">
        <w:rPr>
          <w:rFonts w:ascii="Foundry Form Sans" w:hAnsi="Foundry Form Sans" w:cs="Arial"/>
          <w:color w:val="000000"/>
        </w:rPr>
        <w:t>s</w:t>
      </w:r>
      <w:r w:rsidR="00C137F6">
        <w:rPr>
          <w:rFonts w:ascii="Foundry Form Sans" w:hAnsi="Foundry Form Sans" w:cs="Arial"/>
          <w:color w:val="000000"/>
        </w:rPr>
        <w:t>'</w:t>
      </w:r>
      <w:r w:rsidR="00791F39" w:rsidRPr="00F64813">
        <w:rPr>
          <w:rFonts w:ascii="Foundry Form Sans" w:hAnsi="Foundry Form Sans" w:cs="Arial"/>
          <w:color w:val="000000"/>
        </w:rPr>
        <w:t xml:space="preserve"> attention is drawn to the fact that the ITT is one of several</w:t>
      </w:r>
      <w:r w:rsidR="00791F39" w:rsidRPr="00F64813">
        <w:rPr>
          <w:rFonts w:ascii="Foundry Form Sans" w:hAnsi="Foundry Form Sans" w:cs="Arial"/>
          <w:b/>
        </w:rPr>
        <w:t xml:space="preserve"> </w:t>
      </w:r>
      <w:r w:rsidR="00C00CEE" w:rsidRPr="00F64813">
        <w:rPr>
          <w:rFonts w:ascii="Foundry Form Sans" w:hAnsi="Foundry Form Sans" w:cs="Arial"/>
          <w:color w:val="000000"/>
        </w:rPr>
        <w:t>documents to which</w:t>
      </w:r>
      <w:r w:rsidR="009B35D8">
        <w:rPr>
          <w:rFonts w:ascii="Foundry Form Sans" w:hAnsi="Foundry Form Sans" w:cs="Arial"/>
          <w:color w:val="000000"/>
        </w:rPr>
        <w:t xml:space="preserve"> </w:t>
      </w:r>
      <w:r>
        <w:rPr>
          <w:rFonts w:ascii="Foundry Form Sans" w:hAnsi="Foundry Form Sans" w:cs="Arial"/>
          <w:color w:val="000000"/>
        </w:rPr>
        <w:t>Bidder</w:t>
      </w:r>
      <w:r w:rsidR="00791F39" w:rsidRPr="00F64813">
        <w:rPr>
          <w:rFonts w:ascii="Foundry Form Sans" w:hAnsi="Foundry Form Sans" w:cs="Arial"/>
          <w:color w:val="000000"/>
        </w:rPr>
        <w:t>s will have regard</w:t>
      </w:r>
      <w:r w:rsidR="009B35D8">
        <w:rPr>
          <w:rFonts w:ascii="Foundry Form Sans" w:hAnsi="Foundry Form Sans" w:cs="Arial"/>
          <w:color w:val="000000"/>
        </w:rPr>
        <w:t xml:space="preserve"> to in preparing their Tenders. </w:t>
      </w:r>
      <w:r w:rsidR="00791F39" w:rsidRPr="00F64813">
        <w:rPr>
          <w:rFonts w:ascii="Foundry Form Sans" w:hAnsi="Foundry Form Sans" w:cs="Arial"/>
          <w:color w:val="000000"/>
        </w:rPr>
        <w:t>The full list of these documents, as currently stands, is:</w:t>
      </w:r>
    </w:p>
    <w:p w:rsidR="00791F39" w:rsidRPr="00101B3F" w:rsidRDefault="009B35D8" w:rsidP="009F133B">
      <w:pPr>
        <w:spacing w:before="120" w:after="120" w:line="23" w:lineRule="atLeast"/>
        <w:ind w:left="-436" w:firstLine="720"/>
        <w:jc w:val="both"/>
        <w:rPr>
          <w:rFonts w:ascii="Foundry Form Sans" w:hAnsi="Foundry Form Sans" w:cs="Arial"/>
          <w:color w:val="000000"/>
          <w:sz w:val="22"/>
        </w:rPr>
      </w:pPr>
      <w:r w:rsidRPr="00101B3F">
        <w:rPr>
          <w:rFonts w:ascii="Foundry Form Sans" w:hAnsi="Foundry Form Sans" w:cs="Arial"/>
          <w:color w:val="000000"/>
          <w:sz w:val="22"/>
          <w:u w:val="single"/>
        </w:rPr>
        <w:t>Invitation to Tender – Stage 3 Document</w:t>
      </w:r>
    </w:p>
    <w:p w:rsidR="00791F39" w:rsidRPr="00101B3F" w:rsidRDefault="00C836CA" w:rsidP="009F133B">
      <w:pPr>
        <w:spacing w:before="120" w:after="120" w:line="23" w:lineRule="atLeast"/>
        <w:ind w:firstLine="284"/>
        <w:jc w:val="both"/>
        <w:rPr>
          <w:rFonts w:ascii="Foundry Form Sans" w:hAnsi="Foundry Form Sans" w:cs="Arial"/>
          <w:color w:val="000000"/>
          <w:sz w:val="22"/>
          <w:u w:val="single"/>
        </w:rPr>
      </w:pPr>
      <w:r w:rsidRPr="00101B3F">
        <w:rPr>
          <w:rFonts w:ascii="Foundry Form Sans" w:hAnsi="Foundry Form Sans" w:cs="Arial"/>
          <w:color w:val="000000"/>
          <w:sz w:val="22"/>
          <w:u w:val="single"/>
        </w:rPr>
        <w:t>A</w:t>
      </w:r>
      <w:r>
        <w:rPr>
          <w:rFonts w:ascii="Foundry Form Sans" w:hAnsi="Foundry Form Sans" w:cs="Arial"/>
          <w:color w:val="000000"/>
          <w:sz w:val="22"/>
          <w:u w:val="single"/>
        </w:rPr>
        <w:t>nnex</w:t>
      </w:r>
      <w:r w:rsidRPr="00101B3F">
        <w:rPr>
          <w:rFonts w:ascii="Foundry Form Sans" w:hAnsi="Foundry Form Sans" w:cs="Arial"/>
          <w:color w:val="000000"/>
          <w:sz w:val="22"/>
          <w:u w:val="single"/>
        </w:rPr>
        <w:t xml:space="preserve"> </w:t>
      </w:r>
      <w:r w:rsidR="00A113ED" w:rsidRPr="00101B3F">
        <w:rPr>
          <w:rFonts w:ascii="Foundry Form Sans" w:hAnsi="Foundry Form Sans" w:cs="Arial"/>
          <w:color w:val="000000"/>
          <w:sz w:val="22"/>
          <w:u w:val="single"/>
        </w:rPr>
        <w:t>A - ITT Submission Documents</w:t>
      </w:r>
    </w:p>
    <w:p w:rsidR="00791F39" w:rsidRPr="00101B3F" w:rsidRDefault="0018149F" w:rsidP="009F133B">
      <w:pPr>
        <w:pStyle w:val="ListParagraph"/>
        <w:numPr>
          <w:ilvl w:val="0"/>
          <w:numId w:val="10"/>
        </w:numPr>
        <w:spacing w:before="100" w:beforeAutospacing="1" w:after="100" w:afterAutospacing="1" w:line="20" w:lineRule="atLeast"/>
        <w:ind w:left="851" w:hanging="567"/>
        <w:contextualSpacing w:val="0"/>
        <w:jc w:val="both"/>
        <w:rPr>
          <w:rFonts w:ascii="Foundry Form Sans" w:hAnsi="Foundry Form Sans" w:cs="Arial"/>
          <w:color w:val="000000"/>
          <w:sz w:val="22"/>
        </w:rPr>
      </w:pPr>
      <w:r w:rsidRPr="00101B3F">
        <w:rPr>
          <w:rFonts w:ascii="Foundry Form Sans" w:hAnsi="Foundry Form Sans" w:cs="Arial"/>
          <w:color w:val="000000"/>
          <w:sz w:val="22"/>
        </w:rPr>
        <w:t xml:space="preserve">A1. </w:t>
      </w:r>
      <w:r w:rsidR="00791F39" w:rsidRPr="00101B3F">
        <w:rPr>
          <w:rFonts w:ascii="Foundry Form Sans" w:hAnsi="Foundry Form Sans" w:cs="Arial"/>
          <w:color w:val="000000"/>
          <w:sz w:val="22"/>
        </w:rPr>
        <w:t>ITT Receipt Template</w:t>
      </w:r>
    </w:p>
    <w:p w:rsidR="00791F39" w:rsidRPr="00101B3F" w:rsidRDefault="0018149F" w:rsidP="009F133B">
      <w:pPr>
        <w:pStyle w:val="ListParagraph"/>
        <w:numPr>
          <w:ilvl w:val="0"/>
          <w:numId w:val="10"/>
        </w:numPr>
        <w:spacing w:before="100" w:beforeAutospacing="1" w:after="100" w:afterAutospacing="1" w:line="20" w:lineRule="atLeast"/>
        <w:ind w:left="851" w:hanging="567"/>
        <w:contextualSpacing w:val="0"/>
        <w:jc w:val="both"/>
        <w:rPr>
          <w:rFonts w:ascii="Foundry Form Sans" w:hAnsi="Foundry Form Sans" w:cs="Arial"/>
          <w:color w:val="000000"/>
          <w:sz w:val="22"/>
        </w:rPr>
      </w:pPr>
      <w:r w:rsidRPr="00101B3F">
        <w:rPr>
          <w:rFonts w:ascii="Foundry Form Sans" w:hAnsi="Foundry Form Sans" w:cs="Arial"/>
          <w:color w:val="000000"/>
          <w:sz w:val="22"/>
        </w:rPr>
        <w:t xml:space="preserve">A2. </w:t>
      </w:r>
      <w:r w:rsidR="00791F39" w:rsidRPr="00101B3F">
        <w:rPr>
          <w:rFonts w:ascii="Foundry Form Sans" w:hAnsi="Foundry Form Sans" w:cs="Arial"/>
          <w:color w:val="000000"/>
          <w:sz w:val="22"/>
        </w:rPr>
        <w:t xml:space="preserve">Tender </w:t>
      </w:r>
      <w:r w:rsidR="00631F8A" w:rsidRPr="00101B3F">
        <w:rPr>
          <w:rFonts w:ascii="Foundry Form Sans" w:hAnsi="Foundry Form Sans" w:cs="Arial"/>
          <w:color w:val="000000"/>
          <w:sz w:val="22"/>
        </w:rPr>
        <w:t>Statement</w:t>
      </w:r>
      <w:r w:rsidR="00223E22" w:rsidRPr="00101B3F">
        <w:rPr>
          <w:rFonts w:ascii="Foundry Form Sans" w:hAnsi="Foundry Form Sans" w:cs="Arial"/>
          <w:color w:val="000000"/>
          <w:sz w:val="22"/>
        </w:rPr>
        <w:t xml:space="preserve"> and Checklist</w:t>
      </w:r>
    </w:p>
    <w:p w:rsidR="00791F39" w:rsidRPr="00101B3F" w:rsidRDefault="0018149F" w:rsidP="009F133B">
      <w:pPr>
        <w:pStyle w:val="ListParagraph"/>
        <w:numPr>
          <w:ilvl w:val="0"/>
          <w:numId w:val="10"/>
        </w:numPr>
        <w:spacing w:before="100" w:beforeAutospacing="1" w:after="100" w:afterAutospacing="1" w:line="20" w:lineRule="atLeast"/>
        <w:ind w:left="851" w:hanging="567"/>
        <w:contextualSpacing w:val="0"/>
        <w:jc w:val="both"/>
        <w:rPr>
          <w:rFonts w:ascii="Foundry Form Sans" w:hAnsi="Foundry Form Sans" w:cs="Arial"/>
          <w:color w:val="000000"/>
          <w:sz w:val="22"/>
        </w:rPr>
      </w:pPr>
      <w:r w:rsidRPr="00101B3F">
        <w:rPr>
          <w:rFonts w:ascii="Foundry Form Sans" w:hAnsi="Foundry Form Sans" w:cs="Arial"/>
          <w:color w:val="000000"/>
          <w:sz w:val="22"/>
        </w:rPr>
        <w:t xml:space="preserve">A3. </w:t>
      </w:r>
      <w:r w:rsidR="00C11F95" w:rsidRPr="00101B3F">
        <w:rPr>
          <w:rFonts w:ascii="Foundry Form Sans" w:hAnsi="Foundry Form Sans" w:cs="Arial"/>
          <w:color w:val="000000"/>
          <w:sz w:val="22"/>
        </w:rPr>
        <w:t>Development Appraisal Summary</w:t>
      </w:r>
    </w:p>
    <w:p w:rsidR="00A113ED" w:rsidRPr="00101B3F" w:rsidRDefault="0018149F" w:rsidP="009F133B">
      <w:pPr>
        <w:pStyle w:val="ListParagraph"/>
        <w:numPr>
          <w:ilvl w:val="0"/>
          <w:numId w:val="10"/>
        </w:numPr>
        <w:spacing w:before="100" w:beforeAutospacing="1" w:after="100" w:afterAutospacing="1" w:line="20" w:lineRule="atLeast"/>
        <w:ind w:left="851" w:hanging="567"/>
        <w:contextualSpacing w:val="0"/>
        <w:jc w:val="both"/>
        <w:rPr>
          <w:rFonts w:ascii="Foundry Form Sans" w:hAnsi="Foundry Form Sans" w:cs="Arial"/>
          <w:color w:val="000000"/>
          <w:sz w:val="22"/>
        </w:rPr>
      </w:pPr>
      <w:r w:rsidRPr="00101B3F">
        <w:rPr>
          <w:rFonts w:ascii="Foundry Form Sans" w:hAnsi="Foundry Form Sans" w:cs="Arial"/>
          <w:color w:val="000000"/>
          <w:sz w:val="22"/>
        </w:rPr>
        <w:t xml:space="preserve">A4. </w:t>
      </w:r>
      <w:r w:rsidR="00791F39" w:rsidRPr="00101B3F">
        <w:rPr>
          <w:rFonts w:ascii="Foundry Form Sans" w:hAnsi="Foundry Form Sans" w:cs="Arial"/>
          <w:color w:val="000000"/>
          <w:sz w:val="22"/>
        </w:rPr>
        <w:t>Non-</w:t>
      </w:r>
      <w:r w:rsidR="00A113ED" w:rsidRPr="00101B3F">
        <w:rPr>
          <w:rFonts w:ascii="Foundry Form Sans" w:hAnsi="Foundry Form Sans" w:cs="Arial"/>
          <w:color w:val="000000"/>
          <w:sz w:val="22"/>
        </w:rPr>
        <w:t>C</w:t>
      </w:r>
      <w:r w:rsidR="00791F39" w:rsidRPr="00101B3F">
        <w:rPr>
          <w:rFonts w:ascii="Foundry Form Sans" w:hAnsi="Foundry Form Sans" w:cs="Arial"/>
          <w:color w:val="000000"/>
          <w:sz w:val="22"/>
        </w:rPr>
        <w:t xml:space="preserve">ollusion </w:t>
      </w:r>
      <w:r w:rsidR="00A113ED" w:rsidRPr="00101B3F">
        <w:rPr>
          <w:rFonts w:ascii="Foundry Form Sans" w:hAnsi="Foundry Form Sans" w:cs="Arial"/>
          <w:color w:val="000000"/>
          <w:sz w:val="22"/>
        </w:rPr>
        <w:t>C</w:t>
      </w:r>
      <w:r w:rsidR="00791F39" w:rsidRPr="00101B3F">
        <w:rPr>
          <w:rFonts w:ascii="Foundry Form Sans" w:hAnsi="Foundry Form Sans" w:cs="Arial"/>
          <w:color w:val="000000"/>
          <w:sz w:val="22"/>
        </w:rPr>
        <w:t>ertificate</w:t>
      </w:r>
      <w:r w:rsidR="00A113ED" w:rsidRPr="00101B3F">
        <w:rPr>
          <w:rFonts w:ascii="Foundry Form Sans" w:hAnsi="Foundry Form Sans" w:cs="Arial"/>
          <w:color w:val="000000"/>
          <w:sz w:val="22"/>
        </w:rPr>
        <w:t xml:space="preserve"> </w:t>
      </w:r>
    </w:p>
    <w:p w:rsidR="00791F39" w:rsidRPr="00101B3F" w:rsidRDefault="0018149F" w:rsidP="009F133B">
      <w:pPr>
        <w:pStyle w:val="ListParagraph"/>
        <w:numPr>
          <w:ilvl w:val="0"/>
          <w:numId w:val="10"/>
        </w:numPr>
        <w:spacing w:before="100" w:beforeAutospacing="1" w:after="100" w:afterAutospacing="1" w:line="20" w:lineRule="atLeast"/>
        <w:ind w:left="851" w:hanging="567"/>
        <w:contextualSpacing w:val="0"/>
        <w:jc w:val="both"/>
        <w:rPr>
          <w:rFonts w:ascii="Foundry Form Sans" w:hAnsi="Foundry Form Sans" w:cs="Arial"/>
          <w:color w:val="000000"/>
          <w:sz w:val="22"/>
        </w:rPr>
      </w:pPr>
      <w:r w:rsidRPr="00101B3F">
        <w:rPr>
          <w:rFonts w:ascii="Foundry Form Sans" w:hAnsi="Foundry Form Sans" w:cs="Arial"/>
          <w:sz w:val="22"/>
        </w:rPr>
        <w:t xml:space="preserve">A5. </w:t>
      </w:r>
      <w:r w:rsidR="00A113ED" w:rsidRPr="00101B3F">
        <w:rPr>
          <w:rFonts w:ascii="Foundry Form Sans" w:hAnsi="Foundry Form Sans" w:cs="Arial"/>
          <w:sz w:val="22"/>
        </w:rPr>
        <w:t>Non-Canvassing Certificate</w:t>
      </w:r>
    </w:p>
    <w:p w:rsidR="00791F39" w:rsidRPr="00101B3F" w:rsidRDefault="00C836CA" w:rsidP="009F133B">
      <w:pPr>
        <w:spacing w:before="120" w:after="120" w:line="23" w:lineRule="atLeast"/>
        <w:ind w:left="284"/>
        <w:jc w:val="both"/>
        <w:rPr>
          <w:rFonts w:ascii="Foundry Form Sans" w:hAnsi="Foundry Form Sans" w:cs="Arial"/>
          <w:color w:val="000000"/>
          <w:sz w:val="22"/>
          <w:u w:val="single"/>
        </w:rPr>
      </w:pPr>
      <w:r w:rsidRPr="00101B3F">
        <w:rPr>
          <w:rFonts w:ascii="Foundry Form Sans" w:hAnsi="Foundry Form Sans" w:cs="Arial"/>
          <w:color w:val="000000"/>
          <w:sz w:val="22"/>
          <w:u w:val="single"/>
        </w:rPr>
        <w:t>A</w:t>
      </w:r>
      <w:r>
        <w:rPr>
          <w:rFonts w:ascii="Foundry Form Sans" w:hAnsi="Foundry Form Sans" w:cs="Arial"/>
          <w:color w:val="000000"/>
          <w:sz w:val="22"/>
          <w:u w:val="single"/>
        </w:rPr>
        <w:t>nnex</w:t>
      </w:r>
      <w:r w:rsidRPr="00101B3F">
        <w:rPr>
          <w:rFonts w:ascii="Foundry Form Sans" w:hAnsi="Foundry Form Sans" w:cs="Arial"/>
          <w:color w:val="000000"/>
          <w:sz w:val="22"/>
          <w:u w:val="single"/>
        </w:rPr>
        <w:t xml:space="preserve"> </w:t>
      </w:r>
      <w:r w:rsidR="00114894">
        <w:rPr>
          <w:rFonts w:ascii="Foundry Form Sans" w:hAnsi="Foundry Form Sans" w:cs="Arial"/>
          <w:color w:val="000000"/>
          <w:sz w:val="22"/>
          <w:u w:val="single"/>
        </w:rPr>
        <w:t>B</w:t>
      </w:r>
      <w:r w:rsidR="00A113ED" w:rsidRPr="00101B3F">
        <w:rPr>
          <w:rFonts w:ascii="Foundry Form Sans" w:hAnsi="Foundry Form Sans" w:cs="Arial"/>
          <w:color w:val="000000"/>
          <w:sz w:val="22"/>
          <w:u w:val="single"/>
        </w:rPr>
        <w:t xml:space="preserve"> – Technical Documents</w:t>
      </w:r>
    </w:p>
    <w:p w:rsidR="00791F39" w:rsidRPr="00101B3F" w:rsidRDefault="00791F39" w:rsidP="009F133B">
      <w:pPr>
        <w:spacing w:before="120" w:after="120" w:line="23" w:lineRule="atLeast"/>
        <w:ind w:left="284" w:firstLine="567"/>
        <w:jc w:val="both"/>
        <w:rPr>
          <w:rFonts w:ascii="Foundry Form Sans" w:hAnsi="Foundry Form Sans" w:cs="Arial"/>
          <w:color w:val="000000"/>
          <w:sz w:val="22"/>
        </w:rPr>
      </w:pPr>
      <w:r w:rsidRPr="00101B3F">
        <w:rPr>
          <w:rFonts w:ascii="Foundry Form Sans" w:hAnsi="Foundry Form Sans" w:cs="Arial"/>
          <w:color w:val="000000"/>
          <w:sz w:val="22"/>
        </w:rPr>
        <w:t>Technical information under the following headings:</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lastRenderedPageBreak/>
        <w:t>B</w:t>
      </w:r>
      <w:r w:rsidR="0063608B" w:rsidRPr="002A6358">
        <w:rPr>
          <w:rFonts w:ascii="Foundry Form Sans" w:hAnsi="Foundry Form Sans" w:cs="Arial"/>
          <w:color w:val="000000"/>
          <w:sz w:val="22"/>
        </w:rPr>
        <w:t>1. Site Plan</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t>B</w:t>
      </w:r>
      <w:r w:rsidR="0063608B" w:rsidRPr="002A6358">
        <w:rPr>
          <w:rFonts w:ascii="Foundry Form Sans" w:hAnsi="Foundry Form Sans" w:cs="Arial"/>
          <w:color w:val="000000"/>
          <w:sz w:val="22"/>
        </w:rPr>
        <w:t>2. Summary of Title Deed</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t>B</w:t>
      </w:r>
      <w:r w:rsidR="0063608B" w:rsidRPr="002A6358">
        <w:rPr>
          <w:rFonts w:ascii="Foundry Form Sans" w:hAnsi="Foundry Form Sans" w:cs="Arial"/>
          <w:color w:val="000000"/>
          <w:sz w:val="22"/>
        </w:rPr>
        <w:t>3. Macreanor Lavington Capacity Study</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t>B</w:t>
      </w:r>
      <w:r w:rsidR="0063608B" w:rsidRPr="002A6358">
        <w:rPr>
          <w:rFonts w:ascii="Foundry Form Sans" w:hAnsi="Foundry Form Sans" w:cs="Arial"/>
          <w:color w:val="000000"/>
          <w:sz w:val="22"/>
        </w:rPr>
        <w:t>4</w:t>
      </w:r>
      <w:r w:rsidR="0063608B" w:rsidRPr="006F061D">
        <w:rPr>
          <w:rFonts w:ascii="Foundry Form Sans" w:hAnsi="Foundry Form Sans" w:cs="Arial"/>
          <w:color w:val="000000"/>
          <w:sz w:val="22"/>
        </w:rPr>
        <w:t>. JMP Tran</w:t>
      </w:r>
      <w:r w:rsidR="0063608B" w:rsidRPr="002A6358">
        <w:rPr>
          <w:rFonts w:ascii="Foundry Form Sans" w:hAnsi="Foundry Form Sans" w:cs="Arial"/>
          <w:color w:val="000000"/>
          <w:sz w:val="22"/>
        </w:rPr>
        <w:t>s</w:t>
      </w:r>
      <w:r w:rsidR="0063608B">
        <w:rPr>
          <w:rFonts w:ascii="Foundry Form Sans" w:hAnsi="Foundry Form Sans" w:cs="Arial"/>
          <w:color w:val="000000"/>
          <w:sz w:val="22"/>
        </w:rPr>
        <w:t>p</w:t>
      </w:r>
      <w:r w:rsidR="0063608B" w:rsidRPr="002A6358">
        <w:rPr>
          <w:rFonts w:ascii="Foundry Form Sans" w:hAnsi="Foundry Form Sans" w:cs="Arial"/>
          <w:color w:val="000000"/>
          <w:sz w:val="22"/>
        </w:rPr>
        <w:t>ort Feasibility Study</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t>B</w:t>
      </w:r>
      <w:r w:rsidR="00F73365">
        <w:rPr>
          <w:rFonts w:ascii="Foundry Form Sans" w:hAnsi="Foundry Form Sans" w:cs="Arial"/>
          <w:color w:val="000000"/>
          <w:sz w:val="22"/>
        </w:rPr>
        <w:t>5</w:t>
      </w:r>
      <w:r w:rsidR="0063608B">
        <w:rPr>
          <w:rFonts w:ascii="Foundry Form Sans" w:hAnsi="Foundry Form Sans" w:cs="Arial"/>
          <w:color w:val="000000"/>
          <w:sz w:val="22"/>
        </w:rPr>
        <w:t>. Gallions Quarter Section 278 Agreement</w:t>
      </w:r>
    </w:p>
    <w:p w:rsidR="0063608B" w:rsidRPr="002A6358" w:rsidRDefault="00114894" w:rsidP="009F133B">
      <w:pPr>
        <w:pStyle w:val="ListParagraph"/>
        <w:numPr>
          <w:ilvl w:val="0"/>
          <w:numId w:val="9"/>
        </w:numPr>
        <w:spacing w:line="23" w:lineRule="atLeast"/>
        <w:ind w:left="851" w:hanging="567"/>
        <w:contextualSpacing w:val="0"/>
        <w:jc w:val="both"/>
        <w:rPr>
          <w:rFonts w:ascii="Foundry Form Sans" w:hAnsi="Foundry Form Sans" w:cs="Arial"/>
          <w:color w:val="000000"/>
          <w:sz w:val="22"/>
        </w:rPr>
      </w:pPr>
      <w:r>
        <w:rPr>
          <w:rFonts w:ascii="Foundry Form Sans" w:hAnsi="Foundry Form Sans" w:cs="Arial"/>
          <w:color w:val="000000"/>
          <w:sz w:val="22"/>
        </w:rPr>
        <w:t>B</w:t>
      </w:r>
      <w:r w:rsidR="00F73365">
        <w:rPr>
          <w:rFonts w:ascii="Foundry Form Sans" w:hAnsi="Foundry Form Sans" w:cs="Arial"/>
          <w:color w:val="000000"/>
          <w:sz w:val="22"/>
        </w:rPr>
        <w:t>6</w:t>
      </w:r>
      <w:r w:rsidR="0063608B" w:rsidRPr="002A6358">
        <w:rPr>
          <w:rFonts w:ascii="Foundry Form Sans" w:hAnsi="Foundry Form Sans" w:cs="Arial"/>
          <w:color w:val="000000"/>
          <w:sz w:val="22"/>
        </w:rPr>
        <w:t>. Key Planning Principles</w:t>
      </w:r>
    </w:p>
    <w:p w:rsidR="00C836CA" w:rsidRDefault="00C836CA" w:rsidP="009F133B">
      <w:pPr>
        <w:pStyle w:val="ListParagraph"/>
        <w:spacing w:line="23" w:lineRule="atLeast"/>
        <w:ind w:left="284"/>
        <w:contextualSpacing w:val="0"/>
        <w:jc w:val="both"/>
        <w:rPr>
          <w:rFonts w:ascii="Foundry Form Sans" w:hAnsi="Foundry Form Sans" w:cs="Arial"/>
          <w:color w:val="000000"/>
          <w:sz w:val="22"/>
          <w:u w:val="single"/>
        </w:rPr>
      </w:pPr>
    </w:p>
    <w:p w:rsidR="008C6274" w:rsidRPr="00027DF3" w:rsidRDefault="008C6274" w:rsidP="009F133B">
      <w:pPr>
        <w:pStyle w:val="ListParagraph"/>
        <w:spacing w:line="23" w:lineRule="atLeast"/>
        <w:ind w:left="284"/>
        <w:contextualSpacing w:val="0"/>
        <w:jc w:val="both"/>
        <w:rPr>
          <w:rFonts w:ascii="Foundry Form Sans" w:hAnsi="Foundry Form Sans" w:cs="Arial"/>
          <w:color w:val="000000"/>
          <w:sz w:val="22"/>
        </w:rPr>
      </w:pP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References to ‘Tender Documents’ shall include any further documents or information made available by the GLA/TfL to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s as part of this tender process, and any responses issued by or on behalf of the GLA/TfL to written enquiries received from </w:t>
      </w:r>
      <w:r w:rsidR="00300BFA" w:rsidRPr="006C58EE">
        <w:rPr>
          <w:rFonts w:ascii="Foundry Form Sans" w:hAnsi="Foundry Form Sans" w:cs="Arial"/>
          <w:color w:val="000000"/>
        </w:rPr>
        <w:t>Bidder</w:t>
      </w:r>
      <w:r w:rsidRPr="006C58EE">
        <w:rPr>
          <w:rFonts w:ascii="Foundry Form Sans" w:hAnsi="Foundry Form Sans" w:cs="Arial"/>
          <w:color w:val="000000"/>
        </w:rPr>
        <w:t>s.</w:t>
      </w:r>
    </w:p>
    <w:p w:rsidR="00086565"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While reasonable care has been taken in preparing the</w:t>
      </w:r>
      <w:r w:rsidR="00BF5744" w:rsidRPr="006C58EE">
        <w:rPr>
          <w:rFonts w:ascii="Foundry Form Sans" w:hAnsi="Foundry Form Sans" w:cs="Arial"/>
          <w:color w:val="000000"/>
        </w:rPr>
        <w:t xml:space="preserve"> </w:t>
      </w:r>
      <w:r w:rsidR="00BD4A4D">
        <w:rPr>
          <w:rFonts w:ascii="Foundry Form Sans" w:hAnsi="Foundry Form Sans" w:cs="Arial"/>
          <w:color w:val="000000"/>
        </w:rPr>
        <w:t>Annexes</w:t>
      </w:r>
      <w:r w:rsidRPr="006C58EE">
        <w:rPr>
          <w:rFonts w:ascii="Foundry Form Sans" w:hAnsi="Foundry Form Sans" w:cs="Arial"/>
          <w:color w:val="000000"/>
        </w:rPr>
        <w:t xml:space="preserve">, the information within it does not purport to be exhaustive or to have been independently verified. The GLA/TfL accepts no liability or responsibility for the adequacy, accuracy or completeness of any information or opinions stated in this document. If the </w:t>
      </w:r>
      <w:r w:rsidR="00086565" w:rsidRPr="006C58EE">
        <w:rPr>
          <w:rFonts w:ascii="Foundry Form Sans" w:hAnsi="Foundry Form Sans" w:cs="Arial"/>
          <w:color w:val="000000"/>
        </w:rPr>
        <w:t>B</w:t>
      </w:r>
      <w:r w:rsidRPr="006C58EE">
        <w:rPr>
          <w:rFonts w:ascii="Foundry Form Sans" w:hAnsi="Foundry Form Sans" w:cs="Arial"/>
          <w:color w:val="000000"/>
        </w:rPr>
        <w:t xml:space="preserve">idder considers that any of the Tender documents are deficient in any respect, any page or drawing is missing or duplicated/requires clarification, or if any words or figures are indistinct or ambiguous, the bidder is requested to notify the GLA/TfL using the e-tendering portal. </w:t>
      </w: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Each </w:t>
      </w:r>
      <w:r w:rsidR="00086565" w:rsidRPr="006C58EE">
        <w:rPr>
          <w:rFonts w:ascii="Foundry Form Sans" w:hAnsi="Foundry Form Sans" w:cs="Arial"/>
          <w:color w:val="000000"/>
        </w:rPr>
        <w:t>B</w:t>
      </w:r>
      <w:r w:rsidRPr="006C58EE">
        <w:rPr>
          <w:rFonts w:ascii="Foundry Form Sans" w:hAnsi="Foundry Form Sans" w:cs="Arial"/>
          <w:color w:val="000000"/>
        </w:rPr>
        <w:t xml:space="preserve">idder shall be deemed to have satisfied itself before submitting a proposal as to the accuracy and sufficiency of its financial proposal, which shall (unless otherwise provided) cover all obligations under any legal agreement entered into with the GLA at the conclusion of this Tender process. Each </w:t>
      </w:r>
      <w:r w:rsidR="00086565" w:rsidRPr="006C58EE">
        <w:rPr>
          <w:rFonts w:ascii="Foundry Form Sans" w:hAnsi="Foundry Form Sans" w:cs="Arial"/>
          <w:color w:val="000000"/>
        </w:rPr>
        <w:t>B</w:t>
      </w:r>
      <w:r w:rsidRPr="006C58EE">
        <w:rPr>
          <w:rFonts w:ascii="Foundry Form Sans" w:hAnsi="Foundry Form Sans" w:cs="Arial"/>
          <w:color w:val="000000"/>
        </w:rPr>
        <w:t>idder will also be deemed to have obtained for itself all necessary information as to risks, contingencies and any other circumstances, which might reasonably affect its submission.</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cs="Arial"/>
          <w:b/>
        </w:rPr>
      </w:pPr>
      <w:r w:rsidRPr="00F64813">
        <w:rPr>
          <w:rFonts w:ascii="Foundry Form Sans" w:hAnsi="Foundry Form Sans" w:cs="Arial"/>
          <w:b/>
        </w:rPr>
        <w:t xml:space="preserve">Tender Queries </w:t>
      </w: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All queries regarding the Tender Documents which may have a bearing in the Tender to be made should be raised by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via the e-tendering portal at least </w:t>
      </w:r>
      <w:r w:rsidR="00E01125" w:rsidRPr="006C58EE">
        <w:rPr>
          <w:rFonts w:ascii="Foundry Form Sans" w:hAnsi="Foundry Form Sans" w:cs="Arial"/>
          <w:color w:val="000000"/>
        </w:rPr>
        <w:t>ten</w:t>
      </w:r>
      <w:r w:rsidRPr="006C58EE">
        <w:rPr>
          <w:rFonts w:ascii="Foundry Form Sans" w:hAnsi="Foundry Form Sans" w:cs="Arial"/>
          <w:color w:val="000000"/>
        </w:rPr>
        <w:t xml:space="preserve"> (</w:t>
      </w:r>
      <w:r w:rsidR="007D6CD3" w:rsidRPr="006C58EE">
        <w:rPr>
          <w:rFonts w:ascii="Foundry Form Sans" w:hAnsi="Foundry Form Sans" w:cs="Arial"/>
          <w:color w:val="000000"/>
        </w:rPr>
        <w:t>10</w:t>
      </w:r>
      <w:r w:rsidRPr="006C58EE">
        <w:rPr>
          <w:rFonts w:ascii="Foundry Form Sans" w:hAnsi="Foundry Form Sans" w:cs="Arial"/>
          <w:color w:val="000000"/>
        </w:rPr>
        <w:t xml:space="preserve">) working days before the due date for returned Tenders i.e. the last date for Tender queries </w:t>
      </w:r>
      <w:r w:rsidRPr="003060EA">
        <w:rPr>
          <w:rFonts w:ascii="Foundry Form Sans" w:hAnsi="Foundry Form Sans" w:cs="Arial"/>
          <w:color w:val="000000"/>
        </w:rPr>
        <w:t xml:space="preserve">is </w:t>
      </w:r>
      <w:r w:rsidR="006F51A5" w:rsidRPr="003060EA">
        <w:rPr>
          <w:rFonts w:ascii="Foundry Form Sans" w:hAnsi="Foundry Form Sans" w:cs="Arial"/>
          <w:color w:val="000000"/>
        </w:rPr>
        <w:t>19th May 2017</w:t>
      </w:r>
      <w:r w:rsidRPr="003060EA">
        <w:rPr>
          <w:rFonts w:ascii="Foundry Form Sans" w:hAnsi="Foundry Form Sans" w:cs="Arial"/>
          <w:color w:val="000000"/>
        </w:rPr>
        <w:t>.</w:t>
      </w:r>
      <w:r w:rsidRPr="006C58EE">
        <w:rPr>
          <w:rFonts w:ascii="Foundry Form Sans" w:hAnsi="Foundry Form Sans" w:cs="Arial"/>
          <w:color w:val="000000"/>
        </w:rPr>
        <w:t xml:space="preserve"> The GLA/TfL will aim to respond within five (5) working days.</w:t>
      </w: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Please note that the GLA’s/TfL’s responses to any queries or clarification requests may, at the GLA’s/TfL’s discretion, be circulated to all </w:t>
      </w:r>
      <w:r w:rsidR="00300BFA" w:rsidRPr="006C58EE">
        <w:rPr>
          <w:rFonts w:ascii="Foundry Form Sans" w:hAnsi="Foundry Form Sans" w:cs="Arial"/>
          <w:color w:val="000000"/>
        </w:rPr>
        <w:t>Bidder</w:t>
      </w:r>
      <w:r w:rsidRPr="006C58EE">
        <w:rPr>
          <w:rFonts w:ascii="Foundry Form Sans" w:hAnsi="Foundry Form Sans" w:cs="Arial"/>
          <w:color w:val="000000"/>
        </w:rPr>
        <w:t>s.</w:t>
      </w: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It is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’s obligation to bring to the attention of the GLA/TfL an enquiry which involves confidential information. In that case,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should clearly mark its enquiry “in confidence – not to be circulated to other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s”.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must also set out the reason(s) for the request for non-disclosure to other </w:t>
      </w:r>
      <w:r w:rsidR="00300BFA" w:rsidRPr="006C58EE">
        <w:rPr>
          <w:rFonts w:ascii="Foundry Form Sans" w:hAnsi="Foundry Form Sans" w:cs="Arial"/>
          <w:color w:val="000000"/>
        </w:rPr>
        <w:t>Bidder</w:t>
      </w:r>
      <w:r w:rsidRPr="006C58EE">
        <w:rPr>
          <w:rFonts w:ascii="Foundry Form Sans" w:hAnsi="Foundry Form Sans" w:cs="Arial"/>
          <w:color w:val="000000"/>
        </w:rPr>
        <w:t>s.</w:t>
      </w:r>
    </w:p>
    <w:p w:rsidR="00791F39" w:rsidRPr="006C58EE" w:rsidRDefault="00791F39" w:rsidP="009F133B">
      <w:pPr>
        <w:pStyle w:val="BodyText"/>
        <w:numPr>
          <w:ilvl w:val="2"/>
          <w:numId w:val="42"/>
        </w:numPr>
        <w:spacing w:after="120" w:line="23" w:lineRule="atLeast"/>
        <w:ind w:left="284"/>
        <w:jc w:val="both"/>
        <w:rPr>
          <w:rFonts w:ascii="Foundry Form Sans" w:hAnsi="Foundry Form Sans" w:cs="Arial"/>
          <w:color w:val="000000"/>
        </w:rPr>
      </w:pPr>
      <w:r w:rsidRPr="006C58EE">
        <w:rPr>
          <w:rFonts w:ascii="Foundry Form Sans" w:hAnsi="Foundry Form Sans" w:cs="Arial"/>
          <w:color w:val="000000"/>
        </w:rPr>
        <w:t xml:space="preserve">If the GLA/TfL agrees with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that the enquiry is confidential, GLA/TfL reserves the right to respond to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on an individual basis (although </w:t>
      </w:r>
      <w:r w:rsidR="00300BFA" w:rsidRPr="006C58EE">
        <w:rPr>
          <w:rFonts w:ascii="Foundry Form Sans" w:hAnsi="Foundry Form Sans" w:cs="Arial"/>
          <w:color w:val="000000"/>
        </w:rPr>
        <w:t>Bidder</w:t>
      </w:r>
      <w:r w:rsidRPr="006C58EE">
        <w:rPr>
          <w:rFonts w:ascii="Foundry Form Sans" w:hAnsi="Foundry Form Sans" w:cs="Arial"/>
          <w:color w:val="000000"/>
        </w:rPr>
        <w:t>s should note that this is without prejudice to the GLA’s/TfL</w:t>
      </w:r>
      <w:r w:rsidR="00086565" w:rsidRPr="006C58EE">
        <w:rPr>
          <w:rFonts w:ascii="Foundry Form Sans" w:hAnsi="Foundry Form Sans" w:cs="Arial"/>
          <w:color w:val="000000"/>
        </w:rPr>
        <w:t>'s</w:t>
      </w:r>
      <w:r w:rsidRPr="006C58EE">
        <w:rPr>
          <w:rFonts w:ascii="Foundry Form Sans" w:hAnsi="Foundry Form Sans" w:cs="Arial"/>
          <w:color w:val="000000"/>
        </w:rPr>
        <w:t xml:space="preserve"> obligations under Freedom of Information legislation). If, however, the GLA/TfL disagrees with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that the enquiry is confidential and considers it must provide its response to the enquiry to all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s in the interests of open and fair competition, it will so notify the relevant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must as soon as practicable then respond in writing requesting that the enquiry be withdrawn, amended or treated as not confidential.  The GLA/TfL will treat the enquiry as withdrawn if they are not contacted by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within </w:t>
      </w:r>
      <w:r w:rsidR="007D6CD3" w:rsidRPr="006C58EE">
        <w:rPr>
          <w:rFonts w:ascii="Foundry Form Sans" w:hAnsi="Foundry Form Sans" w:cs="Arial"/>
          <w:color w:val="000000"/>
        </w:rPr>
        <w:t xml:space="preserve">one working day </w:t>
      </w:r>
      <w:r w:rsidRPr="006C58EE">
        <w:rPr>
          <w:rFonts w:ascii="Foundry Form Sans" w:hAnsi="Foundry Form Sans" w:cs="Arial"/>
          <w:color w:val="000000"/>
        </w:rPr>
        <w:t xml:space="preserve">of the </w:t>
      </w:r>
      <w:r w:rsidR="00300BFA" w:rsidRPr="006C58EE">
        <w:rPr>
          <w:rFonts w:ascii="Foundry Form Sans" w:hAnsi="Foundry Form Sans" w:cs="Arial"/>
          <w:color w:val="000000"/>
        </w:rPr>
        <w:t>Bidder</w:t>
      </w:r>
      <w:r w:rsidRPr="006C58EE">
        <w:rPr>
          <w:rFonts w:ascii="Foundry Form Sans" w:hAnsi="Foundry Form Sans" w:cs="Arial"/>
          <w:color w:val="000000"/>
        </w:rPr>
        <w:t xml:space="preserve"> being notified.</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b/>
        </w:rPr>
      </w:pPr>
      <w:r w:rsidRPr="00F64813">
        <w:rPr>
          <w:rFonts w:ascii="Foundry Form Sans" w:hAnsi="Foundry Form Sans"/>
          <w:b/>
        </w:rPr>
        <w:t>Tender Submission Requirements</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b/>
        </w:rPr>
      </w:pPr>
      <w:r w:rsidRPr="00F64813">
        <w:rPr>
          <w:rFonts w:ascii="Foundry Form Sans" w:hAnsi="Foundry Form Sans" w:cs="Arial"/>
        </w:rPr>
        <w:t xml:space="preserve">The Tender must be received by TfL in accordance with the relevant instructions no later than mid-day (1200 hrs) on </w:t>
      </w:r>
      <w:r w:rsidR="00281030">
        <w:rPr>
          <w:rFonts w:ascii="Foundry Form Sans" w:hAnsi="Foundry Form Sans" w:cs="Arial"/>
          <w:b/>
          <w:color w:val="000000" w:themeColor="text1"/>
        </w:rPr>
        <w:t>2</w:t>
      </w:r>
      <w:r w:rsidR="00281030" w:rsidRPr="00281030">
        <w:rPr>
          <w:rFonts w:ascii="Foundry Form Sans" w:hAnsi="Foundry Form Sans" w:cs="Arial"/>
          <w:b/>
          <w:color w:val="000000" w:themeColor="text1"/>
          <w:vertAlign w:val="superscript"/>
        </w:rPr>
        <w:t>nd</w:t>
      </w:r>
      <w:r w:rsidR="00281030">
        <w:rPr>
          <w:rFonts w:ascii="Foundry Form Sans" w:hAnsi="Foundry Form Sans" w:cs="Arial"/>
          <w:b/>
          <w:color w:val="000000" w:themeColor="text1"/>
        </w:rPr>
        <w:t xml:space="preserve"> June</w:t>
      </w:r>
      <w:r w:rsidR="0042728C">
        <w:rPr>
          <w:rFonts w:ascii="Foundry Form Sans" w:hAnsi="Foundry Form Sans" w:cs="Arial"/>
          <w:b/>
          <w:color w:val="000000" w:themeColor="text1"/>
        </w:rPr>
        <w:t xml:space="preserve"> 2017</w:t>
      </w:r>
      <w:r w:rsidRPr="00537ECB">
        <w:rPr>
          <w:rFonts w:ascii="Foundry Form Sans" w:hAnsi="Foundry Form Sans" w:cs="Arial"/>
        </w:rPr>
        <w:t>.</w:t>
      </w:r>
      <w:r w:rsidRPr="00F64813">
        <w:rPr>
          <w:rFonts w:ascii="Foundry Form Sans" w:hAnsi="Foundry Form Sans" w:cs="Arial"/>
        </w:rPr>
        <w:t xml:space="preserve"> Instructions in relation to the structure of your Tender response and the information required within it are set out in </w:t>
      </w:r>
      <w:r w:rsidR="00537ECB">
        <w:rPr>
          <w:rFonts w:ascii="Foundry Form Sans" w:hAnsi="Foundry Form Sans" w:cs="Arial"/>
          <w:b/>
        </w:rPr>
        <w:t>Section</w:t>
      </w:r>
      <w:r w:rsidR="00086565">
        <w:rPr>
          <w:rFonts w:ascii="Foundry Form Sans" w:hAnsi="Foundry Form Sans" w:cs="Arial"/>
          <w:b/>
        </w:rPr>
        <w:t xml:space="preserve"> 6</w:t>
      </w:r>
      <w:r w:rsidRPr="00F64813">
        <w:rPr>
          <w:rFonts w:ascii="Foundry Form Sans" w:hAnsi="Foundry Form Sans" w:cs="Arial"/>
        </w:rPr>
        <w:t xml:space="preserve"> of this document.</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lastRenderedPageBreak/>
        <w:t xml:space="preserve">Please note GLA/TfL will not accept bids sent by any method other than the e-tendering Portal unless by </w:t>
      </w:r>
      <w:r w:rsidRPr="00F64813">
        <w:rPr>
          <w:rFonts w:ascii="Foundry Form Sans" w:hAnsi="Foundry Form Sans" w:cs="Arial"/>
          <w:b/>
        </w:rPr>
        <w:t>prior agreement</w:t>
      </w:r>
      <w:r w:rsidRPr="00F64813">
        <w:rPr>
          <w:rFonts w:ascii="Foundry Form Sans" w:hAnsi="Foundry Form Sans" w:cs="Arial"/>
        </w:rPr>
        <w:t>. To submit a bid by any other means other than the portal may render your bid invalid.</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rPr>
      </w:pPr>
      <w:r w:rsidRPr="00F64813">
        <w:rPr>
          <w:rFonts w:ascii="Foundry Form Sans" w:hAnsi="Foundry Form Sans" w:cs="Arial"/>
        </w:rPr>
        <w:t>If you have any queries regarding the e-tendering portal please contact the e-tendering helpdesk on 0800 0740 503 or email</w:t>
      </w:r>
      <w:r w:rsidRPr="00F64813">
        <w:rPr>
          <w:rFonts w:ascii="Foundry Form Sans" w:hAnsi="Foundry Form Sans" w:cs="Arial"/>
          <w:color w:val="1F497D"/>
        </w:rPr>
        <w:t xml:space="preserve">: </w:t>
      </w:r>
      <w:hyperlink r:id="rId19" w:tooltip="blocked::mailto:tfl-eproc-helpdesk@eurodyn.com" w:history="1">
        <w:r w:rsidRPr="00F64813">
          <w:rPr>
            <w:rStyle w:val="Hyperlink"/>
            <w:rFonts w:ascii="Foundry Form Sans" w:hAnsi="Foundry Form Sans"/>
          </w:rPr>
          <w:t>tfl-eproc-helpdesk@eurodyn.com</w:t>
        </w:r>
      </w:hyperlink>
      <w:r w:rsidRPr="00F64813">
        <w:rPr>
          <w:rFonts w:ascii="Foundry Form Sans" w:hAnsi="Foundry Form Sans"/>
        </w:rPr>
        <w:t xml:space="preserve"> in the first instance; or </w:t>
      </w:r>
      <w:r w:rsidR="0077501D">
        <w:rPr>
          <w:rFonts w:ascii="Foundry Form Sans" w:hAnsi="Foundry Form Sans"/>
        </w:rPr>
        <w:t>Alison Altoft (AlisonAltoft@tfl.gov.uk)</w:t>
      </w:r>
      <w:r w:rsidRPr="00F64813">
        <w:rPr>
          <w:rFonts w:ascii="Foundry Form Sans" w:hAnsi="Foundry Form Sans"/>
        </w:rPr>
        <w:t xml:space="preserve">.  </w:t>
      </w:r>
    </w:p>
    <w:p w:rsidR="00791F39" w:rsidRPr="00F64813" w:rsidRDefault="00300BFA"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rPr>
        <w:t>Bidder</w:t>
      </w:r>
      <w:r w:rsidR="00791F39" w:rsidRPr="00F64813">
        <w:rPr>
          <w:rFonts w:ascii="Foundry Form Sans" w:hAnsi="Foundry Form Sans"/>
        </w:rPr>
        <w:t>s are also reminded that contacting the project team directly may result in disqualifi</w:t>
      </w:r>
      <w:r w:rsidR="009F3FAA" w:rsidRPr="00F64813">
        <w:rPr>
          <w:rFonts w:ascii="Foundry Form Sans" w:hAnsi="Foundry Form Sans"/>
        </w:rPr>
        <w:t>cation from the tender process.</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t xml:space="preserve">In addition to your electronic submission via the eTender site, </w:t>
      </w:r>
      <w:r w:rsidR="00300BFA">
        <w:rPr>
          <w:rFonts w:ascii="Foundry Form Sans" w:hAnsi="Foundry Form Sans" w:cs="Arial"/>
        </w:rPr>
        <w:t>Bidder</w:t>
      </w:r>
      <w:r w:rsidRPr="00F64813">
        <w:rPr>
          <w:rFonts w:ascii="Foundry Form Sans" w:hAnsi="Foundry Form Sans" w:cs="Arial"/>
        </w:rPr>
        <w:t xml:space="preserve">s must return </w:t>
      </w:r>
      <w:r w:rsidRPr="00F64813">
        <w:rPr>
          <w:rFonts w:ascii="Foundry Form Sans" w:hAnsi="Foundry Form Sans" w:cs="Arial"/>
          <w:b/>
        </w:rPr>
        <w:t>three paper copies o</w:t>
      </w:r>
      <w:r w:rsidR="00537ECB">
        <w:rPr>
          <w:rFonts w:ascii="Foundry Form Sans" w:hAnsi="Foundry Form Sans" w:cs="Arial"/>
          <w:b/>
        </w:rPr>
        <w:t>f their Tender within a working day of the submission</w:t>
      </w:r>
      <w:r w:rsidRPr="00F64813">
        <w:rPr>
          <w:rFonts w:ascii="Foundry Form Sans" w:hAnsi="Foundry Form Sans" w:cs="Arial"/>
          <w:b/>
        </w:rPr>
        <w:t>.</w:t>
      </w:r>
      <w:r w:rsidRPr="00F64813">
        <w:rPr>
          <w:rFonts w:ascii="Foundry Form Sans" w:hAnsi="Foundry Form Sans" w:cs="Arial"/>
        </w:rPr>
        <w:t xml:space="preserve"> </w:t>
      </w:r>
    </w:p>
    <w:p w:rsidR="00791F39" w:rsidRPr="00F64813" w:rsidRDefault="00791F39" w:rsidP="009F133B">
      <w:pPr>
        <w:spacing w:before="120" w:after="120" w:line="23" w:lineRule="atLeast"/>
        <w:ind w:left="284"/>
        <w:jc w:val="both"/>
        <w:rPr>
          <w:rFonts w:ascii="Foundry Form Sans" w:hAnsi="Foundry Form Sans" w:cs="Arial"/>
          <w:sz w:val="22"/>
        </w:rPr>
      </w:pPr>
      <w:r w:rsidRPr="00F64813">
        <w:rPr>
          <w:rFonts w:ascii="Foundry Form Sans" w:hAnsi="Foundry Form Sans" w:cs="Arial"/>
          <w:sz w:val="22"/>
        </w:rPr>
        <w:t xml:space="preserve">Please return your paper copies of the tender documents to: </w:t>
      </w:r>
    </w:p>
    <w:p w:rsidR="00C00CEE" w:rsidRPr="00F64813" w:rsidRDefault="00681DDE" w:rsidP="009F133B">
      <w:pPr>
        <w:spacing w:before="120" w:after="120" w:line="276" w:lineRule="auto"/>
        <w:ind w:left="284"/>
        <w:contextualSpacing/>
        <w:jc w:val="both"/>
        <w:rPr>
          <w:rFonts w:ascii="Foundry Form Sans" w:hAnsi="Foundry Form Sans"/>
          <w:sz w:val="22"/>
        </w:rPr>
      </w:pPr>
      <w:r>
        <w:rPr>
          <w:rFonts w:ascii="Foundry Form Sans" w:hAnsi="Foundry Form Sans"/>
          <w:sz w:val="22"/>
        </w:rPr>
        <w:t>Bethan James</w:t>
      </w:r>
    </w:p>
    <w:p w:rsidR="00C00CEE" w:rsidRPr="00F64813" w:rsidRDefault="00791F39" w:rsidP="009F133B">
      <w:pPr>
        <w:spacing w:before="120" w:after="120" w:line="276" w:lineRule="auto"/>
        <w:ind w:left="284"/>
        <w:contextualSpacing/>
        <w:jc w:val="both"/>
        <w:rPr>
          <w:rFonts w:ascii="Foundry Form Sans" w:hAnsi="Foundry Form Sans"/>
          <w:sz w:val="22"/>
        </w:rPr>
      </w:pPr>
      <w:r w:rsidRPr="00F64813">
        <w:rPr>
          <w:rFonts w:ascii="Foundry Form Sans" w:hAnsi="Foundry Form Sans"/>
          <w:sz w:val="22"/>
        </w:rPr>
        <w:t>Greater London Authority</w:t>
      </w:r>
    </w:p>
    <w:p w:rsidR="00791F39" w:rsidRPr="00F64813" w:rsidRDefault="00791F39" w:rsidP="009F133B">
      <w:pPr>
        <w:spacing w:before="120" w:after="120" w:line="276" w:lineRule="auto"/>
        <w:ind w:left="284"/>
        <w:contextualSpacing/>
        <w:jc w:val="both"/>
        <w:rPr>
          <w:rFonts w:ascii="Foundry Form Sans" w:hAnsi="Foundry Form Sans"/>
          <w:sz w:val="22"/>
        </w:rPr>
      </w:pPr>
      <w:r w:rsidRPr="00F64813">
        <w:rPr>
          <w:rFonts w:ascii="Foundry Form Sans" w:hAnsi="Foundry Form Sans"/>
          <w:sz w:val="22"/>
        </w:rPr>
        <w:t>Housing and Land Directorate</w:t>
      </w:r>
    </w:p>
    <w:p w:rsidR="00791F39" w:rsidRPr="00F64813" w:rsidRDefault="00791F39" w:rsidP="009F133B">
      <w:pPr>
        <w:spacing w:before="120" w:after="120" w:line="276" w:lineRule="auto"/>
        <w:ind w:left="284"/>
        <w:contextualSpacing/>
        <w:jc w:val="both"/>
        <w:rPr>
          <w:rFonts w:ascii="Foundry Form Sans" w:hAnsi="Foundry Form Sans"/>
          <w:sz w:val="22"/>
        </w:rPr>
      </w:pPr>
      <w:r w:rsidRPr="00F64813">
        <w:rPr>
          <w:rFonts w:ascii="Foundry Form Sans" w:hAnsi="Foundry Form Sans"/>
          <w:sz w:val="22"/>
        </w:rPr>
        <w:t>The Queens Walk</w:t>
      </w:r>
    </w:p>
    <w:p w:rsidR="00791F39" w:rsidRPr="00F64813" w:rsidRDefault="00791F39" w:rsidP="009F133B">
      <w:pPr>
        <w:spacing w:before="120" w:after="120" w:line="276" w:lineRule="auto"/>
        <w:ind w:left="284"/>
        <w:contextualSpacing/>
        <w:jc w:val="both"/>
        <w:rPr>
          <w:rFonts w:ascii="Foundry Form Sans" w:hAnsi="Foundry Form Sans"/>
          <w:sz w:val="22"/>
        </w:rPr>
      </w:pPr>
      <w:r w:rsidRPr="00F64813">
        <w:rPr>
          <w:rFonts w:ascii="Foundry Form Sans" w:hAnsi="Foundry Form Sans"/>
          <w:sz w:val="22"/>
        </w:rPr>
        <w:t>London SE1 2AA</w:t>
      </w:r>
    </w:p>
    <w:p w:rsidR="00791F39" w:rsidRPr="00F64813" w:rsidRDefault="00300BFA" w:rsidP="009F133B">
      <w:pPr>
        <w:pStyle w:val="BodyText"/>
        <w:numPr>
          <w:ilvl w:val="2"/>
          <w:numId w:val="42"/>
        </w:numPr>
        <w:spacing w:after="120" w:line="23" w:lineRule="atLeast"/>
        <w:ind w:left="284"/>
        <w:jc w:val="both"/>
        <w:rPr>
          <w:rFonts w:ascii="Foundry Form Sans" w:hAnsi="Foundry Form Sans" w:cs="Arial"/>
          <w:b/>
        </w:rPr>
      </w:pPr>
      <w:r>
        <w:rPr>
          <w:rFonts w:ascii="Foundry Form Sans" w:hAnsi="Foundry Form Sans" w:cs="Arial"/>
        </w:rPr>
        <w:t>Bidder</w:t>
      </w:r>
      <w:r w:rsidR="00791F39" w:rsidRPr="00F64813">
        <w:rPr>
          <w:rFonts w:ascii="Foundry Form Sans" w:hAnsi="Foundry Form Sans" w:cs="Arial"/>
        </w:rPr>
        <w:t xml:space="preserve">s must ensure that all pages in their documents are clearly numbered and a clear and precise index is provided to aid navigation through the document. The document should also be structured to respond to each element/sub element of the requirements of this Tender as set out in the ‘Submission Checklist’ in </w:t>
      </w:r>
      <w:r w:rsidR="006F061D" w:rsidRPr="00612FD7">
        <w:rPr>
          <w:rFonts w:ascii="Foundry Form Sans" w:hAnsi="Foundry Form Sans" w:cs="Arial"/>
        </w:rPr>
        <w:t>A</w:t>
      </w:r>
      <w:r w:rsidR="006F061D">
        <w:rPr>
          <w:rFonts w:ascii="Foundry Form Sans" w:hAnsi="Foundry Form Sans" w:cs="Arial"/>
        </w:rPr>
        <w:t>nnex</w:t>
      </w:r>
      <w:r w:rsidR="006F061D" w:rsidRPr="00612FD7">
        <w:rPr>
          <w:rFonts w:ascii="Foundry Form Sans" w:hAnsi="Foundry Form Sans" w:cs="Arial"/>
        </w:rPr>
        <w:t xml:space="preserve"> </w:t>
      </w:r>
      <w:r w:rsidR="00223E22" w:rsidRPr="00612FD7">
        <w:rPr>
          <w:rFonts w:ascii="Foundry Form Sans" w:hAnsi="Foundry Form Sans" w:cs="Arial"/>
        </w:rPr>
        <w:t>A.2</w:t>
      </w:r>
      <w:r w:rsidR="00791F39" w:rsidRPr="00612FD7">
        <w:rPr>
          <w:rFonts w:ascii="Foundry Form Sans" w:hAnsi="Foundry Form Sans" w:cs="Arial"/>
        </w:rPr>
        <w:t>.</w:t>
      </w:r>
    </w:p>
    <w:p w:rsidR="00537ECB" w:rsidRPr="00F64813" w:rsidRDefault="00537ECB" w:rsidP="009F133B">
      <w:pPr>
        <w:pStyle w:val="BodyText"/>
        <w:numPr>
          <w:ilvl w:val="2"/>
          <w:numId w:val="42"/>
        </w:numPr>
        <w:spacing w:after="120" w:line="23" w:lineRule="atLeast"/>
        <w:ind w:left="284"/>
        <w:jc w:val="both"/>
        <w:rPr>
          <w:rFonts w:ascii="Foundry Form Sans" w:hAnsi="Foundry Form Sans" w:cs="Arial"/>
        </w:rPr>
      </w:pPr>
      <w:r w:rsidRPr="00F64813">
        <w:rPr>
          <w:rFonts w:ascii="Foundry Form Sans" w:hAnsi="Foundry Form Sans" w:cs="Arial"/>
        </w:rPr>
        <w:t>In case of any discrepancies the electronic version of the Tender will prevail.</w:t>
      </w:r>
    </w:p>
    <w:p w:rsidR="00791F39" w:rsidRPr="00F64813" w:rsidRDefault="00791F39" w:rsidP="009F133B">
      <w:pPr>
        <w:pStyle w:val="BodyText"/>
        <w:numPr>
          <w:ilvl w:val="2"/>
          <w:numId w:val="42"/>
        </w:numPr>
        <w:spacing w:after="120" w:line="23" w:lineRule="atLeast"/>
        <w:ind w:left="284"/>
        <w:jc w:val="both"/>
        <w:rPr>
          <w:rFonts w:ascii="Foundry Form Sans" w:hAnsi="Foundry Form Sans" w:cs="Arial"/>
          <w:b/>
        </w:rPr>
      </w:pPr>
      <w:r w:rsidRPr="00F64813">
        <w:rPr>
          <w:rFonts w:ascii="Foundry Form Sans" w:hAnsi="Foundry Form Sans" w:cs="Arial"/>
        </w:rPr>
        <w:t xml:space="preserve">Failure to follow the above requirements may result in a loss of marks and possibly complete rejection. </w:t>
      </w:r>
      <w:r w:rsidRPr="00F64813">
        <w:rPr>
          <w:rFonts w:ascii="Foundry Form Sans" w:hAnsi="Foundry Form Sans" w:cs="Arial"/>
          <w:b/>
        </w:rPr>
        <w:t xml:space="preserve"> </w:t>
      </w:r>
    </w:p>
    <w:p w:rsidR="00791F39" w:rsidRPr="00F64813" w:rsidRDefault="00791F39" w:rsidP="009F133B">
      <w:pPr>
        <w:pStyle w:val="BodyText"/>
        <w:numPr>
          <w:ilvl w:val="1"/>
          <w:numId w:val="42"/>
        </w:numPr>
        <w:spacing w:after="120" w:line="23" w:lineRule="atLeast"/>
        <w:ind w:left="284"/>
        <w:jc w:val="both"/>
        <w:rPr>
          <w:rFonts w:ascii="Foundry Form Sans" w:hAnsi="Foundry Form Sans" w:cs="Arial"/>
          <w:b/>
        </w:rPr>
      </w:pPr>
      <w:r w:rsidRPr="00F64813">
        <w:rPr>
          <w:rFonts w:ascii="Foundry Form Sans" w:hAnsi="Foundry Form Sans" w:cs="Arial"/>
          <w:b/>
        </w:rPr>
        <w:t>Competition Timetable</w:t>
      </w:r>
    </w:p>
    <w:tbl>
      <w:tblPr>
        <w:tblpPr w:leftFromText="180" w:rightFromText="180" w:vertAnchor="text" w:horzAnchor="page" w:tblpX="2137" w:tblpY="147"/>
        <w:tblW w:w="7455" w:type="dxa"/>
        <w:tblLook w:val="0000" w:firstRow="0" w:lastRow="0" w:firstColumn="0" w:lastColumn="0" w:noHBand="0" w:noVBand="0"/>
      </w:tblPr>
      <w:tblGrid>
        <w:gridCol w:w="4095"/>
        <w:gridCol w:w="3360"/>
      </w:tblGrid>
      <w:tr w:rsidR="00F05227" w:rsidRPr="00F64813" w:rsidTr="00DD32C0">
        <w:trPr>
          <w:trHeight w:val="99"/>
        </w:trPr>
        <w:tc>
          <w:tcPr>
            <w:tcW w:w="4095" w:type="dxa"/>
            <w:tcBorders>
              <w:top w:val="single" w:sz="8" w:space="0" w:color="auto"/>
              <w:left w:val="single" w:sz="8" w:space="0" w:color="auto"/>
              <w:bottom w:val="single" w:sz="8" w:space="0" w:color="auto"/>
              <w:right w:val="single" w:sz="8" w:space="0" w:color="auto"/>
            </w:tcBorders>
            <w:shd w:val="clear" w:color="auto" w:fill="FFCC00"/>
          </w:tcPr>
          <w:p w:rsidR="00F05227" w:rsidRPr="00F64813" w:rsidRDefault="00F05227" w:rsidP="009F133B">
            <w:pPr>
              <w:spacing w:before="120" w:after="120" w:line="23" w:lineRule="atLeast"/>
              <w:ind w:left="284" w:hanging="142"/>
              <w:jc w:val="both"/>
              <w:rPr>
                <w:rFonts w:ascii="Foundry Form Sans" w:hAnsi="Foundry Form Sans" w:cs="Arial"/>
                <w:b/>
                <w:bCs/>
              </w:rPr>
            </w:pPr>
            <w:r w:rsidRPr="00F64813">
              <w:rPr>
                <w:rFonts w:ascii="Foundry Form Sans" w:hAnsi="Foundry Form Sans" w:cs="Arial"/>
                <w:b/>
                <w:bCs/>
                <w:sz w:val="22"/>
              </w:rPr>
              <w:t>Stage</w:t>
            </w:r>
          </w:p>
        </w:tc>
        <w:tc>
          <w:tcPr>
            <w:tcW w:w="3360" w:type="dxa"/>
            <w:tcBorders>
              <w:top w:val="single" w:sz="8" w:space="0" w:color="auto"/>
              <w:left w:val="nil"/>
              <w:bottom w:val="single" w:sz="8" w:space="0" w:color="auto"/>
              <w:right w:val="single" w:sz="8" w:space="0" w:color="auto"/>
            </w:tcBorders>
            <w:shd w:val="clear" w:color="auto" w:fill="FFCC00"/>
          </w:tcPr>
          <w:p w:rsidR="00F05227" w:rsidRPr="00F64813" w:rsidRDefault="00F05227" w:rsidP="009F133B">
            <w:pPr>
              <w:spacing w:before="120" w:after="120" w:line="23" w:lineRule="atLeast"/>
              <w:ind w:left="441" w:hanging="141"/>
              <w:jc w:val="both"/>
              <w:rPr>
                <w:rFonts w:ascii="Foundry Form Sans" w:hAnsi="Foundry Form Sans" w:cs="Arial"/>
                <w:b/>
                <w:bCs/>
              </w:rPr>
            </w:pPr>
            <w:r w:rsidRPr="00F64813">
              <w:rPr>
                <w:rFonts w:ascii="Foundry Form Sans" w:hAnsi="Foundry Form Sans" w:cs="Arial"/>
                <w:b/>
                <w:bCs/>
                <w:sz w:val="22"/>
              </w:rPr>
              <w:t>Dates</w:t>
            </w:r>
            <w:r w:rsidR="009B35D8">
              <w:rPr>
                <w:rFonts w:ascii="Foundry Form Sans" w:hAnsi="Foundry Form Sans" w:cs="Arial"/>
                <w:b/>
                <w:bCs/>
                <w:sz w:val="22"/>
              </w:rPr>
              <w:t>*</w:t>
            </w:r>
          </w:p>
        </w:tc>
      </w:tr>
      <w:tr w:rsidR="00F05227" w:rsidRPr="00F64813" w:rsidTr="00DD32C0">
        <w:trPr>
          <w:trHeight w:val="60"/>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Issue of Invitation to Tender</w:t>
            </w:r>
          </w:p>
        </w:tc>
        <w:tc>
          <w:tcPr>
            <w:tcW w:w="3360" w:type="dxa"/>
            <w:tcBorders>
              <w:top w:val="nil"/>
              <w:left w:val="nil"/>
              <w:bottom w:val="single" w:sz="8" w:space="0" w:color="auto"/>
              <w:right w:val="single" w:sz="8" w:space="0" w:color="auto"/>
            </w:tcBorders>
            <w:shd w:val="clear" w:color="auto" w:fill="FFFF99"/>
          </w:tcPr>
          <w:p w:rsidR="00F05227" w:rsidRPr="00E67959" w:rsidRDefault="00281030" w:rsidP="009F133B">
            <w:pPr>
              <w:spacing w:before="120" w:after="120" w:line="23" w:lineRule="atLeast"/>
              <w:ind w:left="441" w:hanging="141"/>
              <w:jc w:val="both"/>
              <w:rPr>
                <w:rFonts w:ascii="Foundry Form Sans" w:hAnsi="Foundry Form Sans" w:cs="Arial"/>
              </w:rPr>
            </w:pPr>
            <w:r>
              <w:rPr>
                <w:rFonts w:ascii="Foundry Form Sans" w:hAnsi="Foundry Form Sans" w:cs="Arial"/>
              </w:rPr>
              <w:t>16</w:t>
            </w:r>
            <w:r w:rsidR="005C01D5">
              <w:rPr>
                <w:rFonts w:ascii="Foundry Form Sans" w:hAnsi="Foundry Form Sans" w:cs="Arial"/>
              </w:rPr>
              <w:t xml:space="preserve"> March 2017</w:t>
            </w:r>
          </w:p>
        </w:tc>
      </w:tr>
      <w:tr w:rsidR="00F2265C" w:rsidRPr="00F64813" w:rsidTr="00DD32C0">
        <w:trPr>
          <w:trHeight w:val="197"/>
        </w:trPr>
        <w:tc>
          <w:tcPr>
            <w:tcW w:w="4095" w:type="dxa"/>
            <w:tcBorders>
              <w:top w:val="nil"/>
              <w:left w:val="single" w:sz="8" w:space="0" w:color="auto"/>
              <w:bottom w:val="single" w:sz="8" w:space="0" w:color="auto"/>
              <w:right w:val="single" w:sz="8" w:space="0" w:color="auto"/>
            </w:tcBorders>
            <w:shd w:val="clear" w:color="auto" w:fill="FFFF99"/>
          </w:tcPr>
          <w:p w:rsidR="00F2265C" w:rsidRPr="00F64813" w:rsidRDefault="00F2265C" w:rsidP="009F133B">
            <w:pPr>
              <w:spacing w:before="120" w:after="120" w:line="23" w:lineRule="atLeast"/>
              <w:ind w:left="284" w:hanging="142"/>
              <w:jc w:val="both"/>
              <w:rPr>
                <w:rFonts w:ascii="Foundry Form Sans" w:hAnsi="Foundry Form Sans" w:cs="Arial"/>
                <w:sz w:val="22"/>
              </w:rPr>
            </w:pPr>
            <w:r>
              <w:rPr>
                <w:rFonts w:ascii="Foundry Form Sans" w:hAnsi="Foundry Form Sans" w:cs="Arial"/>
                <w:sz w:val="22"/>
              </w:rPr>
              <w:t>Clarification meeting with GLA &amp; LBN</w:t>
            </w:r>
          </w:p>
        </w:tc>
        <w:tc>
          <w:tcPr>
            <w:tcW w:w="3360" w:type="dxa"/>
            <w:tcBorders>
              <w:top w:val="nil"/>
              <w:left w:val="nil"/>
              <w:bottom w:val="single" w:sz="8" w:space="0" w:color="auto"/>
              <w:right w:val="single" w:sz="8" w:space="0" w:color="auto"/>
            </w:tcBorders>
            <w:shd w:val="clear" w:color="auto" w:fill="FFFF99"/>
          </w:tcPr>
          <w:p w:rsidR="00F2265C" w:rsidDel="00F2265C" w:rsidRDefault="00F2265C" w:rsidP="009F133B">
            <w:pPr>
              <w:spacing w:before="120" w:after="120" w:line="23" w:lineRule="atLeast"/>
              <w:ind w:left="441" w:hanging="141"/>
              <w:jc w:val="both"/>
              <w:rPr>
                <w:rFonts w:ascii="Foundry Form Sans" w:hAnsi="Foundry Form Sans" w:cs="Arial"/>
              </w:rPr>
            </w:pPr>
            <w:r>
              <w:rPr>
                <w:rFonts w:ascii="Foundry Form Sans" w:hAnsi="Foundry Form Sans" w:cs="Arial"/>
              </w:rPr>
              <w:t>27 April 2017</w:t>
            </w:r>
          </w:p>
        </w:tc>
      </w:tr>
      <w:tr w:rsidR="00F05227" w:rsidRPr="00F64813" w:rsidTr="00DD32C0">
        <w:trPr>
          <w:trHeight w:val="197"/>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Last date to submit Tender Clarifications</w:t>
            </w:r>
          </w:p>
        </w:tc>
        <w:tc>
          <w:tcPr>
            <w:tcW w:w="3360" w:type="dxa"/>
            <w:tcBorders>
              <w:top w:val="nil"/>
              <w:left w:val="nil"/>
              <w:bottom w:val="single" w:sz="8" w:space="0" w:color="auto"/>
              <w:right w:val="single" w:sz="8" w:space="0" w:color="auto"/>
            </w:tcBorders>
            <w:shd w:val="clear" w:color="auto" w:fill="FFFF99"/>
          </w:tcPr>
          <w:p w:rsidR="00F05227" w:rsidRPr="00E67959" w:rsidRDefault="00F2265C" w:rsidP="009F133B">
            <w:pPr>
              <w:spacing w:before="120" w:after="120" w:line="23" w:lineRule="atLeast"/>
              <w:ind w:left="441" w:hanging="141"/>
              <w:jc w:val="both"/>
              <w:rPr>
                <w:rFonts w:ascii="Foundry Form Sans" w:hAnsi="Foundry Form Sans" w:cs="Arial"/>
              </w:rPr>
            </w:pPr>
            <w:r>
              <w:rPr>
                <w:rFonts w:ascii="Foundry Form Sans" w:hAnsi="Foundry Form Sans" w:cs="Arial"/>
              </w:rPr>
              <w:t>19</w:t>
            </w:r>
            <w:r w:rsidR="005C01D5">
              <w:rPr>
                <w:rFonts w:ascii="Foundry Form Sans" w:hAnsi="Foundry Form Sans" w:cs="Arial"/>
              </w:rPr>
              <w:t xml:space="preserve"> </w:t>
            </w:r>
            <w:r>
              <w:rPr>
                <w:rFonts w:ascii="Foundry Form Sans" w:hAnsi="Foundry Form Sans" w:cs="Arial"/>
              </w:rPr>
              <w:t xml:space="preserve">May </w:t>
            </w:r>
            <w:r w:rsidR="005C01D5">
              <w:rPr>
                <w:rFonts w:ascii="Foundry Form Sans" w:hAnsi="Foundry Form Sans" w:cs="Arial"/>
              </w:rPr>
              <w:t>2017</w:t>
            </w:r>
          </w:p>
        </w:tc>
      </w:tr>
      <w:tr w:rsidR="00F05227" w:rsidRPr="00F64813" w:rsidTr="00DD32C0">
        <w:trPr>
          <w:trHeight w:val="111"/>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9E6939" w:rsidP="009F133B">
            <w:pPr>
              <w:spacing w:before="120" w:after="120" w:line="23" w:lineRule="atLeast"/>
              <w:ind w:left="284" w:hanging="142"/>
              <w:jc w:val="both"/>
              <w:rPr>
                <w:rFonts w:ascii="Foundry Form Sans" w:hAnsi="Foundry Form Sans" w:cs="Arial"/>
              </w:rPr>
            </w:pPr>
            <w:r>
              <w:rPr>
                <w:rFonts w:ascii="Foundry Form Sans" w:hAnsi="Foundry Form Sans" w:cs="Arial"/>
                <w:sz w:val="22"/>
              </w:rPr>
              <w:t>Mini Competition - ITT</w:t>
            </w:r>
            <w:r w:rsidR="00F05227" w:rsidRPr="00F64813">
              <w:rPr>
                <w:rFonts w:ascii="Foundry Form Sans" w:hAnsi="Foundry Form Sans" w:cs="Arial"/>
                <w:sz w:val="22"/>
              </w:rPr>
              <w:t xml:space="preserve"> Return</w:t>
            </w:r>
          </w:p>
        </w:tc>
        <w:tc>
          <w:tcPr>
            <w:tcW w:w="3360" w:type="dxa"/>
            <w:tcBorders>
              <w:top w:val="nil"/>
              <w:left w:val="nil"/>
              <w:bottom w:val="single" w:sz="8" w:space="0" w:color="auto"/>
              <w:right w:val="single" w:sz="8" w:space="0" w:color="auto"/>
            </w:tcBorders>
            <w:shd w:val="clear" w:color="auto" w:fill="FFFF99"/>
          </w:tcPr>
          <w:p w:rsidR="00F05227" w:rsidRPr="00E67959" w:rsidRDefault="0077501D" w:rsidP="009F133B">
            <w:pPr>
              <w:spacing w:before="120" w:after="120" w:line="23" w:lineRule="atLeast"/>
              <w:ind w:left="441" w:hanging="141"/>
              <w:jc w:val="both"/>
              <w:rPr>
                <w:rFonts w:ascii="Foundry Form Sans" w:hAnsi="Foundry Form Sans" w:cs="Arial"/>
                <w:b/>
              </w:rPr>
            </w:pPr>
            <w:r>
              <w:rPr>
                <w:rFonts w:ascii="Foundry Form Sans" w:hAnsi="Foundry Form Sans" w:cs="Arial"/>
                <w:b/>
              </w:rPr>
              <w:t>2</w:t>
            </w:r>
            <w:r w:rsidR="0042728C">
              <w:rPr>
                <w:rFonts w:ascii="Foundry Form Sans" w:hAnsi="Foundry Form Sans" w:cs="Arial"/>
                <w:b/>
              </w:rPr>
              <w:t xml:space="preserve"> </w:t>
            </w:r>
            <w:r>
              <w:rPr>
                <w:rFonts w:ascii="Foundry Form Sans" w:hAnsi="Foundry Form Sans" w:cs="Arial"/>
                <w:b/>
              </w:rPr>
              <w:t xml:space="preserve">June </w:t>
            </w:r>
            <w:r w:rsidR="0042728C">
              <w:rPr>
                <w:rFonts w:ascii="Foundry Form Sans" w:hAnsi="Foundry Form Sans" w:cs="Arial"/>
                <w:b/>
              </w:rPr>
              <w:t>2017</w:t>
            </w:r>
          </w:p>
        </w:tc>
      </w:tr>
      <w:tr w:rsidR="00F05227" w:rsidRPr="00F64813" w:rsidTr="00DD32C0">
        <w:trPr>
          <w:trHeight w:val="60"/>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Tender Interviews</w:t>
            </w:r>
          </w:p>
        </w:tc>
        <w:tc>
          <w:tcPr>
            <w:tcW w:w="3360" w:type="dxa"/>
            <w:tcBorders>
              <w:top w:val="nil"/>
              <w:left w:val="nil"/>
              <w:bottom w:val="single" w:sz="8" w:space="0" w:color="auto"/>
              <w:right w:val="single" w:sz="8" w:space="0" w:color="auto"/>
            </w:tcBorders>
            <w:shd w:val="clear" w:color="auto" w:fill="FFFF99"/>
          </w:tcPr>
          <w:p w:rsidR="00F05227" w:rsidRPr="00E67959" w:rsidRDefault="00F2265C" w:rsidP="009F133B">
            <w:pPr>
              <w:spacing w:before="120" w:after="120" w:line="23" w:lineRule="atLeast"/>
              <w:ind w:left="441" w:hanging="141"/>
              <w:jc w:val="both"/>
              <w:rPr>
                <w:rFonts w:ascii="Foundry Form Sans" w:hAnsi="Foundry Form Sans" w:cs="Arial"/>
              </w:rPr>
            </w:pPr>
            <w:r>
              <w:rPr>
                <w:rFonts w:ascii="Foundry Form Sans" w:hAnsi="Foundry Form Sans" w:cs="Arial"/>
              </w:rPr>
              <w:t>15 June</w:t>
            </w:r>
            <w:r w:rsidR="0042728C">
              <w:rPr>
                <w:rFonts w:ascii="Foundry Form Sans" w:hAnsi="Foundry Form Sans" w:cs="Arial"/>
              </w:rPr>
              <w:t xml:space="preserve"> 2017</w:t>
            </w:r>
          </w:p>
        </w:tc>
      </w:tr>
      <w:tr w:rsidR="00F05227" w:rsidRPr="00F64813" w:rsidTr="00DD32C0">
        <w:trPr>
          <w:trHeight w:val="105"/>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Evaluation Complete</w:t>
            </w:r>
          </w:p>
        </w:tc>
        <w:tc>
          <w:tcPr>
            <w:tcW w:w="3360" w:type="dxa"/>
            <w:tcBorders>
              <w:top w:val="nil"/>
              <w:left w:val="nil"/>
              <w:bottom w:val="single" w:sz="8" w:space="0" w:color="auto"/>
              <w:right w:val="single" w:sz="8" w:space="0" w:color="auto"/>
            </w:tcBorders>
            <w:shd w:val="clear" w:color="auto" w:fill="FFFF99"/>
          </w:tcPr>
          <w:p w:rsidR="00F05227" w:rsidRPr="00E67959" w:rsidRDefault="00F2265C" w:rsidP="009F133B">
            <w:pPr>
              <w:spacing w:before="120" w:after="120" w:line="23" w:lineRule="atLeast"/>
              <w:ind w:left="441" w:hanging="141"/>
              <w:jc w:val="both"/>
              <w:rPr>
                <w:rFonts w:ascii="Foundry Form Sans" w:hAnsi="Foundry Form Sans" w:cs="Arial"/>
              </w:rPr>
            </w:pPr>
            <w:r>
              <w:rPr>
                <w:rFonts w:ascii="Foundry Form Sans" w:hAnsi="Foundry Form Sans" w:cs="Arial"/>
              </w:rPr>
              <w:t xml:space="preserve">August </w:t>
            </w:r>
            <w:r w:rsidR="0042728C">
              <w:rPr>
                <w:rFonts w:ascii="Foundry Form Sans" w:hAnsi="Foundry Form Sans" w:cs="Arial"/>
              </w:rPr>
              <w:t>2017</w:t>
            </w:r>
          </w:p>
        </w:tc>
      </w:tr>
      <w:tr w:rsidR="00F05227" w:rsidRPr="00F64813" w:rsidTr="009F133B">
        <w:trPr>
          <w:trHeight w:val="60"/>
        </w:trPr>
        <w:tc>
          <w:tcPr>
            <w:tcW w:w="4095" w:type="dxa"/>
            <w:tcBorders>
              <w:top w:val="nil"/>
              <w:left w:val="single" w:sz="8" w:space="0" w:color="auto"/>
              <w:bottom w:val="single" w:sz="8"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 xml:space="preserve">Confirmation of Selected </w:t>
            </w:r>
            <w:r w:rsidR="00300BFA">
              <w:rPr>
                <w:rFonts w:ascii="Foundry Form Sans" w:hAnsi="Foundry Form Sans" w:cs="Arial"/>
                <w:sz w:val="22"/>
              </w:rPr>
              <w:t>Bidder</w:t>
            </w:r>
          </w:p>
        </w:tc>
        <w:tc>
          <w:tcPr>
            <w:tcW w:w="3360" w:type="dxa"/>
            <w:tcBorders>
              <w:top w:val="nil"/>
              <w:left w:val="nil"/>
              <w:bottom w:val="single" w:sz="8" w:space="0" w:color="auto"/>
              <w:right w:val="single" w:sz="8" w:space="0" w:color="auto"/>
            </w:tcBorders>
            <w:shd w:val="clear" w:color="auto" w:fill="FFFF99"/>
          </w:tcPr>
          <w:p w:rsidR="00F05227" w:rsidRPr="00E67959" w:rsidRDefault="00F2265C" w:rsidP="009F133B">
            <w:pPr>
              <w:spacing w:before="120" w:after="120" w:line="23" w:lineRule="atLeast"/>
              <w:ind w:left="441" w:hanging="141"/>
              <w:jc w:val="both"/>
              <w:rPr>
                <w:rFonts w:ascii="Foundry Form Sans" w:hAnsi="Foundry Form Sans" w:cs="Arial"/>
              </w:rPr>
            </w:pPr>
            <w:r>
              <w:rPr>
                <w:rFonts w:ascii="Foundry Form Sans" w:hAnsi="Foundry Form Sans" w:cs="Arial"/>
              </w:rPr>
              <w:t xml:space="preserve">August </w:t>
            </w:r>
            <w:r w:rsidR="0042728C">
              <w:rPr>
                <w:rFonts w:ascii="Foundry Form Sans" w:hAnsi="Foundry Form Sans" w:cs="Arial"/>
              </w:rPr>
              <w:t>2017</w:t>
            </w:r>
          </w:p>
        </w:tc>
      </w:tr>
      <w:tr w:rsidR="00F05227" w:rsidRPr="00F64813" w:rsidTr="009F133B">
        <w:trPr>
          <w:trHeight w:val="60"/>
        </w:trPr>
        <w:tc>
          <w:tcPr>
            <w:tcW w:w="4095" w:type="dxa"/>
            <w:tcBorders>
              <w:top w:val="single" w:sz="8" w:space="0" w:color="auto"/>
              <w:left w:val="single" w:sz="8" w:space="0" w:color="auto"/>
              <w:bottom w:val="single" w:sz="4" w:space="0" w:color="auto"/>
              <w:right w:val="single" w:sz="8" w:space="0" w:color="auto"/>
            </w:tcBorders>
            <w:shd w:val="clear" w:color="auto" w:fill="FFFF99"/>
          </w:tcPr>
          <w:p w:rsidR="00F05227" w:rsidRPr="00F64813" w:rsidRDefault="00F05227" w:rsidP="009F133B">
            <w:pPr>
              <w:spacing w:before="120" w:after="120" w:line="23" w:lineRule="atLeast"/>
              <w:ind w:left="284" w:hanging="142"/>
              <w:jc w:val="both"/>
              <w:rPr>
                <w:rFonts w:ascii="Foundry Form Sans" w:hAnsi="Foundry Form Sans" w:cs="Arial"/>
              </w:rPr>
            </w:pPr>
            <w:r w:rsidRPr="00F64813">
              <w:rPr>
                <w:rFonts w:ascii="Foundry Form Sans" w:hAnsi="Foundry Form Sans" w:cs="Arial"/>
                <w:sz w:val="22"/>
              </w:rPr>
              <w:t>Development Agreement Completed</w:t>
            </w:r>
          </w:p>
        </w:tc>
        <w:tc>
          <w:tcPr>
            <w:tcW w:w="3360" w:type="dxa"/>
            <w:tcBorders>
              <w:top w:val="single" w:sz="8" w:space="0" w:color="auto"/>
              <w:left w:val="nil"/>
              <w:bottom w:val="single" w:sz="4" w:space="0" w:color="auto"/>
              <w:right w:val="single" w:sz="8" w:space="0" w:color="auto"/>
            </w:tcBorders>
            <w:shd w:val="clear" w:color="auto" w:fill="FFFF99"/>
          </w:tcPr>
          <w:p w:rsidR="00F05227" w:rsidRPr="00E67959" w:rsidRDefault="0042728C" w:rsidP="009F133B">
            <w:pPr>
              <w:spacing w:before="120" w:after="120" w:line="23" w:lineRule="atLeast"/>
              <w:ind w:left="441" w:hanging="141"/>
              <w:jc w:val="both"/>
              <w:rPr>
                <w:rFonts w:ascii="Foundry Form Sans" w:hAnsi="Foundry Form Sans" w:cs="Arial"/>
              </w:rPr>
            </w:pPr>
            <w:r>
              <w:rPr>
                <w:rFonts w:ascii="Foundry Form Sans" w:hAnsi="Foundry Form Sans" w:cs="Arial"/>
              </w:rPr>
              <w:t>September 2017</w:t>
            </w:r>
          </w:p>
        </w:tc>
      </w:tr>
    </w:tbl>
    <w:p w:rsidR="00791F39" w:rsidRPr="00F64813" w:rsidRDefault="00791F39" w:rsidP="009F133B">
      <w:pPr>
        <w:pStyle w:val="Body2"/>
        <w:spacing w:before="120" w:after="120" w:line="23" w:lineRule="atLeast"/>
        <w:ind w:left="284" w:hanging="567"/>
        <w:rPr>
          <w:rFonts w:ascii="Foundry Form Sans" w:hAnsi="Foundry Form Sans" w:cs="Arial"/>
          <w:sz w:val="22"/>
          <w:szCs w:val="24"/>
        </w:rPr>
      </w:pPr>
    </w:p>
    <w:p w:rsidR="00791F39" w:rsidRPr="00F64813" w:rsidRDefault="00791F39" w:rsidP="009F133B">
      <w:pPr>
        <w:pStyle w:val="Body2"/>
        <w:spacing w:before="120" w:after="120" w:line="23" w:lineRule="atLeast"/>
        <w:ind w:left="284" w:hanging="567"/>
        <w:rPr>
          <w:rFonts w:ascii="Foundry Form Sans" w:hAnsi="Foundry Form Sans" w:cs="Arial"/>
          <w:sz w:val="22"/>
          <w:szCs w:val="24"/>
        </w:rPr>
      </w:pPr>
    </w:p>
    <w:p w:rsidR="00F05227" w:rsidRPr="00F64813" w:rsidRDefault="00F05227" w:rsidP="009F133B">
      <w:pPr>
        <w:pStyle w:val="Body2"/>
        <w:spacing w:before="120" w:after="120" w:line="23" w:lineRule="atLeast"/>
        <w:ind w:left="284"/>
        <w:rPr>
          <w:rFonts w:ascii="Foundry Form Sans" w:hAnsi="Foundry Form Sans" w:cs="Arial"/>
          <w:sz w:val="22"/>
          <w:szCs w:val="24"/>
        </w:rPr>
      </w:pPr>
    </w:p>
    <w:p w:rsidR="00F05227" w:rsidRPr="00F64813" w:rsidRDefault="00F05227" w:rsidP="009F133B">
      <w:pPr>
        <w:pStyle w:val="Body2"/>
        <w:spacing w:before="120" w:after="120" w:line="23" w:lineRule="atLeast"/>
        <w:ind w:left="284"/>
        <w:rPr>
          <w:rFonts w:ascii="Foundry Form Sans" w:hAnsi="Foundry Form Sans" w:cs="Arial"/>
          <w:sz w:val="22"/>
          <w:szCs w:val="24"/>
        </w:rPr>
      </w:pPr>
    </w:p>
    <w:p w:rsidR="005B3BC8" w:rsidRDefault="009B35D8" w:rsidP="009F133B">
      <w:pPr>
        <w:pStyle w:val="Body2"/>
        <w:spacing w:before="120" w:after="120" w:line="23" w:lineRule="atLeast"/>
        <w:ind w:left="284"/>
        <w:rPr>
          <w:rFonts w:ascii="Foundry Form Sans" w:hAnsi="Foundry Form Sans" w:cs="Arial"/>
          <w:sz w:val="22"/>
          <w:szCs w:val="24"/>
        </w:rPr>
      </w:pPr>
      <w:r>
        <w:rPr>
          <w:rFonts w:ascii="Foundry Form Sans" w:hAnsi="Foundry Form Sans" w:cs="Arial"/>
          <w:sz w:val="22"/>
          <w:szCs w:val="24"/>
        </w:rPr>
        <w:t>*T</w:t>
      </w:r>
      <w:r w:rsidR="00C36B76">
        <w:rPr>
          <w:rFonts w:ascii="Foundry Form Sans" w:hAnsi="Foundry Form Sans" w:cs="Arial"/>
          <w:sz w:val="22"/>
          <w:szCs w:val="24"/>
        </w:rPr>
        <w:t>imetable is indicative only - t</w:t>
      </w:r>
      <w:r w:rsidR="00791F39" w:rsidRPr="00F64813">
        <w:rPr>
          <w:rFonts w:ascii="Foundry Form Sans" w:hAnsi="Foundry Form Sans" w:cs="Arial"/>
          <w:sz w:val="22"/>
          <w:szCs w:val="24"/>
        </w:rPr>
        <w:t xml:space="preserve">he </w:t>
      </w:r>
      <w:r w:rsidR="00791F39" w:rsidRPr="00F64813">
        <w:rPr>
          <w:rFonts w:ascii="Foundry Form Sans" w:hAnsi="Foundry Form Sans" w:cs="Arial"/>
          <w:sz w:val="22"/>
        </w:rPr>
        <w:t>GLA/TfL</w:t>
      </w:r>
      <w:r w:rsidR="00791F39" w:rsidRPr="00F64813">
        <w:rPr>
          <w:rFonts w:ascii="Foundry Form Sans" w:hAnsi="Foundry Form Sans" w:cs="Arial"/>
          <w:sz w:val="22"/>
          <w:szCs w:val="24"/>
        </w:rPr>
        <w:t xml:space="preserve"> reserves the right to change it at its discretion.</w:t>
      </w:r>
    </w:p>
    <w:p w:rsidR="0039749E" w:rsidRDefault="0039749E" w:rsidP="009F133B">
      <w:pPr>
        <w:pStyle w:val="Body2"/>
        <w:spacing w:before="120" w:after="120" w:line="23" w:lineRule="atLeast"/>
        <w:ind w:left="284"/>
        <w:rPr>
          <w:rFonts w:ascii="Foundry Form Sans" w:hAnsi="Foundry Form Sans" w:cs="Arial"/>
          <w:sz w:val="22"/>
          <w:szCs w:val="24"/>
        </w:rPr>
      </w:pPr>
    </w:p>
    <w:p w:rsidR="009E6939" w:rsidRDefault="009E6939" w:rsidP="009F133B">
      <w:pPr>
        <w:pStyle w:val="Body2"/>
        <w:spacing w:before="120" w:after="120" w:line="23" w:lineRule="atLeast"/>
        <w:ind w:left="284"/>
        <w:rPr>
          <w:rFonts w:ascii="Foundry Form Sans" w:hAnsi="Foundry Form Sans" w:cs="Arial"/>
          <w:sz w:val="22"/>
          <w:szCs w:val="24"/>
        </w:rPr>
      </w:pPr>
    </w:p>
    <w:p w:rsidR="00F05227" w:rsidRDefault="00101A7C" w:rsidP="009F133B">
      <w:pPr>
        <w:pStyle w:val="Heading1"/>
        <w:numPr>
          <w:ilvl w:val="0"/>
          <w:numId w:val="42"/>
        </w:numPr>
        <w:pBdr>
          <w:bottom w:val="single" w:sz="4" w:space="1" w:color="auto"/>
        </w:pBdr>
        <w:ind w:left="284"/>
        <w:jc w:val="both"/>
      </w:pPr>
      <w:bookmarkStart w:id="17" w:name="_Toc441674212"/>
      <w:r>
        <w:lastRenderedPageBreak/>
        <w:t>M</w:t>
      </w:r>
      <w:r w:rsidR="00F05227">
        <w:t>andatory Information</w:t>
      </w:r>
      <w:bookmarkEnd w:id="17"/>
    </w:p>
    <w:p w:rsidR="00242FB4" w:rsidRPr="00F05227" w:rsidRDefault="00242FB4" w:rsidP="009F133B">
      <w:pPr>
        <w:spacing w:after="120" w:line="23" w:lineRule="atLeast"/>
        <w:ind w:left="284"/>
        <w:jc w:val="both"/>
        <w:rPr>
          <w:rFonts w:ascii="Arial" w:hAnsi="Arial" w:cs="Arial"/>
          <w:b/>
          <w:sz w:val="22"/>
          <w:szCs w:val="22"/>
        </w:rPr>
      </w:pPr>
    </w:p>
    <w:p w:rsidR="00242FB4" w:rsidRPr="002E1F7E" w:rsidRDefault="00242FB4" w:rsidP="009F133B">
      <w:pPr>
        <w:spacing w:after="120" w:line="23" w:lineRule="atLeast"/>
        <w:ind w:left="284"/>
        <w:jc w:val="both"/>
        <w:rPr>
          <w:rFonts w:ascii="Foundry Form Sans" w:hAnsi="Foundry Form Sans" w:cs="Arial"/>
          <w:sz w:val="22"/>
        </w:rPr>
      </w:pP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lang w:eastAsia="en-GB"/>
        </w:rPr>
      </w:pPr>
      <w:r w:rsidRPr="002E1F7E">
        <w:rPr>
          <w:rFonts w:ascii="Foundry Form Sans" w:hAnsi="Foundry Form Sans" w:cs="Arial"/>
          <w:b/>
          <w:lang w:eastAsia="en-GB"/>
        </w:rPr>
        <w:t>Collateral Warranties</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Courier New"/>
          <w:lang w:eastAsia="en-GB"/>
        </w:rPr>
      </w:pPr>
      <w:r w:rsidRPr="002E1F7E">
        <w:rPr>
          <w:rFonts w:ascii="Foundry Form Sans" w:hAnsi="Foundry Form Sans" w:cs="Courier New"/>
          <w:lang w:eastAsia="en-GB"/>
        </w:rPr>
        <w:t xml:space="preserve">There are no collateral warranties for the reports provided with this </w:t>
      </w:r>
      <w:r w:rsidR="00086565">
        <w:rPr>
          <w:rFonts w:ascii="Foundry Form Sans" w:hAnsi="Foundry Form Sans" w:cs="Courier New"/>
          <w:lang w:eastAsia="en-GB"/>
        </w:rPr>
        <w:t>ITT</w:t>
      </w:r>
      <w:r w:rsidRPr="002E1F7E">
        <w:rPr>
          <w:rFonts w:ascii="Foundry Form Sans" w:hAnsi="Foundry Form Sans" w:cs="Courier New"/>
          <w:lang w:eastAsia="en-GB"/>
        </w:rPr>
        <w:t xml:space="preserve">. </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VAT</w:t>
      </w:r>
    </w:p>
    <w:p w:rsidR="00424EE2" w:rsidRPr="002E1F7E" w:rsidRDefault="00B10F83" w:rsidP="009F133B">
      <w:pPr>
        <w:pStyle w:val="BodyText"/>
        <w:numPr>
          <w:ilvl w:val="2"/>
          <w:numId w:val="42"/>
        </w:numPr>
        <w:spacing w:after="120" w:line="23" w:lineRule="atLeast"/>
        <w:ind w:left="284"/>
        <w:jc w:val="both"/>
        <w:rPr>
          <w:rFonts w:ascii="Foundry Form Sans" w:hAnsi="Foundry Form Sans" w:cs="Arial"/>
          <w:b/>
        </w:rPr>
      </w:pPr>
      <w:r>
        <w:rPr>
          <w:rFonts w:ascii="Foundry Form Sans" w:hAnsi="Foundry Form Sans" w:cs="Arial"/>
        </w:rPr>
        <w:t xml:space="preserve">The </w:t>
      </w:r>
      <w:r w:rsidR="00514E0E">
        <w:rPr>
          <w:rFonts w:ascii="Foundry Form Sans" w:hAnsi="Foundry Form Sans" w:cs="Arial"/>
        </w:rPr>
        <w:t>Site</w:t>
      </w:r>
      <w:r>
        <w:rPr>
          <w:rFonts w:ascii="Foundry Form Sans" w:hAnsi="Foundry Form Sans" w:cs="Arial"/>
        </w:rPr>
        <w:t xml:space="preserve"> is VAT elected. </w:t>
      </w:r>
      <w:r w:rsidR="00300BFA">
        <w:rPr>
          <w:rFonts w:ascii="Foundry Form Sans" w:hAnsi="Foundry Form Sans" w:cs="Arial"/>
        </w:rPr>
        <w:t>Bidder</w:t>
      </w:r>
      <w:r w:rsidR="00242FB4" w:rsidRPr="002E1F7E">
        <w:rPr>
          <w:rFonts w:ascii="Foundry Form Sans" w:hAnsi="Foundry Form Sans" w:cs="Arial"/>
        </w:rPr>
        <w:t xml:space="preserve">s’ financial proposals must exclude recoverable VAT where applicable. Where any doubt exists, businesses/organisations are expected to have sought clarification in advance from HM Revenue and Customs and tender prices are evaluated on this basis. </w:t>
      </w:r>
      <w:r w:rsidR="00300BFA">
        <w:rPr>
          <w:rFonts w:ascii="Foundry Form Sans" w:hAnsi="Foundry Form Sans" w:cs="Arial"/>
        </w:rPr>
        <w:t>Bidder</w:t>
      </w:r>
      <w:r w:rsidR="00242FB4" w:rsidRPr="002E1F7E">
        <w:rPr>
          <w:rFonts w:ascii="Foundry Form Sans" w:hAnsi="Foundry Form Sans" w:cs="Arial"/>
        </w:rPr>
        <w:t xml:space="preserve">s are requested to set out their understanding of the VAT status of the construction contract based on the works and services to be provided and the status of the </w:t>
      </w:r>
      <w:r w:rsidR="00300BFA">
        <w:rPr>
          <w:rFonts w:ascii="Foundry Form Sans" w:hAnsi="Foundry Form Sans" w:cs="Arial"/>
        </w:rPr>
        <w:t>Bidder</w:t>
      </w:r>
      <w:r w:rsidR="00242FB4" w:rsidRPr="002E1F7E">
        <w:rPr>
          <w:rFonts w:ascii="Foundry Form Sans" w:hAnsi="Foundry Form Sans" w:cs="Arial"/>
        </w:rPr>
        <w:t>.</w:t>
      </w:r>
      <w:r w:rsidR="00424EE2">
        <w:rPr>
          <w:rFonts w:ascii="Foundry Form Sans" w:hAnsi="Foundry Form Sans" w:cs="Arial"/>
        </w:rPr>
        <w:t xml:space="preserve"> </w:t>
      </w:r>
      <w:r w:rsidR="00424EE2" w:rsidRPr="005C01D5">
        <w:rPr>
          <w:rFonts w:ascii="Foundry Form Sans" w:hAnsi="Foundry Form Sans" w:cs="Arial"/>
          <w:b/>
        </w:rPr>
        <w:t>VAT will be chargeable on the land price in full at the point that the land is drawn down</w:t>
      </w:r>
      <w:r w:rsidR="00BF5744">
        <w:rPr>
          <w:rFonts w:ascii="Foundry Form Sans" w:hAnsi="Foundry Form Sans" w:cs="Arial"/>
          <w:b/>
        </w:rPr>
        <w:t xml:space="preserve"> irrespective of the payment profile</w:t>
      </w:r>
      <w:r w:rsidR="00424EE2" w:rsidRPr="005C01D5">
        <w:rPr>
          <w:rFonts w:ascii="Foundry Form Sans" w:hAnsi="Foundry Form Sans" w:cs="Arial"/>
          <w:b/>
        </w:rPr>
        <w:t>.</w:t>
      </w:r>
    </w:p>
    <w:p w:rsidR="00242FB4" w:rsidRPr="002E1F7E" w:rsidRDefault="00242FB4" w:rsidP="009F133B">
      <w:pPr>
        <w:spacing w:after="120" w:line="23" w:lineRule="atLeast"/>
        <w:ind w:left="284"/>
        <w:jc w:val="both"/>
        <w:rPr>
          <w:rFonts w:ascii="Foundry Form Sans" w:hAnsi="Foundry Form Sans" w:cs="Arial"/>
          <w:b/>
          <w:sz w:val="22"/>
        </w:rPr>
      </w:pP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Freedom of Information</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b/>
        </w:rPr>
      </w:pPr>
      <w:r w:rsidRPr="002E1F7E">
        <w:rPr>
          <w:rFonts w:ascii="Foundry Form Sans" w:hAnsi="Foundry Form Sans" w:cs="Arial"/>
        </w:rPr>
        <w:t xml:space="preserve">The GLA/TfL is subject to the requirements of the Freedom of Information Act 2000 and the Environmental Information Regulations 2004, all subordinate legislation made under that Act/those Regulations and any guidance and/or codes of practice issued (from time to time) in relation to such legislation. </w:t>
      </w:r>
      <w:r w:rsidR="00300BFA">
        <w:rPr>
          <w:rFonts w:ascii="Foundry Form Sans" w:hAnsi="Foundry Form Sans" w:cs="Arial"/>
        </w:rPr>
        <w:t>Bidder</w:t>
      </w:r>
      <w:r w:rsidRPr="002E1F7E">
        <w:rPr>
          <w:rFonts w:ascii="Foundry Form Sans" w:hAnsi="Foundry Form Sans" w:cs="Arial"/>
        </w:rPr>
        <w:t>s are required to:</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rPr>
      </w:pPr>
      <w:r w:rsidRPr="002E1F7E">
        <w:rPr>
          <w:rFonts w:ascii="Foundry Form Sans" w:hAnsi="Foundry Form Sans" w:cs="Arial"/>
        </w:rPr>
        <w:t>(a) specify (with reasons) those aspects (if any) of their tender submissions</w:t>
      </w:r>
      <w:r w:rsidR="00F26278" w:rsidRPr="002E1F7E">
        <w:rPr>
          <w:rFonts w:ascii="Foundry Form Sans" w:hAnsi="Foundry Form Sans" w:cs="Arial"/>
        </w:rPr>
        <w:t xml:space="preserve"> </w:t>
      </w:r>
      <w:r w:rsidRPr="002E1F7E">
        <w:rPr>
          <w:rFonts w:ascii="Foundry Form Sans" w:hAnsi="Foundry Form Sans" w:cs="Arial"/>
        </w:rPr>
        <w:t>which they regard as falling within any of the exemptions from disclosure</w:t>
      </w:r>
      <w:r w:rsidR="00F26278" w:rsidRPr="002E1F7E">
        <w:rPr>
          <w:rFonts w:ascii="Foundry Form Sans" w:hAnsi="Foundry Form Sans" w:cs="Arial"/>
        </w:rPr>
        <w:t xml:space="preserve"> </w:t>
      </w:r>
      <w:r w:rsidRPr="002E1F7E">
        <w:rPr>
          <w:rFonts w:ascii="Foundry Form Sans" w:hAnsi="Foundry Form Sans" w:cs="Arial"/>
        </w:rPr>
        <w:t>specified under the Act/Regulations including (without limitation)</w:t>
      </w:r>
      <w:r w:rsidR="00F26278" w:rsidRPr="002E1F7E">
        <w:rPr>
          <w:rFonts w:ascii="Foundry Form Sans" w:hAnsi="Foundry Form Sans" w:cs="Arial"/>
        </w:rPr>
        <w:t xml:space="preserve"> </w:t>
      </w:r>
      <w:r w:rsidRPr="002E1F7E">
        <w:rPr>
          <w:rFonts w:ascii="Foundry Form Sans" w:hAnsi="Foundry Form Sans" w:cs="Arial"/>
        </w:rPr>
        <w:t>information provided in confidence; and</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(b) state which provisions of the Act/Regulations apply to the information identified under paragraph (a).</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A Code of Practice under the Freedom of Information Act 2000 makes provision for the GLA to consult with third parties, where appropriate, regarding the disclosure of information obtained from third parties. The </w:t>
      </w:r>
      <w:r w:rsidRPr="002E1F7E">
        <w:rPr>
          <w:rFonts w:ascii="Foundry Form Sans" w:hAnsi="Foundry Form Sans" w:cs="Arial"/>
        </w:rPr>
        <w:t>GLA/TfL</w:t>
      </w:r>
      <w:r w:rsidRPr="002E1F7E">
        <w:rPr>
          <w:rFonts w:ascii="Foundry Form Sans" w:hAnsi="Foundry Form Sans" w:cs="Arial"/>
          <w:szCs w:val="24"/>
        </w:rPr>
        <w:t xml:space="preserve"> shall be responsible for determining, at its absolute discretion, whether such exemption should apply in the event of a request for information being received in relation to any material submitted to the </w:t>
      </w:r>
      <w:r w:rsidRPr="002E1F7E">
        <w:rPr>
          <w:rFonts w:ascii="Foundry Form Sans" w:hAnsi="Foundry Form Sans" w:cs="Arial"/>
        </w:rPr>
        <w:t>GLA/TfL</w:t>
      </w:r>
      <w:r w:rsidRPr="002E1F7E">
        <w:rPr>
          <w:rFonts w:ascii="Foundry Form Sans" w:hAnsi="Foundry Form Sans" w:cs="Arial"/>
          <w:szCs w:val="24"/>
        </w:rPr>
        <w:t xml:space="preserve"> by a </w:t>
      </w:r>
      <w:r w:rsidR="00300BFA">
        <w:rPr>
          <w:rFonts w:ascii="Foundry Form Sans" w:hAnsi="Foundry Form Sans" w:cs="Arial"/>
          <w:szCs w:val="24"/>
        </w:rPr>
        <w:t>Bidder</w:t>
      </w:r>
      <w:r w:rsidRPr="002E1F7E">
        <w:rPr>
          <w:rFonts w:ascii="Foundry Form Sans" w:hAnsi="Foundry Form Sans" w:cs="Arial"/>
          <w:szCs w:val="24"/>
        </w:rPr>
        <w:t xml:space="preserve"> pursuant to this tender process.</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szCs w:val="24"/>
        </w:rPr>
      </w:pPr>
      <w:r w:rsidRPr="00027DF3">
        <w:rPr>
          <w:rFonts w:ascii="Foundry Form Sans" w:hAnsi="Foundry Form Sans" w:cs="Arial"/>
          <w:b/>
        </w:rPr>
        <w:t>Confidentiality</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All information supplied by or on behalf of the </w:t>
      </w:r>
      <w:r w:rsidRPr="006C58EE">
        <w:rPr>
          <w:rFonts w:ascii="Foundry Form Sans" w:hAnsi="Foundry Form Sans" w:cs="Arial"/>
          <w:szCs w:val="24"/>
        </w:rPr>
        <w:t>GLA/TfL</w:t>
      </w:r>
      <w:r w:rsidR="003D75E7">
        <w:rPr>
          <w:rFonts w:ascii="Foundry Form Sans" w:hAnsi="Foundry Form Sans" w:cs="Arial"/>
          <w:szCs w:val="24"/>
        </w:rPr>
        <w:t xml:space="preserve"> </w:t>
      </w:r>
      <w:r w:rsidRPr="002E1F7E">
        <w:rPr>
          <w:rFonts w:ascii="Foundry Form Sans" w:hAnsi="Foundry Form Sans" w:cs="Arial"/>
          <w:szCs w:val="24"/>
        </w:rPr>
        <w:t xml:space="preserve">in connection with this tender process, including the Tender Documents, shall be treated by </w:t>
      </w:r>
      <w:r w:rsidR="00300BFA">
        <w:rPr>
          <w:rFonts w:ascii="Foundry Form Sans" w:hAnsi="Foundry Form Sans" w:cs="Arial"/>
          <w:szCs w:val="24"/>
        </w:rPr>
        <w:t>Bidder</w:t>
      </w:r>
      <w:r w:rsidRPr="002E1F7E">
        <w:rPr>
          <w:rFonts w:ascii="Foundry Form Sans" w:hAnsi="Foundry Form Sans" w:cs="Arial"/>
          <w:szCs w:val="24"/>
        </w:rPr>
        <w:t xml:space="preserve">s as confidential and shall not be disclosed to any third party without the prior written consent of the </w:t>
      </w:r>
      <w:r w:rsidRPr="006C58EE">
        <w:rPr>
          <w:rFonts w:ascii="Foundry Form Sans" w:hAnsi="Foundry Form Sans" w:cs="Arial"/>
          <w:szCs w:val="24"/>
        </w:rPr>
        <w:t>GLA/TfL</w:t>
      </w:r>
      <w:r w:rsidRPr="002E1F7E">
        <w:rPr>
          <w:rFonts w:ascii="Foundry Form Sans" w:hAnsi="Foundry Form Sans" w:cs="Arial"/>
          <w:szCs w:val="24"/>
        </w:rPr>
        <w:t xml:space="preserve">, except that such information may be disclosed so far as is necessary for the purpose of obtaining advice, sureties, insurance, guarantees and quotations necessary for the preparation and submission of their tenders. Save for the purposes of tendering, no such information must be copied or reproduced in whole or in part and must be returned to the </w:t>
      </w:r>
      <w:r w:rsidRPr="006C58EE">
        <w:rPr>
          <w:rFonts w:ascii="Foundry Form Sans" w:hAnsi="Foundry Form Sans" w:cs="Arial"/>
          <w:szCs w:val="24"/>
        </w:rPr>
        <w:t>GLA/TfL</w:t>
      </w:r>
      <w:r w:rsidRPr="002E1F7E">
        <w:rPr>
          <w:rFonts w:ascii="Foundry Form Sans" w:hAnsi="Foundry Form Sans" w:cs="Arial"/>
          <w:szCs w:val="24"/>
        </w:rPr>
        <w:t xml:space="preserve"> on demand whether or not a tender proposal is submitted.</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All information provided by </w:t>
      </w:r>
      <w:r w:rsidR="00300BFA">
        <w:rPr>
          <w:rFonts w:ascii="Foundry Form Sans" w:hAnsi="Foundry Form Sans" w:cs="Arial"/>
          <w:szCs w:val="24"/>
        </w:rPr>
        <w:t>Bidder</w:t>
      </w:r>
      <w:r w:rsidRPr="002E1F7E">
        <w:rPr>
          <w:rFonts w:ascii="Foundry Form Sans" w:hAnsi="Foundry Form Sans" w:cs="Arial"/>
          <w:szCs w:val="24"/>
        </w:rPr>
        <w:t xml:space="preserve">s will be treated by the </w:t>
      </w:r>
      <w:r w:rsidRPr="006C58EE">
        <w:rPr>
          <w:rFonts w:ascii="Foundry Form Sans" w:hAnsi="Foundry Form Sans" w:cs="Arial"/>
          <w:szCs w:val="24"/>
        </w:rPr>
        <w:t>GLA/TfL</w:t>
      </w:r>
      <w:r w:rsidR="00F26278" w:rsidRPr="002E1F7E">
        <w:rPr>
          <w:rFonts w:ascii="Foundry Form Sans" w:hAnsi="Foundry Form Sans" w:cs="Arial"/>
          <w:szCs w:val="24"/>
        </w:rPr>
        <w:t xml:space="preserve"> as ‘Restricted </w:t>
      </w:r>
      <w:r w:rsidRPr="002E1F7E">
        <w:rPr>
          <w:rFonts w:ascii="Foundry Form Sans" w:hAnsi="Foundry Form Sans" w:cs="Arial"/>
          <w:szCs w:val="24"/>
        </w:rPr>
        <w:t xml:space="preserve">Commercial’.  The </w:t>
      </w:r>
      <w:r w:rsidRPr="006C58EE">
        <w:rPr>
          <w:rFonts w:ascii="Foundry Form Sans" w:hAnsi="Foundry Form Sans" w:cs="Arial"/>
          <w:szCs w:val="24"/>
        </w:rPr>
        <w:t>GLA/TfL</w:t>
      </w:r>
      <w:r w:rsidRPr="002E1F7E">
        <w:rPr>
          <w:rFonts w:ascii="Foundry Form Sans" w:hAnsi="Foundry Form Sans" w:cs="Arial"/>
          <w:szCs w:val="24"/>
        </w:rPr>
        <w:t xml:space="preserve"> may disclose detailed information relating to </w:t>
      </w:r>
      <w:r w:rsidR="00300BFA">
        <w:rPr>
          <w:rFonts w:ascii="Foundry Form Sans" w:hAnsi="Foundry Form Sans" w:cs="Arial"/>
          <w:szCs w:val="24"/>
        </w:rPr>
        <w:t>Bidder</w:t>
      </w:r>
      <w:r w:rsidRPr="002E1F7E">
        <w:rPr>
          <w:rFonts w:ascii="Foundry Form Sans" w:hAnsi="Foundry Form Sans" w:cs="Arial"/>
          <w:szCs w:val="24"/>
        </w:rPr>
        <w:t xml:space="preserve">s’ responses to the GLA’s directors, officers, employees, agents or advisers for the purposes of evaluating tender proposals and may make </w:t>
      </w:r>
      <w:r w:rsidR="00300BFA">
        <w:rPr>
          <w:rFonts w:ascii="Foundry Form Sans" w:hAnsi="Foundry Form Sans" w:cs="Arial"/>
          <w:szCs w:val="24"/>
        </w:rPr>
        <w:t>Bidder</w:t>
      </w:r>
      <w:r w:rsidRPr="002E1F7E">
        <w:rPr>
          <w:rFonts w:ascii="Foundry Form Sans" w:hAnsi="Foundry Form Sans" w:cs="Arial"/>
          <w:szCs w:val="24"/>
        </w:rPr>
        <w:t xml:space="preserve">s’ written responses available for private inspection by the their directors, officers, employees, agents or advisers. The </w:t>
      </w:r>
      <w:r w:rsidRPr="006C58EE">
        <w:rPr>
          <w:rFonts w:ascii="Foundry Form Sans" w:hAnsi="Foundry Form Sans" w:cs="Arial"/>
          <w:szCs w:val="24"/>
        </w:rPr>
        <w:t>GLA/TfL</w:t>
      </w:r>
      <w:r w:rsidRPr="002E1F7E">
        <w:rPr>
          <w:rFonts w:ascii="Foundry Form Sans" w:hAnsi="Foundry Form Sans" w:cs="Arial"/>
          <w:szCs w:val="24"/>
        </w:rPr>
        <w:t xml:space="preserve"> reserves the right to copy and distribute (electronically or otherwise) all or any part of a </w:t>
      </w:r>
      <w:r w:rsidR="00300BFA">
        <w:rPr>
          <w:rFonts w:ascii="Foundry Form Sans" w:hAnsi="Foundry Form Sans" w:cs="Arial"/>
          <w:szCs w:val="24"/>
        </w:rPr>
        <w:t>Bidder</w:t>
      </w:r>
      <w:r w:rsidRPr="002E1F7E">
        <w:rPr>
          <w:rFonts w:ascii="Foundry Form Sans" w:hAnsi="Foundry Form Sans" w:cs="Arial"/>
          <w:szCs w:val="24"/>
        </w:rPr>
        <w:t xml:space="preserve">’s proposal for the purposes of the </w:t>
      </w:r>
      <w:r w:rsidRPr="002E1F7E">
        <w:rPr>
          <w:rFonts w:ascii="Foundry Form Sans" w:hAnsi="Foundry Form Sans" w:cs="Arial"/>
        </w:rPr>
        <w:t>GLA’s/TfL’s</w:t>
      </w:r>
      <w:r w:rsidRPr="002E1F7E">
        <w:rPr>
          <w:rFonts w:ascii="Foundry Form Sans" w:hAnsi="Foundry Form Sans" w:cs="Arial"/>
          <w:szCs w:val="24"/>
        </w:rPr>
        <w:t xml:space="preserve"> analysis and assessment.</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szCs w:val="24"/>
        </w:rPr>
      </w:pPr>
      <w:r w:rsidRPr="002E1F7E">
        <w:rPr>
          <w:rFonts w:ascii="Foundry Form Sans" w:hAnsi="Foundry Form Sans" w:cs="Arial"/>
          <w:b/>
          <w:szCs w:val="24"/>
        </w:rPr>
        <w:t>Copyright</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b/>
          <w:szCs w:val="24"/>
        </w:rPr>
      </w:pPr>
      <w:r w:rsidRPr="002E1F7E">
        <w:rPr>
          <w:rFonts w:ascii="Foundry Form Sans" w:hAnsi="Foundry Form Sans" w:cs="Arial"/>
          <w:szCs w:val="24"/>
        </w:rPr>
        <w:lastRenderedPageBreak/>
        <w:t xml:space="preserve">Copyright of the documents comprising the Contract is vested in the </w:t>
      </w:r>
      <w:r w:rsidRPr="002E1F7E">
        <w:rPr>
          <w:rFonts w:ascii="Foundry Form Sans" w:hAnsi="Foundry Form Sans" w:cs="Arial"/>
        </w:rPr>
        <w:t>GLA/TfL</w:t>
      </w:r>
      <w:r w:rsidRPr="002E1F7E">
        <w:rPr>
          <w:rFonts w:ascii="Foundry Form Sans" w:hAnsi="Foundry Form Sans" w:cs="Arial"/>
          <w:szCs w:val="24"/>
        </w:rPr>
        <w:t xml:space="preserve"> but </w:t>
      </w:r>
      <w:r w:rsidR="00300BFA">
        <w:rPr>
          <w:rFonts w:ascii="Foundry Form Sans" w:hAnsi="Foundry Form Sans" w:cs="Arial"/>
          <w:szCs w:val="24"/>
        </w:rPr>
        <w:t>Bidder</w:t>
      </w:r>
      <w:r w:rsidRPr="002E1F7E">
        <w:rPr>
          <w:rFonts w:ascii="Foundry Form Sans" w:hAnsi="Foundry Form Sans" w:cs="Arial"/>
          <w:szCs w:val="24"/>
        </w:rPr>
        <w:t xml:space="preserve">s may obtain, or make at their expense, any further copies required for use by them in the preparation of their Tender submission and in performing the Contract.  If </w:t>
      </w:r>
      <w:r w:rsidR="00300BFA">
        <w:rPr>
          <w:rFonts w:ascii="Foundry Form Sans" w:hAnsi="Foundry Form Sans" w:cs="Arial"/>
          <w:szCs w:val="24"/>
        </w:rPr>
        <w:t>Bidder</w:t>
      </w:r>
      <w:r w:rsidRPr="002E1F7E">
        <w:rPr>
          <w:rFonts w:ascii="Foundry Form Sans" w:hAnsi="Foundry Form Sans" w:cs="Arial"/>
          <w:szCs w:val="24"/>
        </w:rPr>
        <w:t xml:space="preserve">s are unable or unwilling to comply with this requirement they are required to destroy this ITT and all associated documents immediately and not to retain any electronic or paper copies. </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szCs w:val="24"/>
        </w:rPr>
      </w:pPr>
      <w:r w:rsidRPr="002E1F7E">
        <w:rPr>
          <w:rFonts w:ascii="Foundry Form Sans" w:hAnsi="Foundry Form Sans" w:cs="Arial"/>
          <w:b/>
          <w:szCs w:val="24"/>
        </w:rPr>
        <w:t xml:space="preserve">Publicity </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b/>
          <w:szCs w:val="24"/>
        </w:rPr>
      </w:pPr>
      <w:r w:rsidRPr="002E1F7E">
        <w:rPr>
          <w:rFonts w:ascii="Foundry Form Sans" w:hAnsi="Foundry Form Sans" w:cs="Arial"/>
          <w:szCs w:val="24"/>
        </w:rPr>
        <w:t xml:space="preserve">No </w:t>
      </w:r>
      <w:r w:rsidR="00300BFA">
        <w:rPr>
          <w:rFonts w:ascii="Foundry Form Sans" w:hAnsi="Foundry Form Sans" w:cs="Arial"/>
          <w:szCs w:val="24"/>
        </w:rPr>
        <w:t>Bidder</w:t>
      </w:r>
      <w:r w:rsidRPr="002E1F7E">
        <w:rPr>
          <w:rFonts w:ascii="Foundry Form Sans" w:hAnsi="Foundry Form Sans" w:cs="Arial"/>
          <w:szCs w:val="24"/>
        </w:rPr>
        <w:t xml:space="preserve"> will undertake any publicity activities with any part of the media in relation to this ITT process without the prior written agreement of the </w:t>
      </w:r>
      <w:r w:rsidRPr="002E1F7E">
        <w:rPr>
          <w:rFonts w:ascii="Foundry Form Sans" w:hAnsi="Foundry Form Sans" w:cs="Arial"/>
        </w:rPr>
        <w:t>GLA/TfL</w:t>
      </w:r>
      <w:r w:rsidRPr="002E1F7E">
        <w:rPr>
          <w:rFonts w:ascii="Foundry Form Sans" w:hAnsi="Foundry Form Sans" w:cs="Arial"/>
          <w:szCs w:val="24"/>
        </w:rPr>
        <w:t>, including agreement on the format and content of any publicity</w:t>
      </w:r>
      <w:r w:rsidR="0009602D">
        <w:rPr>
          <w:rFonts w:ascii="Foundry Form Sans" w:hAnsi="Foundry Form Sans" w:cs="Arial"/>
          <w:szCs w:val="24"/>
        </w:rPr>
        <w:t>.</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szCs w:val="24"/>
        </w:rPr>
      </w:pPr>
      <w:r w:rsidRPr="002E1F7E">
        <w:rPr>
          <w:rFonts w:ascii="Foundry Form Sans" w:hAnsi="Foundry Form Sans" w:cs="Arial"/>
          <w:b/>
          <w:szCs w:val="24"/>
        </w:rPr>
        <w:t>Disclaimers</w:t>
      </w:r>
    </w:p>
    <w:p w:rsidR="00242FB4" w:rsidRPr="006C58EE" w:rsidRDefault="00300BF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Bidder</w:t>
      </w:r>
      <w:r w:rsidR="00242FB4" w:rsidRPr="002E1F7E">
        <w:rPr>
          <w:rFonts w:ascii="Foundry Form Sans" w:hAnsi="Foundry Form Sans" w:cs="Arial"/>
          <w:szCs w:val="24"/>
        </w:rPr>
        <w:t>s should read the instruct</w:t>
      </w:r>
      <w:r w:rsidR="0009602D">
        <w:rPr>
          <w:rFonts w:ascii="Foundry Form Sans" w:hAnsi="Foundry Form Sans" w:cs="Arial"/>
          <w:szCs w:val="24"/>
        </w:rPr>
        <w:t>ions contained in this Section 6</w:t>
      </w:r>
      <w:r w:rsidR="00242FB4" w:rsidRPr="002E1F7E">
        <w:rPr>
          <w:rFonts w:ascii="Foundry Form Sans" w:hAnsi="Foundry Form Sans" w:cs="Arial"/>
          <w:szCs w:val="24"/>
        </w:rPr>
        <w:t xml:space="preserve"> of th</w:t>
      </w:r>
      <w:r w:rsidR="00623F62">
        <w:rPr>
          <w:rFonts w:ascii="Foundry Form Sans" w:hAnsi="Foundry Form Sans" w:cs="Arial"/>
          <w:szCs w:val="24"/>
        </w:rPr>
        <w:t>is</w:t>
      </w:r>
      <w:r w:rsidR="00242FB4" w:rsidRPr="002E1F7E">
        <w:rPr>
          <w:rFonts w:ascii="Foundry Form Sans" w:hAnsi="Foundry Form Sans" w:cs="Arial"/>
          <w:szCs w:val="24"/>
        </w:rPr>
        <w:t xml:space="preserve"> ITT carefully before reviewing the other Tender Documents and returning their tender proposals. Failure to comply with the requirements in these instructions to </w:t>
      </w:r>
      <w:r>
        <w:rPr>
          <w:rFonts w:ascii="Foundry Form Sans" w:hAnsi="Foundry Form Sans" w:cs="Arial"/>
          <w:szCs w:val="24"/>
        </w:rPr>
        <w:t>Bidder</w:t>
      </w:r>
      <w:r w:rsidR="00242FB4" w:rsidRPr="002E1F7E">
        <w:rPr>
          <w:rFonts w:ascii="Foundry Form Sans" w:hAnsi="Foundry Form Sans" w:cs="Arial"/>
          <w:szCs w:val="24"/>
        </w:rPr>
        <w:t>s may result in the rejection of a tender submission.</w:t>
      </w:r>
    </w:p>
    <w:p w:rsidR="00242FB4" w:rsidRPr="006C58EE" w:rsidRDefault="00300BFA" w:rsidP="009F133B">
      <w:pPr>
        <w:pStyle w:val="BodyText"/>
        <w:numPr>
          <w:ilvl w:val="2"/>
          <w:numId w:val="42"/>
        </w:numPr>
        <w:spacing w:after="120" w:line="23" w:lineRule="atLeast"/>
        <w:ind w:left="284"/>
        <w:jc w:val="both"/>
        <w:rPr>
          <w:rFonts w:ascii="Foundry Form Sans" w:hAnsi="Foundry Form Sans" w:cs="Arial"/>
          <w:szCs w:val="24"/>
        </w:rPr>
      </w:pPr>
      <w:r>
        <w:rPr>
          <w:rFonts w:ascii="Foundry Form Sans" w:hAnsi="Foundry Form Sans" w:cs="Arial"/>
          <w:szCs w:val="24"/>
        </w:rPr>
        <w:t>Bidder</w:t>
      </w:r>
      <w:r w:rsidR="00242FB4" w:rsidRPr="002E1F7E">
        <w:rPr>
          <w:rFonts w:ascii="Foundry Form Sans" w:hAnsi="Foundry Form Sans" w:cs="Arial"/>
          <w:szCs w:val="24"/>
        </w:rPr>
        <w:t>s shall ensure that they are fully familiar with the nature and extent of the obligations to be performed by them if their tender submission is accepted.</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The fact that a </w:t>
      </w:r>
      <w:r w:rsidR="00300BFA">
        <w:rPr>
          <w:rFonts w:ascii="Foundry Form Sans" w:hAnsi="Foundry Form Sans" w:cs="Arial"/>
          <w:szCs w:val="24"/>
        </w:rPr>
        <w:t>Bidder</w:t>
      </w:r>
      <w:r w:rsidRPr="002E1F7E">
        <w:rPr>
          <w:rFonts w:ascii="Foundry Form Sans" w:hAnsi="Foundry Form Sans" w:cs="Arial"/>
          <w:szCs w:val="24"/>
        </w:rPr>
        <w:t xml:space="preserve"> has been invited to submit </w:t>
      </w:r>
      <w:r w:rsidR="00623F62">
        <w:rPr>
          <w:rFonts w:ascii="Foundry Form Sans" w:hAnsi="Foundry Form Sans" w:cs="Arial"/>
          <w:szCs w:val="24"/>
        </w:rPr>
        <w:t>a</w:t>
      </w:r>
      <w:r w:rsidRPr="002E1F7E">
        <w:rPr>
          <w:rFonts w:ascii="Foundry Form Sans" w:hAnsi="Foundry Form Sans" w:cs="Arial"/>
          <w:szCs w:val="24"/>
        </w:rPr>
        <w:t xml:space="preserve"> tender (or that a </w:t>
      </w:r>
      <w:r w:rsidR="00300BFA">
        <w:rPr>
          <w:rFonts w:ascii="Foundry Form Sans" w:hAnsi="Foundry Form Sans" w:cs="Arial"/>
          <w:szCs w:val="24"/>
        </w:rPr>
        <w:t>Bidder</w:t>
      </w:r>
      <w:r w:rsidRPr="002E1F7E">
        <w:rPr>
          <w:rFonts w:ascii="Foundry Form Sans" w:hAnsi="Foundry Form Sans" w:cs="Arial"/>
          <w:szCs w:val="24"/>
        </w:rPr>
        <w:t xml:space="preserve">’s submission is accepted as part of the tender process) does not necessarily mean that it has completely satisfied all of the GLA’s requirements and the </w:t>
      </w:r>
      <w:r w:rsidRPr="006C58EE">
        <w:rPr>
          <w:rFonts w:ascii="Foundry Form Sans" w:hAnsi="Foundry Form Sans" w:cs="Arial"/>
          <w:szCs w:val="24"/>
        </w:rPr>
        <w:t>GLA/TfL</w:t>
      </w:r>
      <w:r w:rsidRPr="002E1F7E">
        <w:rPr>
          <w:rFonts w:ascii="Foundry Form Sans" w:hAnsi="Foundry Form Sans" w:cs="Arial"/>
          <w:szCs w:val="24"/>
        </w:rPr>
        <w:t xml:space="preserve"> may require further information as appropriate from the </w:t>
      </w:r>
      <w:r w:rsidR="00300BFA">
        <w:rPr>
          <w:rFonts w:ascii="Foundry Form Sans" w:hAnsi="Foundry Form Sans" w:cs="Arial"/>
          <w:szCs w:val="24"/>
        </w:rPr>
        <w:t>Bidder</w:t>
      </w:r>
      <w:r w:rsidRPr="002E1F7E">
        <w:rPr>
          <w:rFonts w:ascii="Foundry Form Sans" w:hAnsi="Foundry Form Sans" w:cs="Arial"/>
          <w:szCs w:val="24"/>
        </w:rPr>
        <w:t xml:space="preserve"> and consider this information as part of the evaluation process.</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While reasonable care has been taken in preparing this ITT, the information within it does not purport to be exhaustive or to have been independently verified.  The </w:t>
      </w:r>
      <w:r w:rsidRPr="006C58EE">
        <w:rPr>
          <w:rFonts w:ascii="Foundry Form Sans" w:hAnsi="Foundry Form Sans" w:cs="Arial"/>
          <w:szCs w:val="24"/>
        </w:rPr>
        <w:t>GLA/TfL</w:t>
      </w:r>
      <w:r w:rsidRPr="002E1F7E">
        <w:rPr>
          <w:rFonts w:ascii="Foundry Form Sans" w:hAnsi="Foundry Form Sans" w:cs="Arial"/>
          <w:szCs w:val="24"/>
        </w:rPr>
        <w:t xml:space="preserve"> accepts no liability or responsibility for the adequacy, accuracy or completeness of any information or opinions stated in this document. No representation or warranty, express or implied, is or will be given by the GLA, or any of its representatives, members, officers, employees, agents or advisers with respect to the ITT or the information on which it is based. If the </w:t>
      </w:r>
      <w:r w:rsidR="00300BFA">
        <w:rPr>
          <w:rFonts w:ascii="Foundry Form Sans" w:hAnsi="Foundry Form Sans" w:cs="Arial"/>
          <w:szCs w:val="24"/>
        </w:rPr>
        <w:t>Bidder</w:t>
      </w:r>
      <w:r w:rsidRPr="002E1F7E">
        <w:rPr>
          <w:rFonts w:ascii="Foundry Form Sans" w:hAnsi="Foundry Form Sans" w:cs="Arial"/>
          <w:szCs w:val="24"/>
        </w:rPr>
        <w:t xml:space="preserve"> considers that any of the tender documents are deficient in any respect or if any words or figures are ambiguous, the </w:t>
      </w:r>
      <w:r w:rsidR="00300BFA">
        <w:rPr>
          <w:rFonts w:ascii="Foundry Form Sans" w:hAnsi="Foundry Form Sans" w:cs="Arial"/>
          <w:szCs w:val="24"/>
        </w:rPr>
        <w:t>Bidder</w:t>
      </w:r>
      <w:r w:rsidRPr="002E1F7E">
        <w:rPr>
          <w:rFonts w:ascii="Foundry Form Sans" w:hAnsi="Foundry Form Sans" w:cs="Arial"/>
          <w:szCs w:val="24"/>
        </w:rPr>
        <w:t xml:space="preserve"> is requested to notify the GLA/TfL via the e-tendering portal.</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Each </w:t>
      </w:r>
      <w:r w:rsidR="00300BFA">
        <w:rPr>
          <w:rFonts w:ascii="Foundry Form Sans" w:hAnsi="Foundry Form Sans" w:cs="Arial"/>
          <w:szCs w:val="24"/>
        </w:rPr>
        <w:t>Bidder</w:t>
      </w:r>
      <w:r w:rsidRPr="002E1F7E">
        <w:rPr>
          <w:rFonts w:ascii="Foundry Form Sans" w:hAnsi="Foundry Form Sans" w:cs="Arial"/>
          <w:szCs w:val="24"/>
        </w:rPr>
        <w:t xml:space="preserve"> shall be deemed to have satisfied itself before submitting a proposal as to the accuracy and sufficiency of its financial proposal, which shall (unless otherwise provided) cover all obligations under any agreement for lease entered into at the conclusion of this tender process. Each </w:t>
      </w:r>
      <w:r w:rsidR="00300BFA">
        <w:rPr>
          <w:rFonts w:ascii="Foundry Form Sans" w:hAnsi="Foundry Form Sans" w:cs="Arial"/>
          <w:szCs w:val="24"/>
        </w:rPr>
        <w:t>Bidder</w:t>
      </w:r>
      <w:r w:rsidRPr="002E1F7E">
        <w:rPr>
          <w:rFonts w:ascii="Foundry Form Sans" w:hAnsi="Foundry Form Sans" w:cs="Arial"/>
          <w:szCs w:val="24"/>
        </w:rPr>
        <w:t xml:space="preserve"> will also be deemed to have obtained for itself all necessary information as to risks, contingencies and any other circumstances, which might reasonably affect its submission.</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Tenders may be rejected if the complete information called for is not provided in the response to the ITT.</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Nothing in this ITT shall be taken as constituting an offer, contract or agreement between the GLA and any </w:t>
      </w:r>
      <w:r w:rsidR="00300BFA">
        <w:rPr>
          <w:rFonts w:ascii="Foundry Form Sans" w:hAnsi="Foundry Form Sans" w:cs="Arial"/>
          <w:szCs w:val="24"/>
        </w:rPr>
        <w:t>Bidder</w:t>
      </w:r>
      <w:r w:rsidRPr="002E1F7E">
        <w:rPr>
          <w:rFonts w:ascii="Foundry Form Sans" w:hAnsi="Foundry Form Sans" w:cs="Arial"/>
          <w:szCs w:val="24"/>
        </w:rPr>
        <w:t xml:space="preserve"> or any other party.</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The </w:t>
      </w:r>
      <w:r w:rsidRPr="006C58EE">
        <w:rPr>
          <w:rFonts w:ascii="Foundry Form Sans" w:hAnsi="Foundry Form Sans" w:cs="Arial"/>
          <w:szCs w:val="24"/>
        </w:rPr>
        <w:t>GLA/TfL</w:t>
      </w:r>
      <w:r w:rsidRPr="002E1F7E">
        <w:rPr>
          <w:rFonts w:ascii="Foundry Form Sans" w:hAnsi="Foundry Form Sans" w:cs="Arial"/>
          <w:szCs w:val="24"/>
        </w:rPr>
        <w:t xml:space="preserve"> shall not be under any liability in respect of any expenses or losses that may be incurred by a </w:t>
      </w:r>
      <w:r w:rsidR="00300BFA">
        <w:rPr>
          <w:rFonts w:ascii="Foundry Form Sans" w:hAnsi="Foundry Form Sans" w:cs="Arial"/>
          <w:szCs w:val="24"/>
        </w:rPr>
        <w:t>Bidder</w:t>
      </w:r>
      <w:r w:rsidRPr="002E1F7E">
        <w:rPr>
          <w:rFonts w:ascii="Foundry Form Sans" w:hAnsi="Foundry Form Sans" w:cs="Arial"/>
          <w:szCs w:val="24"/>
        </w:rPr>
        <w:t xml:space="preserve"> in the preparation and submission of its tender proposal and any further costs incurred prior to the appointment of a developer to implement the </w:t>
      </w:r>
      <w:r w:rsidR="005855B9">
        <w:rPr>
          <w:rFonts w:ascii="Foundry Form Sans" w:hAnsi="Foundry Form Sans" w:cs="Arial"/>
          <w:szCs w:val="24"/>
        </w:rPr>
        <w:t>Gallions 3B</w:t>
      </w:r>
      <w:r w:rsidR="0009602D">
        <w:rPr>
          <w:rFonts w:ascii="Foundry Form Sans" w:hAnsi="Foundry Form Sans" w:cs="Arial"/>
          <w:szCs w:val="24"/>
        </w:rPr>
        <w:t xml:space="preserve"> </w:t>
      </w:r>
      <w:r w:rsidRPr="002E1F7E">
        <w:rPr>
          <w:rFonts w:ascii="Foundry Form Sans" w:hAnsi="Foundry Form Sans" w:cs="Arial"/>
          <w:szCs w:val="24"/>
        </w:rPr>
        <w:t>development project.</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Neither the issue of this ITT nor any part of its contents is to be taken as any form of commitment on the part of the </w:t>
      </w:r>
      <w:r w:rsidRPr="006C58EE">
        <w:rPr>
          <w:rFonts w:ascii="Foundry Form Sans" w:hAnsi="Foundry Form Sans" w:cs="Arial"/>
          <w:szCs w:val="24"/>
        </w:rPr>
        <w:t>GLA/TfL</w:t>
      </w:r>
      <w:r w:rsidRPr="002E1F7E">
        <w:rPr>
          <w:rFonts w:ascii="Foundry Form Sans" w:hAnsi="Foundry Form Sans" w:cs="Arial"/>
          <w:szCs w:val="24"/>
        </w:rPr>
        <w:t xml:space="preserve"> to proceed with the tender process.  Insofar as it is compatible with any relevant laws, the right is reserved to the </w:t>
      </w:r>
      <w:r w:rsidRPr="006C58EE">
        <w:rPr>
          <w:rFonts w:ascii="Foundry Form Sans" w:hAnsi="Foundry Form Sans" w:cs="Arial"/>
          <w:szCs w:val="24"/>
        </w:rPr>
        <w:t>GLA/TfL</w:t>
      </w:r>
      <w:r w:rsidRPr="002E1F7E">
        <w:rPr>
          <w:rFonts w:ascii="Foundry Form Sans" w:hAnsi="Foundry Form Sans" w:cs="Arial"/>
          <w:szCs w:val="24"/>
        </w:rPr>
        <w:t xml:space="preserve"> to amend the proposed timetable and/or ITT procedures, to terminate the procedure and to terminate any subsequent discussions with any </w:t>
      </w:r>
      <w:r w:rsidR="00300BFA">
        <w:rPr>
          <w:rFonts w:ascii="Foundry Form Sans" w:hAnsi="Foundry Form Sans" w:cs="Arial"/>
          <w:szCs w:val="24"/>
        </w:rPr>
        <w:t>Bidder</w:t>
      </w:r>
      <w:r w:rsidRPr="002E1F7E">
        <w:rPr>
          <w:rFonts w:ascii="Foundry Form Sans" w:hAnsi="Foundry Form Sans" w:cs="Arial"/>
          <w:szCs w:val="24"/>
        </w:rPr>
        <w:t xml:space="preserve">, including the successful </w:t>
      </w:r>
      <w:r w:rsidR="00300BFA">
        <w:rPr>
          <w:rFonts w:ascii="Foundry Form Sans" w:hAnsi="Foundry Form Sans" w:cs="Arial"/>
          <w:szCs w:val="24"/>
        </w:rPr>
        <w:t>Bidder</w:t>
      </w:r>
      <w:r w:rsidRPr="002E1F7E">
        <w:rPr>
          <w:rFonts w:ascii="Foundry Form Sans" w:hAnsi="Foundry Form Sans" w:cs="Arial"/>
          <w:szCs w:val="24"/>
        </w:rPr>
        <w:t xml:space="preserve">, at any time, without prior notice, without incurring any liability to the affected </w:t>
      </w:r>
      <w:r w:rsidR="00300BFA">
        <w:rPr>
          <w:rFonts w:ascii="Foundry Form Sans" w:hAnsi="Foundry Form Sans" w:cs="Arial"/>
          <w:szCs w:val="24"/>
        </w:rPr>
        <w:t>Bidder</w:t>
      </w:r>
      <w:r w:rsidRPr="002E1F7E">
        <w:rPr>
          <w:rFonts w:ascii="Foundry Form Sans" w:hAnsi="Foundry Form Sans" w:cs="Arial"/>
          <w:szCs w:val="24"/>
        </w:rPr>
        <w:t xml:space="preserve">s or the successful </w:t>
      </w:r>
      <w:r w:rsidR="00300BFA">
        <w:rPr>
          <w:rFonts w:ascii="Foundry Form Sans" w:hAnsi="Foundry Form Sans" w:cs="Arial"/>
          <w:szCs w:val="24"/>
        </w:rPr>
        <w:t>Bidder</w:t>
      </w:r>
      <w:r w:rsidRPr="002E1F7E">
        <w:rPr>
          <w:rFonts w:ascii="Foundry Form Sans" w:hAnsi="Foundry Form Sans" w:cs="Arial"/>
          <w:szCs w:val="24"/>
        </w:rPr>
        <w:t>.</w:t>
      </w:r>
    </w:p>
    <w:p w:rsidR="00242FB4" w:rsidRPr="006C58EE" w:rsidRDefault="00242FB4" w:rsidP="009F133B">
      <w:pPr>
        <w:pStyle w:val="BodyText"/>
        <w:numPr>
          <w:ilvl w:val="2"/>
          <w:numId w:val="42"/>
        </w:numPr>
        <w:spacing w:after="120" w:line="23" w:lineRule="atLeast"/>
        <w:ind w:left="284"/>
        <w:jc w:val="both"/>
        <w:rPr>
          <w:rFonts w:ascii="Foundry Form Sans" w:hAnsi="Foundry Form Sans" w:cs="Arial"/>
          <w:szCs w:val="24"/>
        </w:rPr>
      </w:pPr>
      <w:r w:rsidRPr="002E1F7E">
        <w:rPr>
          <w:rFonts w:ascii="Foundry Form Sans" w:hAnsi="Foundry Form Sans" w:cs="Arial"/>
          <w:szCs w:val="24"/>
        </w:rPr>
        <w:t xml:space="preserve">The </w:t>
      </w:r>
      <w:r w:rsidRPr="006C58EE">
        <w:rPr>
          <w:rFonts w:ascii="Foundry Form Sans" w:hAnsi="Foundry Form Sans" w:cs="Arial"/>
          <w:szCs w:val="24"/>
        </w:rPr>
        <w:t>GLA/TfL</w:t>
      </w:r>
      <w:r w:rsidRPr="002E1F7E">
        <w:rPr>
          <w:rFonts w:ascii="Foundry Form Sans" w:hAnsi="Foundry Form Sans" w:cs="Arial"/>
          <w:szCs w:val="24"/>
        </w:rPr>
        <w:t xml:space="preserve"> shall not be bound to accept any submission in response to this ITT.</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 xml:space="preserve">Insurance Information </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rPr>
      </w:pPr>
      <w:r w:rsidRPr="00C915DB">
        <w:rPr>
          <w:rFonts w:ascii="Foundry Form Sans" w:hAnsi="Foundry Form Sans" w:cs="Arial"/>
        </w:rPr>
        <w:lastRenderedPageBreak/>
        <w:t xml:space="preserve">Please </w:t>
      </w:r>
      <w:r w:rsidRPr="007C1FBE">
        <w:rPr>
          <w:rFonts w:ascii="Foundry Form Sans" w:hAnsi="Foundry Form Sans" w:cs="Arial"/>
        </w:rPr>
        <w:t>provide proof that you continue to hold or can and will obtain project insurances in the region of £30m.</w:t>
      </w:r>
      <w:r w:rsidRPr="00C915DB">
        <w:rPr>
          <w:rFonts w:ascii="Foundry Form Sans" w:hAnsi="Foundry Form Sans" w:cs="Arial"/>
        </w:rPr>
        <w:t xml:space="preserve"> At a later stage in the project we will require proof that the chosen contractor/s carry sufficient levels of professional indemnity insurance and other contract related insurances. We would require that the type of policy should be ‘in each and every claim’ and not ‘in the aggregate’. Indicative levels of insurance required from the chosen contractor (if a block equates to a</w:t>
      </w:r>
      <w:r w:rsidR="0009602D" w:rsidRPr="00C915DB">
        <w:rPr>
          <w:rFonts w:ascii="Foundry Form Sans" w:hAnsi="Foundry Form Sans" w:cs="Arial"/>
        </w:rPr>
        <w:t xml:space="preserve"> project), would be as follows:</w:t>
      </w:r>
    </w:p>
    <w:p w:rsidR="00242FB4" w:rsidRPr="00C915DB" w:rsidRDefault="00242FB4" w:rsidP="009F133B">
      <w:pPr>
        <w:numPr>
          <w:ilvl w:val="0"/>
          <w:numId w:val="3"/>
        </w:numPr>
        <w:tabs>
          <w:tab w:val="clear" w:pos="1854"/>
          <w:tab w:val="num" w:pos="1134"/>
        </w:tabs>
        <w:spacing w:after="120" w:line="23" w:lineRule="atLeast"/>
        <w:ind w:left="284" w:firstLine="0"/>
        <w:jc w:val="both"/>
        <w:rPr>
          <w:rFonts w:ascii="Foundry Form Sans" w:hAnsi="Foundry Form Sans" w:cs="Arial"/>
          <w:sz w:val="22"/>
        </w:rPr>
      </w:pPr>
      <w:r w:rsidRPr="00C915DB">
        <w:rPr>
          <w:rFonts w:ascii="Foundry Form Sans" w:hAnsi="Foundry Form Sans" w:cs="Arial"/>
          <w:sz w:val="22"/>
        </w:rPr>
        <w:t>Employers Liability Insurance : £</w:t>
      </w:r>
      <w:r w:rsidR="00C915DB" w:rsidRPr="00C915DB">
        <w:rPr>
          <w:rFonts w:ascii="Foundry Form Sans" w:hAnsi="Foundry Form Sans" w:cs="Arial"/>
          <w:sz w:val="22"/>
        </w:rPr>
        <w:t>1</w:t>
      </w:r>
      <w:r w:rsidRPr="00C915DB">
        <w:rPr>
          <w:rFonts w:ascii="Foundry Form Sans" w:hAnsi="Foundry Form Sans" w:cs="Arial"/>
          <w:sz w:val="22"/>
        </w:rPr>
        <w:t>0 million</w:t>
      </w:r>
    </w:p>
    <w:p w:rsidR="00C915DB" w:rsidRPr="00C915DB" w:rsidRDefault="00C915DB" w:rsidP="009F133B">
      <w:pPr>
        <w:numPr>
          <w:ilvl w:val="0"/>
          <w:numId w:val="3"/>
        </w:numPr>
        <w:tabs>
          <w:tab w:val="clear" w:pos="1854"/>
          <w:tab w:val="num" w:pos="1134"/>
        </w:tabs>
        <w:spacing w:after="120" w:line="23" w:lineRule="atLeast"/>
        <w:ind w:left="284" w:firstLine="0"/>
        <w:jc w:val="both"/>
        <w:rPr>
          <w:rFonts w:ascii="Foundry Form Sans" w:hAnsi="Foundry Form Sans" w:cs="Arial"/>
          <w:sz w:val="22"/>
        </w:rPr>
      </w:pPr>
      <w:r w:rsidRPr="00C915DB">
        <w:rPr>
          <w:rFonts w:ascii="Foundry Form Sans" w:hAnsi="Foundry Form Sans" w:cs="Arial"/>
          <w:sz w:val="22"/>
        </w:rPr>
        <w:t>Public Liability Insurance: £10 million</w:t>
      </w:r>
    </w:p>
    <w:p w:rsidR="00242FB4" w:rsidRPr="00C915DB" w:rsidRDefault="00242FB4" w:rsidP="009F133B">
      <w:pPr>
        <w:numPr>
          <w:ilvl w:val="0"/>
          <w:numId w:val="3"/>
        </w:numPr>
        <w:tabs>
          <w:tab w:val="clear" w:pos="1854"/>
          <w:tab w:val="num" w:pos="1134"/>
        </w:tabs>
        <w:spacing w:after="120" w:line="23" w:lineRule="atLeast"/>
        <w:ind w:left="284" w:firstLine="0"/>
        <w:jc w:val="both"/>
        <w:rPr>
          <w:rFonts w:ascii="Foundry Form Sans" w:hAnsi="Foundry Form Sans" w:cs="Arial"/>
          <w:sz w:val="22"/>
        </w:rPr>
      </w:pPr>
      <w:r w:rsidRPr="00C915DB">
        <w:rPr>
          <w:rFonts w:ascii="Foundry Form Sans" w:hAnsi="Foundry Form Sans" w:cs="Arial"/>
          <w:sz w:val="22"/>
        </w:rPr>
        <w:t>Contractors All Risks: £</w:t>
      </w:r>
      <w:r w:rsidR="00C915DB" w:rsidRPr="007C1FBE">
        <w:rPr>
          <w:rFonts w:ascii="Foundry Form Sans" w:hAnsi="Foundry Form Sans" w:cs="Arial"/>
          <w:sz w:val="22"/>
        </w:rPr>
        <w:t>1</w:t>
      </w:r>
      <w:r w:rsidRPr="007C1FBE">
        <w:rPr>
          <w:rFonts w:ascii="Foundry Form Sans" w:hAnsi="Foundry Form Sans" w:cs="Arial"/>
          <w:sz w:val="22"/>
        </w:rPr>
        <w:t>0</w:t>
      </w:r>
      <w:r w:rsidRPr="00C915DB">
        <w:rPr>
          <w:rFonts w:ascii="Foundry Form Sans" w:hAnsi="Foundry Form Sans" w:cs="Arial"/>
          <w:sz w:val="22"/>
        </w:rPr>
        <w:t xml:space="preserve"> million</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rPr>
      </w:pPr>
      <w:r w:rsidRPr="002E1F7E">
        <w:rPr>
          <w:rFonts w:ascii="Foundry Form Sans" w:hAnsi="Foundry Form Sans" w:cs="Arial"/>
        </w:rPr>
        <w:t>This must be provided in the form of up to date insurance certificates, appropriate letters from insurance companies and / or details of contractual arrangements which are in place.</w:t>
      </w:r>
    </w:p>
    <w:p w:rsidR="00242FB4" w:rsidRPr="002E1F7E" w:rsidRDefault="005F435F" w:rsidP="009F133B">
      <w:pPr>
        <w:pStyle w:val="BodyText"/>
        <w:numPr>
          <w:ilvl w:val="2"/>
          <w:numId w:val="42"/>
        </w:numPr>
        <w:spacing w:after="120" w:line="23" w:lineRule="atLeast"/>
        <w:ind w:left="284"/>
        <w:jc w:val="both"/>
        <w:rPr>
          <w:rFonts w:ascii="Foundry Form Sans" w:hAnsi="Foundry Form Sans" w:cs="Arial"/>
        </w:rPr>
      </w:pPr>
      <w:r w:rsidRPr="002E1F7E">
        <w:rPr>
          <w:rFonts w:ascii="Foundry Form Sans" w:hAnsi="Foundry Form Sans" w:cs="Arial"/>
        </w:rPr>
        <w:tab/>
      </w:r>
      <w:r w:rsidR="00242FB4" w:rsidRPr="002E1F7E">
        <w:rPr>
          <w:rFonts w:ascii="Foundry Form Sans" w:hAnsi="Foundry Form Sans" w:cs="Arial"/>
        </w:rPr>
        <w:t>Please note that insurances must be held in the name of the legal entity that will carry full liability for the associated portion of the works</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CHAS / SSIP Registration</w:t>
      </w:r>
    </w:p>
    <w:p w:rsidR="00242FB4" w:rsidRPr="002E1F7E" w:rsidRDefault="00242FB4" w:rsidP="009F133B">
      <w:pPr>
        <w:pStyle w:val="BodyText"/>
        <w:numPr>
          <w:ilvl w:val="2"/>
          <w:numId w:val="42"/>
        </w:numPr>
        <w:spacing w:after="120" w:line="23" w:lineRule="atLeast"/>
        <w:ind w:left="284"/>
        <w:jc w:val="both"/>
        <w:rPr>
          <w:rFonts w:ascii="Foundry Form Sans" w:hAnsi="Foundry Form Sans" w:cs="Arial"/>
          <w:b/>
        </w:rPr>
      </w:pPr>
      <w:r w:rsidRPr="002E1F7E">
        <w:rPr>
          <w:rFonts w:ascii="Foundry Form Sans" w:hAnsi="Foundry Form Sans" w:cs="Arial"/>
        </w:rPr>
        <w:t>Please provide proof of continued registration with CHAS or SSIP in respect of Contractor, Designer and CDM Coordinator responsibilities as required by the framework agreement or where not yet registered, proof of application.</w:t>
      </w:r>
    </w:p>
    <w:p w:rsidR="009D4729" w:rsidRPr="00C915DB" w:rsidRDefault="009D4729" w:rsidP="009F133B">
      <w:pPr>
        <w:pStyle w:val="BodyText"/>
        <w:numPr>
          <w:ilvl w:val="1"/>
          <w:numId w:val="42"/>
        </w:numPr>
        <w:spacing w:after="120" w:line="23" w:lineRule="atLeast"/>
        <w:ind w:left="284"/>
        <w:jc w:val="both"/>
        <w:rPr>
          <w:rFonts w:ascii="Foundry Form Sans" w:hAnsi="Foundry Form Sans" w:cs="Arial"/>
          <w:b/>
        </w:rPr>
      </w:pPr>
      <w:r w:rsidRPr="00C915DB">
        <w:rPr>
          <w:rFonts w:ascii="Foundry Form Sans" w:hAnsi="Foundry Form Sans" w:cs="Arial"/>
          <w:b/>
        </w:rPr>
        <w:t>Security</w:t>
      </w:r>
    </w:p>
    <w:p w:rsidR="00C915DB" w:rsidRPr="00C915DB" w:rsidRDefault="00C915DB" w:rsidP="009F133B">
      <w:pPr>
        <w:pStyle w:val="BodyText"/>
        <w:numPr>
          <w:ilvl w:val="2"/>
          <w:numId w:val="42"/>
        </w:numPr>
        <w:spacing w:after="120" w:line="23" w:lineRule="atLeast"/>
        <w:ind w:left="284"/>
        <w:jc w:val="both"/>
        <w:rPr>
          <w:rFonts w:ascii="Foundry Form Sans" w:hAnsi="Foundry Form Sans" w:cs="Arial"/>
        </w:rPr>
      </w:pPr>
      <w:r w:rsidRPr="00C915DB">
        <w:rPr>
          <w:rFonts w:ascii="Foundry Form Sans" w:hAnsi="Foundry Form Sans" w:cs="Arial"/>
        </w:rPr>
        <w:t xml:space="preserve">The GLA will require the successful </w:t>
      </w:r>
      <w:r w:rsidR="00300BFA">
        <w:rPr>
          <w:rFonts w:ascii="Foundry Form Sans" w:hAnsi="Foundry Form Sans" w:cs="Arial"/>
        </w:rPr>
        <w:t>Bidder</w:t>
      </w:r>
      <w:r w:rsidRPr="00C915DB">
        <w:rPr>
          <w:rFonts w:ascii="Foundry Form Sans" w:hAnsi="Foundry Form Sans" w:cs="Arial"/>
        </w:rPr>
        <w:t xml:space="preserve"> to provide, as security for the performance of the </w:t>
      </w:r>
      <w:r w:rsidR="00647D41">
        <w:rPr>
          <w:rFonts w:ascii="Foundry Form Sans" w:hAnsi="Foundry Form Sans" w:cs="Arial"/>
        </w:rPr>
        <w:t>development agreement and building lease</w:t>
      </w:r>
      <w:r w:rsidRPr="00C915DB">
        <w:rPr>
          <w:rFonts w:ascii="Foundry Form Sans" w:hAnsi="Foundry Form Sans" w:cs="Arial"/>
        </w:rPr>
        <w:t xml:space="preserve">, the parent company of the successful </w:t>
      </w:r>
      <w:r w:rsidR="00300BFA">
        <w:rPr>
          <w:rFonts w:ascii="Foundry Form Sans" w:hAnsi="Foundry Form Sans" w:cs="Arial"/>
        </w:rPr>
        <w:t>Bidder</w:t>
      </w:r>
      <w:r w:rsidRPr="00C915DB">
        <w:rPr>
          <w:rFonts w:ascii="Foundry Form Sans" w:hAnsi="Foundry Form Sans" w:cs="Arial"/>
        </w:rPr>
        <w:t xml:space="preserve"> to guarantee the performance of the</w:t>
      </w:r>
      <w:r w:rsidR="00647D41">
        <w:rPr>
          <w:rFonts w:ascii="Foundry Form Sans" w:hAnsi="Foundry Form Sans" w:cs="Arial"/>
        </w:rPr>
        <w:t xml:space="preserve"> Bidder's obligations under those documents</w:t>
      </w:r>
      <w:r w:rsidRPr="00C915DB">
        <w:rPr>
          <w:rFonts w:ascii="Foundry Form Sans" w:hAnsi="Foundry Form Sans" w:cs="Arial"/>
        </w:rPr>
        <w:t xml:space="preserve"> or </w:t>
      </w:r>
      <w:r w:rsidR="00647D41">
        <w:rPr>
          <w:rFonts w:ascii="Foundry Form Sans" w:hAnsi="Foundry Form Sans" w:cs="Arial"/>
        </w:rPr>
        <w:t>(</w:t>
      </w:r>
      <w:r w:rsidRPr="00C915DB">
        <w:rPr>
          <w:rFonts w:ascii="Foundry Form Sans" w:hAnsi="Foundry Form Sans" w:cs="Arial"/>
        </w:rPr>
        <w:t>as an alternative</w:t>
      </w:r>
      <w:r w:rsidR="00647D41">
        <w:rPr>
          <w:rFonts w:ascii="Foundry Form Sans" w:hAnsi="Foundry Form Sans" w:cs="Arial"/>
        </w:rPr>
        <w:t>)</w:t>
      </w:r>
      <w:r w:rsidRPr="00C915DB">
        <w:rPr>
          <w:rFonts w:ascii="Foundry Form Sans" w:hAnsi="Foundry Form Sans" w:cs="Arial"/>
        </w:rPr>
        <w:t xml:space="preserve"> may require a performance bond.</w:t>
      </w:r>
    </w:p>
    <w:p w:rsidR="009D4729" w:rsidRPr="002E1F7E" w:rsidRDefault="00647D41" w:rsidP="009F133B">
      <w:pPr>
        <w:spacing w:after="120" w:line="23" w:lineRule="atLeast"/>
        <w:ind w:left="284"/>
        <w:jc w:val="both"/>
        <w:rPr>
          <w:rFonts w:ascii="Foundry Form Sans" w:hAnsi="Foundry Form Sans" w:cs="Arial"/>
          <w:sz w:val="22"/>
        </w:rPr>
      </w:pPr>
      <w:r>
        <w:rPr>
          <w:rFonts w:ascii="Foundry Form Sans" w:hAnsi="Foundry Form Sans" w:cs="Arial"/>
          <w:sz w:val="22"/>
        </w:rPr>
        <w:t xml:space="preserve">It is </w:t>
      </w:r>
      <w:r w:rsidR="00C915DB" w:rsidRPr="00C915DB">
        <w:rPr>
          <w:rFonts w:ascii="Foundry Form Sans" w:hAnsi="Foundry Form Sans" w:cs="Arial"/>
          <w:sz w:val="22"/>
        </w:rPr>
        <w:t>a condition of appointment that you have confirmed in your Tender Submission that the Parent Company Guarantee set out in the contract documents is acceptable or if appropriate that a satisfactory form of performance bond is provided and agreed that can be annexed to the contract documents</w:t>
      </w:r>
      <w:r w:rsidR="00BC0385">
        <w:rPr>
          <w:rFonts w:ascii="Foundry Form Sans" w:hAnsi="Foundry Form Sans" w:cs="Arial"/>
          <w:sz w:val="22"/>
        </w:rPr>
        <w:t>]</w:t>
      </w:r>
      <w:r w:rsidR="00C915DB" w:rsidRPr="00C915DB">
        <w:rPr>
          <w:rFonts w:ascii="Foundry Form Sans" w:hAnsi="Foundry Form Sans" w:cs="Arial"/>
          <w:sz w:val="22"/>
        </w:rPr>
        <w:t>.</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 xml:space="preserve">Collusion and Anti-Competitive Behaviour </w:t>
      </w:r>
    </w:p>
    <w:p w:rsidR="009D4729" w:rsidRDefault="00242FB4" w:rsidP="009F133B">
      <w:pPr>
        <w:pStyle w:val="BodyText"/>
        <w:numPr>
          <w:ilvl w:val="2"/>
          <w:numId w:val="42"/>
        </w:numPr>
        <w:spacing w:after="120" w:line="23" w:lineRule="atLeast"/>
        <w:ind w:left="284"/>
        <w:jc w:val="both"/>
        <w:rPr>
          <w:rFonts w:ascii="Foundry Form Sans" w:hAnsi="Foundry Form Sans" w:cs="Arial"/>
        </w:rPr>
      </w:pPr>
      <w:r w:rsidRPr="002E1F7E">
        <w:rPr>
          <w:rFonts w:ascii="Foundry Form Sans" w:hAnsi="Foundry Form Sans" w:cs="Arial"/>
        </w:rPr>
        <w:t xml:space="preserve">Certificate of Non- Collusion and Non-Canvassing.  </w:t>
      </w:r>
      <w:r w:rsidR="00300BFA">
        <w:rPr>
          <w:rFonts w:ascii="Foundry Form Sans" w:hAnsi="Foundry Form Sans" w:cs="Arial"/>
        </w:rPr>
        <w:t>Bidder</w:t>
      </w:r>
      <w:r w:rsidRPr="002E1F7E">
        <w:rPr>
          <w:rFonts w:ascii="Foundry Form Sans" w:hAnsi="Foundry Form Sans" w:cs="Arial"/>
        </w:rPr>
        <w:t xml:space="preserve">s must provide a completed and signed copy of the Non-Collusion and Non-Canvassing Certificate set out in </w:t>
      </w:r>
      <w:r w:rsidR="006F061D">
        <w:rPr>
          <w:rFonts w:ascii="Foundry Form Sans" w:hAnsi="Foundry Form Sans" w:cs="Arial"/>
        </w:rPr>
        <w:t>Annex</w:t>
      </w:r>
      <w:r w:rsidR="006F061D" w:rsidRPr="0025105A">
        <w:rPr>
          <w:rFonts w:ascii="Foundry Form Sans" w:hAnsi="Foundry Form Sans" w:cs="Arial"/>
        </w:rPr>
        <w:t xml:space="preserve"> </w:t>
      </w:r>
      <w:r w:rsidR="0025105A" w:rsidRPr="0025105A">
        <w:rPr>
          <w:rFonts w:ascii="Foundry Form Sans" w:hAnsi="Foundry Form Sans" w:cs="Arial"/>
        </w:rPr>
        <w:t>A</w:t>
      </w:r>
      <w:r w:rsidR="000839E6">
        <w:rPr>
          <w:rFonts w:ascii="Foundry Form Sans" w:hAnsi="Foundry Form Sans" w:cs="Arial"/>
        </w:rPr>
        <w:t>.</w:t>
      </w:r>
      <w:r w:rsidR="0009602D" w:rsidRPr="0025105A">
        <w:rPr>
          <w:rFonts w:ascii="Foundry Form Sans" w:hAnsi="Foundry Form Sans" w:cs="Arial"/>
        </w:rPr>
        <w:t xml:space="preserve">4 and </w:t>
      </w:r>
      <w:r w:rsidR="006F061D" w:rsidRPr="0025105A">
        <w:rPr>
          <w:rFonts w:ascii="Foundry Form Sans" w:hAnsi="Foundry Form Sans" w:cs="Arial"/>
        </w:rPr>
        <w:t>A</w:t>
      </w:r>
      <w:r w:rsidR="006F061D">
        <w:rPr>
          <w:rFonts w:ascii="Foundry Form Sans" w:hAnsi="Foundry Form Sans" w:cs="Arial"/>
        </w:rPr>
        <w:t>nnex</w:t>
      </w:r>
      <w:r w:rsidR="006F061D" w:rsidRPr="0025105A">
        <w:rPr>
          <w:rFonts w:ascii="Foundry Form Sans" w:hAnsi="Foundry Form Sans" w:cs="Arial"/>
        </w:rPr>
        <w:t xml:space="preserve"> </w:t>
      </w:r>
      <w:r w:rsidR="0025105A" w:rsidRPr="0025105A">
        <w:rPr>
          <w:rFonts w:ascii="Foundry Form Sans" w:hAnsi="Foundry Form Sans" w:cs="Arial"/>
        </w:rPr>
        <w:t>A</w:t>
      </w:r>
      <w:r w:rsidR="000839E6">
        <w:rPr>
          <w:rFonts w:ascii="Foundry Form Sans" w:hAnsi="Foundry Form Sans" w:cs="Arial"/>
        </w:rPr>
        <w:t>.</w:t>
      </w:r>
      <w:r w:rsidR="0009602D" w:rsidRPr="0025105A">
        <w:rPr>
          <w:rFonts w:ascii="Foundry Form Sans" w:hAnsi="Foundry Form Sans" w:cs="Arial"/>
        </w:rPr>
        <w:t>5</w:t>
      </w:r>
      <w:r w:rsidRPr="0025105A">
        <w:rPr>
          <w:rFonts w:ascii="Foundry Form Sans" w:hAnsi="Foundry Form Sans" w:cs="Arial"/>
        </w:rPr>
        <w:t>.</w:t>
      </w:r>
      <w:r w:rsidR="009D4729" w:rsidRPr="009D4729">
        <w:rPr>
          <w:rFonts w:ascii="Foundry Form Sans" w:hAnsi="Foundry Form Sans" w:cs="Arial"/>
        </w:rPr>
        <w:t xml:space="preserve"> </w:t>
      </w:r>
      <w:r w:rsidR="00300BFA">
        <w:rPr>
          <w:rFonts w:ascii="Foundry Form Sans" w:hAnsi="Foundry Form Sans" w:cs="Arial"/>
        </w:rPr>
        <w:t>Bidder</w:t>
      </w:r>
      <w:r w:rsidR="009D4729" w:rsidRPr="002E1F7E">
        <w:rPr>
          <w:rFonts w:ascii="Foundry Form Sans" w:hAnsi="Foundry Form Sans" w:cs="Arial"/>
        </w:rPr>
        <w:t>s must provide evidence of their current internal compliance policies or programmes, setting out how these ensure that their staff are aware of their competition law obligations.</w:t>
      </w:r>
    </w:p>
    <w:p w:rsidR="00242FB4" w:rsidRPr="002E1F7E" w:rsidRDefault="00242FB4" w:rsidP="009F133B">
      <w:pPr>
        <w:pStyle w:val="BodyText"/>
        <w:numPr>
          <w:ilvl w:val="1"/>
          <w:numId w:val="42"/>
        </w:numPr>
        <w:spacing w:after="120" w:line="23" w:lineRule="atLeast"/>
        <w:ind w:left="284"/>
        <w:jc w:val="both"/>
        <w:rPr>
          <w:rFonts w:ascii="Foundry Form Sans" w:hAnsi="Foundry Form Sans" w:cs="Arial"/>
          <w:b/>
        </w:rPr>
      </w:pPr>
      <w:r w:rsidRPr="002E1F7E">
        <w:rPr>
          <w:rFonts w:ascii="Foundry Form Sans" w:hAnsi="Foundry Form Sans" w:cs="Arial"/>
          <w:b/>
        </w:rPr>
        <w:t>References</w:t>
      </w:r>
    </w:p>
    <w:p w:rsidR="005511EE" w:rsidRDefault="00242FB4" w:rsidP="009F133B">
      <w:pPr>
        <w:pStyle w:val="BodyText"/>
        <w:numPr>
          <w:ilvl w:val="2"/>
          <w:numId w:val="42"/>
        </w:numPr>
        <w:spacing w:after="120" w:line="23" w:lineRule="atLeast"/>
        <w:ind w:left="284"/>
        <w:jc w:val="both"/>
        <w:rPr>
          <w:rFonts w:ascii="Foundry Form Sans" w:hAnsi="Foundry Form Sans" w:cs="Arial"/>
        </w:rPr>
      </w:pPr>
      <w:r w:rsidRPr="006C58EE">
        <w:rPr>
          <w:rFonts w:ascii="Foundry Form Sans" w:hAnsi="Foundry Form Sans" w:cs="Arial"/>
        </w:rPr>
        <w:t>The GLA/TfL reserves the right to take up references as part of the ITT process and will advise</w:t>
      </w:r>
      <w:r w:rsidRPr="002E1F7E">
        <w:rPr>
          <w:rFonts w:ascii="Foundry Form Sans" w:hAnsi="Foundry Form Sans" w:cs="Arial"/>
        </w:rPr>
        <w:t xml:space="preserve"> </w:t>
      </w:r>
      <w:r w:rsidR="00300BFA">
        <w:rPr>
          <w:rFonts w:ascii="Foundry Form Sans" w:hAnsi="Foundry Form Sans" w:cs="Arial"/>
        </w:rPr>
        <w:t>Bidder</w:t>
      </w:r>
      <w:r w:rsidRPr="002E1F7E">
        <w:rPr>
          <w:rFonts w:ascii="Foundry Form Sans" w:hAnsi="Foundry Form Sans" w:cs="Arial"/>
        </w:rPr>
        <w:t>s of the particular requirements for provision of information to allow those references to be taken up during the ITT process.</w:t>
      </w:r>
    </w:p>
    <w:p w:rsidR="005511EE" w:rsidRPr="005511EE" w:rsidRDefault="005511EE" w:rsidP="009F133B">
      <w:pPr>
        <w:pStyle w:val="BodyText"/>
        <w:numPr>
          <w:ilvl w:val="1"/>
          <w:numId w:val="42"/>
        </w:numPr>
        <w:spacing w:after="120" w:line="23" w:lineRule="atLeast"/>
        <w:ind w:left="284"/>
        <w:jc w:val="both"/>
        <w:rPr>
          <w:rFonts w:ascii="Foundry Form Sans" w:hAnsi="Foundry Form Sans" w:cs="Arial"/>
        </w:rPr>
      </w:pPr>
      <w:r w:rsidRPr="00027DF3">
        <w:rPr>
          <w:rFonts w:ascii="Foundry Form Sans" w:hAnsi="Foundry Form Sans" w:cs="Arial"/>
          <w:b/>
        </w:rPr>
        <w:t>Equal</w:t>
      </w:r>
      <w:r w:rsidRPr="005511EE">
        <w:rPr>
          <w:rFonts w:ascii="Foundry Form Sans" w:hAnsi="Foundry Form Sans"/>
          <w:b/>
        </w:rPr>
        <w:t xml:space="preserve"> Opportunities </w:t>
      </w:r>
    </w:p>
    <w:p w:rsidR="005511EE" w:rsidRPr="005511EE" w:rsidRDefault="005511EE" w:rsidP="009F133B">
      <w:pPr>
        <w:pStyle w:val="BodyText"/>
        <w:numPr>
          <w:ilvl w:val="2"/>
          <w:numId w:val="42"/>
        </w:numPr>
        <w:spacing w:after="120" w:line="23" w:lineRule="atLeast"/>
        <w:ind w:left="284"/>
        <w:jc w:val="both"/>
        <w:rPr>
          <w:rFonts w:ascii="Foundry Form Sans" w:hAnsi="Foundry Form Sans" w:cs="Arial"/>
        </w:rPr>
      </w:pPr>
      <w:r w:rsidRPr="006C58EE">
        <w:rPr>
          <w:rFonts w:ascii="Foundry Form Sans" w:hAnsi="Foundry Form Sans" w:cs="Arial"/>
        </w:rPr>
        <w:t xml:space="preserve">The GLA is an equal opportunities employer and has various statutory duties to ensure that its services are delivered in a way that promotes equality and eliminates discrimination. </w:t>
      </w:r>
    </w:p>
    <w:p w:rsidR="005511EE" w:rsidRPr="005511EE" w:rsidRDefault="005511EE" w:rsidP="009F133B">
      <w:pPr>
        <w:pStyle w:val="BodyText"/>
        <w:numPr>
          <w:ilvl w:val="2"/>
          <w:numId w:val="42"/>
        </w:numPr>
        <w:spacing w:after="120" w:line="23" w:lineRule="atLeast"/>
        <w:ind w:left="284"/>
        <w:jc w:val="both"/>
        <w:rPr>
          <w:rFonts w:ascii="Foundry Form Sans" w:hAnsi="Foundry Form Sans" w:cs="Arial"/>
        </w:rPr>
      </w:pPr>
      <w:r w:rsidRPr="006C58EE">
        <w:rPr>
          <w:rFonts w:ascii="Foundry Form Sans" w:hAnsi="Foundry Form Sans" w:cs="Arial"/>
        </w:rPr>
        <w:t xml:space="preserve">The Mayor </w:t>
      </w:r>
      <w:r w:rsidR="00BC0385" w:rsidRPr="006C58EE">
        <w:rPr>
          <w:rFonts w:ascii="Foundry Form Sans" w:hAnsi="Foundry Form Sans" w:cs="Arial"/>
        </w:rPr>
        <w:t xml:space="preserve">of London </w:t>
      </w:r>
      <w:r w:rsidRPr="006C58EE">
        <w:rPr>
          <w:rFonts w:ascii="Foundry Form Sans" w:hAnsi="Foundry Form Sans" w:cs="Arial"/>
        </w:rPr>
        <w:t xml:space="preserve">published a revised </w:t>
      </w:r>
      <w:hyperlink r:id="rId20" w:history="1">
        <w:r w:rsidRPr="006C58EE">
          <w:rPr>
            <w:rFonts w:ascii="Foundry Form Sans" w:hAnsi="Foundry Form Sans" w:cs="Arial"/>
          </w:rPr>
          <w:t>Equal Life Chances for All</w:t>
        </w:r>
      </w:hyperlink>
      <w:r w:rsidRPr="006C58EE">
        <w:rPr>
          <w:rFonts w:ascii="Foundry Form Sans" w:hAnsi="Foundry Form Sans" w:cs="Arial"/>
        </w:rPr>
        <w:t xml:space="preserve"> framework in 2012.  This framework sets out the GLA’s objectives on equality which relate to issues such as health, education, employment, transport, housing, crime and violence against women and girls, volunteering and community engagement.  </w:t>
      </w:r>
    </w:p>
    <w:p w:rsidR="00215B07" w:rsidRDefault="005511EE" w:rsidP="009F133B">
      <w:pPr>
        <w:pStyle w:val="BodyText"/>
        <w:numPr>
          <w:ilvl w:val="2"/>
          <w:numId w:val="42"/>
        </w:numPr>
        <w:spacing w:after="120" w:line="23" w:lineRule="atLeast"/>
        <w:ind w:left="284"/>
        <w:jc w:val="both"/>
        <w:rPr>
          <w:rFonts w:ascii="Foundry Form Sans" w:hAnsi="Foundry Form Sans" w:cs="Arial"/>
        </w:rPr>
      </w:pPr>
      <w:r w:rsidRPr="006C58EE">
        <w:rPr>
          <w:rFonts w:ascii="Foundry Form Sans" w:hAnsi="Foundry Form Sans" w:cs="Arial"/>
        </w:rPr>
        <w:t xml:space="preserve">The GLA also expects that the successful </w:t>
      </w:r>
      <w:r w:rsidR="00300BFA" w:rsidRPr="006C58EE">
        <w:rPr>
          <w:rFonts w:ascii="Foundry Form Sans" w:hAnsi="Foundry Form Sans" w:cs="Arial"/>
        </w:rPr>
        <w:t>Bidder</w:t>
      </w:r>
      <w:r w:rsidRPr="006C58EE">
        <w:rPr>
          <w:rFonts w:ascii="Foundry Form Sans" w:hAnsi="Foundry Form Sans" w:cs="Arial"/>
        </w:rPr>
        <w:t xml:space="preserve"> will promote equality, comply fully with all UK equality legislation or European equivalent, have an equalities policy and be an equal opportunities employer at all times during the </w:t>
      </w:r>
      <w:r w:rsidR="00BC0385" w:rsidRPr="006C58EE">
        <w:rPr>
          <w:rFonts w:ascii="Foundry Form Sans" w:hAnsi="Foundry Form Sans" w:cs="Arial"/>
        </w:rPr>
        <w:t>lifetime of the project</w:t>
      </w:r>
      <w:r w:rsidRPr="006C58EE">
        <w:rPr>
          <w:rFonts w:ascii="Foundry Form Sans" w:hAnsi="Foundry Form Sans" w:cs="Arial"/>
        </w:rPr>
        <w:t>.</w:t>
      </w:r>
    </w:p>
    <w:p w:rsidR="00215B07" w:rsidRPr="00215B07" w:rsidRDefault="00215B07" w:rsidP="009F133B">
      <w:pPr>
        <w:pStyle w:val="BodyText"/>
        <w:numPr>
          <w:ilvl w:val="1"/>
          <w:numId w:val="42"/>
        </w:numPr>
        <w:spacing w:after="120" w:line="23" w:lineRule="atLeast"/>
        <w:ind w:left="284"/>
        <w:jc w:val="both"/>
        <w:rPr>
          <w:rFonts w:ascii="Foundry Form Sans" w:hAnsi="Foundry Form Sans" w:cs="Arial"/>
          <w:b/>
        </w:rPr>
      </w:pPr>
      <w:r w:rsidRPr="00215B07">
        <w:rPr>
          <w:rFonts w:ascii="Foundry Form Sans" w:hAnsi="Foundry Form Sans" w:cs="Arial"/>
          <w:b/>
        </w:rPr>
        <w:lastRenderedPageBreak/>
        <w:t>London Living Wage</w:t>
      </w:r>
    </w:p>
    <w:p w:rsidR="00392823" w:rsidRDefault="00392823" w:rsidP="009F133B">
      <w:pPr>
        <w:pStyle w:val="BodyText"/>
        <w:numPr>
          <w:ilvl w:val="2"/>
          <w:numId w:val="42"/>
        </w:numPr>
        <w:spacing w:after="120" w:line="23" w:lineRule="atLeast"/>
        <w:ind w:left="284"/>
        <w:jc w:val="both"/>
        <w:rPr>
          <w:rFonts w:ascii="Foundry Form Sans" w:hAnsi="Foundry Form Sans" w:cs="Arial"/>
        </w:rPr>
      </w:pPr>
      <w:r>
        <w:rPr>
          <w:rFonts w:ascii="Foundry Form Sans" w:hAnsi="Foundry Form Sans" w:cs="Arial"/>
        </w:rPr>
        <w:t xml:space="preserve">The </w:t>
      </w:r>
      <w:r w:rsidR="00300BFA">
        <w:rPr>
          <w:rFonts w:ascii="Foundry Form Sans" w:hAnsi="Foundry Form Sans" w:cs="Arial"/>
        </w:rPr>
        <w:t>Bidder</w:t>
      </w:r>
      <w:r>
        <w:rPr>
          <w:rFonts w:ascii="Foundry Form Sans" w:hAnsi="Foundry Form Sans" w:cs="Arial"/>
        </w:rPr>
        <w:t xml:space="preserve"> (LDP Member and subsidiaries/contractors) shall:</w:t>
      </w:r>
    </w:p>
    <w:p w:rsidR="00215B07" w:rsidRPr="004D4453" w:rsidRDefault="00215B07" w:rsidP="009F133B">
      <w:pPr>
        <w:pStyle w:val="ListParagraph"/>
        <w:numPr>
          <w:ilvl w:val="0"/>
          <w:numId w:val="3"/>
        </w:numPr>
        <w:tabs>
          <w:tab w:val="clear" w:pos="1854"/>
        </w:tabs>
        <w:spacing w:before="120" w:after="120"/>
        <w:ind w:left="284" w:hanging="284"/>
        <w:jc w:val="both"/>
        <w:rPr>
          <w:rFonts w:ascii="Foundry Form Sans" w:hAnsi="Foundry Form Sans" w:cs="Arial"/>
          <w:sz w:val="22"/>
          <w:szCs w:val="22"/>
        </w:rPr>
      </w:pPr>
      <w:r w:rsidRPr="004D4453">
        <w:rPr>
          <w:rFonts w:ascii="Foundry Form Sans" w:hAnsi="Foundry Form Sans" w:cs="Arial"/>
          <w:sz w:val="22"/>
          <w:szCs w:val="22"/>
        </w:rPr>
        <w:t xml:space="preserve">use all reasonable endeavours to ensure that none of its employees engaged in the provision of the Works is paid an hourly wage (or equivalent of an hourly wage) less than the London Living Wage; </w:t>
      </w:r>
    </w:p>
    <w:p w:rsidR="00215B07" w:rsidRPr="004D4453" w:rsidRDefault="00215B07" w:rsidP="009F133B">
      <w:pPr>
        <w:pStyle w:val="ListParagraph"/>
        <w:numPr>
          <w:ilvl w:val="0"/>
          <w:numId w:val="3"/>
        </w:numPr>
        <w:tabs>
          <w:tab w:val="clear" w:pos="1854"/>
        </w:tabs>
        <w:spacing w:before="120" w:after="120"/>
        <w:ind w:left="284" w:hanging="284"/>
        <w:jc w:val="both"/>
        <w:rPr>
          <w:rFonts w:ascii="Foundry Form Sans" w:hAnsi="Foundry Form Sans" w:cs="Arial"/>
          <w:sz w:val="22"/>
          <w:szCs w:val="22"/>
        </w:rPr>
      </w:pPr>
      <w:r w:rsidRPr="004D4453">
        <w:rPr>
          <w:rFonts w:ascii="Foundry Form Sans" w:hAnsi="Foundry Form Sans" w:cs="Arial"/>
          <w:sz w:val="22"/>
          <w:szCs w:val="22"/>
        </w:rPr>
        <w:t xml:space="preserve">use all reasonable endeavours to ensure that none of its employees engaged in the provision of the Works is paid less than the amount to which they are entitled in their respective contracts of employment; </w:t>
      </w:r>
    </w:p>
    <w:p w:rsidR="00215B07" w:rsidRPr="004D4453" w:rsidRDefault="00215B07" w:rsidP="009F133B">
      <w:pPr>
        <w:pStyle w:val="ListParagraph"/>
        <w:numPr>
          <w:ilvl w:val="0"/>
          <w:numId w:val="3"/>
        </w:numPr>
        <w:tabs>
          <w:tab w:val="clear" w:pos="1854"/>
        </w:tabs>
        <w:spacing w:before="120" w:after="120"/>
        <w:ind w:left="284" w:hanging="284"/>
        <w:jc w:val="both"/>
        <w:rPr>
          <w:rFonts w:ascii="Foundry Form Sans" w:hAnsi="Foundry Form Sans" w:cs="Arial"/>
          <w:sz w:val="22"/>
          <w:szCs w:val="22"/>
        </w:rPr>
      </w:pPr>
      <w:r w:rsidRPr="004D4453">
        <w:rPr>
          <w:rFonts w:ascii="Foundry Form Sans" w:hAnsi="Foundry Form Sans" w:cs="Arial"/>
          <w:sz w:val="22"/>
          <w:szCs w:val="22"/>
        </w:rPr>
        <w:t xml:space="preserve">provide to the GLA such information concerning the London Living Wage as the GLA or its nominees may reasonably require from time to time; </w:t>
      </w:r>
    </w:p>
    <w:p w:rsidR="00215B07" w:rsidRPr="004D4453" w:rsidRDefault="00215B07" w:rsidP="009F133B">
      <w:pPr>
        <w:pStyle w:val="ListParagraph"/>
        <w:numPr>
          <w:ilvl w:val="0"/>
          <w:numId w:val="3"/>
        </w:numPr>
        <w:tabs>
          <w:tab w:val="clear" w:pos="1854"/>
        </w:tabs>
        <w:spacing w:before="120" w:after="120"/>
        <w:ind w:left="284" w:hanging="284"/>
        <w:jc w:val="both"/>
        <w:rPr>
          <w:rFonts w:ascii="Foundry Form Sans" w:hAnsi="Foundry Form Sans" w:cs="Arial"/>
          <w:sz w:val="22"/>
          <w:szCs w:val="22"/>
        </w:rPr>
      </w:pPr>
      <w:r w:rsidRPr="004D4453">
        <w:rPr>
          <w:rFonts w:ascii="Foundry Form Sans" w:hAnsi="Foundry Form Sans" w:cs="Arial"/>
          <w:sz w:val="22"/>
          <w:szCs w:val="22"/>
        </w:rPr>
        <w:t xml:space="preserve">disseminate on behalf of the GLA to its employees engaged in the provision of the Works such perception questionnaires as the GLA may reasonably require from time to time and promptly collate and return to the GLA responses to such questionnaires; and </w:t>
      </w:r>
    </w:p>
    <w:p w:rsidR="00215B07" w:rsidRPr="004D4453" w:rsidRDefault="00215B07" w:rsidP="009F133B">
      <w:pPr>
        <w:pStyle w:val="ListParagraph"/>
        <w:numPr>
          <w:ilvl w:val="0"/>
          <w:numId w:val="3"/>
        </w:numPr>
        <w:tabs>
          <w:tab w:val="clear" w:pos="1854"/>
        </w:tabs>
        <w:spacing w:before="120" w:after="120"/>
        <w:ind w:left="284" w:hanging="284"/>
        <w:jc w:val="both"/>
        <w:rPr>
          <w:rFonts w:ascii="Foundry Form Sans" w:hAnsi="Foundry Form Sans" w:cs="Arial"/>
          <w:sz w:val="22"/>
          <w:szCs w:val="22"/>
        </w:rPr>
      </w:pPr>
      <w:r w:rsidRPr="004D4453">
        <w:rPr>
          <w:rFonts w:ascii="Foundry Form Sans" w:hAnsi="Foundry Form Sans" w:cs="Arial"/>
          <w:sz w:val="22"/>
          <w:szCs w:val="22"/>
        </w:rPr>
        <w:t>use all reasonable endeavours to co-operate and provide all reasonable assistance in monitoring the effect of the London Living Wage.</w:t>
      </w:r>
    </w:p>
    <w:p w:rsidR="00215B07" w:rsidRPr="00215B07" w:rsidRDefault="00215B07" w:rsidP="009F133B">
      <w:pPr>
        <w:ind w:left="284"/>
        <w:jc w:val="both"/>
        <w:rPr>
          <w:rFonts w:ascii="Foundry Form Sans" w:hAnsi="Foundry Form Sans" w:cs="Arial"/>
          <w:sz w:val="22"/>
          <w:szCs w:val="22"/>
        </w:rPr>
      </w:pPr>
    </w:p>
    <w:p w:rsidR="00215B07" w:rsidRDefault="00215B07" w:rsidP="009F133B">
      <w:pPr>
        <w:ind w:left="284"/>
        <w:jc w:val="both"/>
        <w:rPr>
          <w:rFonts w:ascii="Foundry Form Sans" w:hAnsi="Foundry Form Sans" w:cs="Arial"/>
          <w:sz w:val="22"/>
          <w:szCs w:val="22"/>
        </w:rPr>
      </w:pPr>
    </w:p>
    <w:p w:rsidR="00215B07" w:rsidRDefault="00215B07" w:rsidP="009F133B">
      <w:pPr>
        <w:ind w:left="284" w:hanging="567"/>
        <w:jc w:val="both"/>
        <w:rPr>
          <w:rFonts w:ascii="Foundry Form Sans" w:hAnsi="Foundry Form Sans" w:cs="Arial"/>
          <w:sz w:val="22"/>
          <w:szCs w:val="22"/>
        </w:rPr>
      </w:pPr>
    </w:p>
    <w:p w:rsidR="00215B07" w:rsidRPr="00215B07" w:rsidRDefault="00215B07" w:rsidP="009F133B">
      <w:pPr>
        <w:ind w:left="284" w:hanging="567"/>
        <w:jc w:val="both"/>
        <w:rPr>
          <w:rFonts w:ascii="Foundry Form Sans" w:hAnsi="Foundry Form Sans" w:cs="Arial"/>
          <w:sz w:val="22"/>
          <w:szCs w:val="22"/>
        </w:rPr>
      </w:pPr>
      <w:r>
        <w:rPr>
          <w:rFonts w:ascii="Foundry Form Sans" w:hAnsi="Foundry Form Sans" w:cs="Arial"/>
          <w:sz w:val="22"/>
          <w:szCs w:val="22"/>
        </w:rPr>
        <w:tab/>
      </w:r>
    </w:p>
    <w:sectPr w:rsidR="00215B07" w:rsidRPr="00215B07" w:rsidSect="009F133B">
      <w:pgSz w:w="11906" w:h="16838" w:code="9"/>
      <w:pgMar w:top="1797" w:right="1440" w:bottom="1797" w:left="1440" w:header="709" w:footer="709" w:gutter="0"/>
      <w:paperSrc w:first="264" w:other="264"/>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0BA" w:rsidRDefault="004660BA">
      <w:pPr>
        <w:pStyle w:val="Heading1"/>
      </w:pPr>
      <w:r>
        <w:separator/>
      </w:r>
    </w:p>
  </w:endnote>
  <w:endnote w:type="continuationSeparator" w:id="0">
    <w:p w:rsidR="004660BA" w:rsidRDefault="004660BA">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FoundryFormSans-Book">
    <w:altName w:val="Courier New"/>
    <w:panose1 w:val="00000000000000000000"/>
    <w:charset w:val="00"/>
    <w:family w:val="auto"/>
    <w:notTrueType/>
    <w:pitch w:val="default"/>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AktivGrotesk-Regular">
    <w:panose1 w:val="00000000000000000000"/>
    <w:charset w:val="00"/>
    <w:family w:val="auto"/>
    <w:notTrueType/>
    <w:pitch w:val="default"/>
    <w:sig w:usb0="00000003" w:usb1="00000000" w:usb2="00000000" w:usb3="00000000" w:csb0="00000001" w:csb1="00000000"/>
  </w:font>
  <w:font w:name="ConduitITC-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BA" w:rsidRDefault="004660BA" w:rsidP="003130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rsidR="004660BA" w:rsidRDefault="004660BA" w:rsidP="00D04A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742104"/>
      <w:docPartObj>
        <w:docPartGallery w:val="Page Numbers (Bottom of Page)"/>
        <w:docPartUnique/>
      </w:docPartObj>
    </w:sdtPr>
    <w:sdtEndPr>
      <w:rPr>
        <w:noProof/>
      </w:rPr>
    </w:sdtEndPr>
    <w:sdtContent>
      <w:p w:rsidR="004660BA" w:rsidRDefault="004660BA">
        <w:pPr>
          <w:pStyle w:val="Footer"/>
          <w:jc w:val="center"/>
        </w:pPr>
        <w:r>
          <w:fldChar w:fldCharType="begin"/>
        </w:r>
        <w:r>
          <w:instrText xml:space="preserve"> PAGE   \* MERGEFORMAT </w:instrText>
        </w:r>
        <w:r>
          <w:fldChar w:fldCharType="separate"/>
        </w:r>
        <w:r w:rsidR="009C6609">
          <w:rPr>
            <w:noProof/>
          </w:rPr>
          <w:t>1</w:t>
        </w:r>
        <w:r>
          <w:rPr>
            <w:noProof/>
          </w:rPr>
          <w:fldChar w:fldCharType="end"/>
        </w:r>
      </w:p>
    </w:sdtContent>
  </w:sdt>
  <w:p w:rsidR="004660BA" w:rsidRPr="00C07FD9" w:rsidRDefault="004660BA" w:rsidP="005C01D5">
    <w:pPr>
      <w:pStyle w:val="Footer"/>
      <w:tabs>
        <w:tab w:val="left" w:pos="6096"/>
      </w:tabs>
      <w:ind w:right="360"/>
      <w:rPr>
        <w:rFonts w:ascii="Foundry Form Sans" w:hAnsi="Foundry Form Sans"/>
        <w: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34974"/>
      <w:docPartObj>
        <w:docPartGallery w:val="Page Numbers (Bottom of Page)"/>
        <w:docPartUnique/>
      </w:docPartObj>
    </w:sdtPr>
    <w:sdtEndPr>
      <w:rPr>
        <w:noProof/>
      </w:rPr>
    </w:sdtEndPr>
    <w:sdtContent>
      <w:p w:rsidR="004660BA" w:rsidRDefault="004660BA">
        <w:pPr>
          <w:pStyle w:val="Footer"/>
          <w:jc w:val="center"/>
        </w:pPr>
        <w:r>
          <w:fldChar w:fldCharType="begin"/>
        </w:r>
        <w:r>
          <w:instrText xml:space="preserve"> PAGE   \* MERGEFORMAT </w:instrText>
        </w:r>
        <w:r>
          <w:fldChar w:fldCharType="separate"/>
        </w:r>
        <w:r w:rsidR="009C6609">
          <w:rPr>
            <w:noProof/>
          </w:rPr>
          <w:t>16</w:t>
        </w:r>
        <w:r>
          <w:rPr>
            <w:noProof/>
          </w:rPr>
          <w:fldChar w:fldCharType="end"/>
        </w:r>
      </w:p>
    </w:sdtContent>
  </w:sdt>
  <w:p w:rsidR="004660BA" w:rsidRPr="005C01D5" w:rsidRDefault="004660BA" w:rsidP="005C01D5">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0BA" w:rsidRDefault="004660BA">
      <w:pPr>
        <w:pStyle w:val="Heading1"/>
      </w:pPr>
      <w:r>
        <w:separator/>
      </w:r>
    </w:p>
  </w:footnote>
  <w:footnote w:type="continuationSeparator" w:id="0">
    <w:p w:rsidR="004660BA" w:rsidRDefault="004660BA">
      <w:pPr>
        <w:pStyle w:val="Heading1"/>
      </w:pPr>
      <w:r>
        <w:continuationSeparator/>
      </w:r>
    </w:p>
  </w:footnote>
  <w:footnote w:id="1">
    <w:p w:rsidR="004660BA" w:rsidRPr="009F133B" w:rsidRDefault="004660BA" w:rsidP="00EF19AD">
      <w:pPr>
        <w:autoSpaceDE w:val="0"/>
        <w:autoSpaceDN w:val="0"/>
        <w:adjustRightInd w:val="0"/>
        <w:ind w:left="567"/>
        <w:rPr>
          <w:rFonts w:ascii="Foundry Form Sans" w:hAnsi="Foundry Form Sans" w:cs="AktivGrotesk-Regular"/>
          <w:color w:val="000000" w:themeColor="text1"/>
          <w:sz w:val="22"/>
          <w:szCs w:val="22"/>
          <w:lang w:eastAsia="en-GB"/>
        </w:rPr>
      </w:pPr>
      <w:r w:rsidRPr="009F133B">
        <w:rPr>
          <w:rStyle w:val="FootnoteReference"/>
          <w:color w:val="000000" w:themeColor="text1"/>
        </w:rPr>
        <w:footnoteRef/>
      </w:r>
      <w:r w:rsidRPr="009F133B">
        <w:rPr>
          <w:color w:val="000000" w:themeColor="text1"/>
        </w:rPr>
        <w:t xml:space="preserve"> </w:t>
      </w:r>
      <w:r w:rsidRPr="009F133B">
        <w:rPr>
          <w:rFonts w:ascii="Foundry Form Sans" w:hAnsi="Foundry Form Sans" w:cs="AktivGrotesk-Regular"/>
          <w:color w:val="000000" w:themeColor="text1"/>
          <w:sz w:val="18"/>
          <w:szCs w:val="18"/>
          <w:lang w:eastAsia="en-GB"/>
        </w:rPr>
        <w:t>The London Plan defines social infrastructure broadly as covering a wide range of facilities, including health, nurseries, schools, colleges and universities, community, cultural, play and informal recreation facilities, sports and leisure facilities, places of worship, emergency facilities and other uses and activities which contribute to quality of life. This is not intended to be an exhaustive list and can be refined further at a local level.</w:t>
      </w:r>
    </w:p>
    <w:p w:rsidR="004660BA" w:rsidRDefault="004660B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0BA" w:rsidRPr="00C07FD9" w:rsidRDefault="004660BA" w:rsidP="00C07FD9">
    <w:pPr>
      <w:pStyle w:val="Header"/>
      <w:ind w:right="3"/>
      <w:rPr>
        <w:rFonts w:ascii="Foundry Form Sans" w:hAnsi="Foundry Form Sans"/>
        <w:szCs w:val="20"/>
      </w:rPr>
    </w:pPr>
    <w:r>
      <w:rPr>
        <w:rFonts w:ascii="Foundry Form Sans" w:hAnsi="Foundry Form Sans"/>
        <w:szCs w:val="20"/>
      </w:rPr>
      <w:t>Royal Albert Basin, Royal Docks</w:t>
    </w:r>
    <w:r w:rsidRPr="00C07FD9">
      <w:rPr>
        <w:rFonts w:ascii="Foundry Form Sans" w:hAnsi="Foundry Form Sans"/>
        <w:szCs w:val="20"/>
      </w:rPr>
      <w:t xml:space="preserve"> – Invitation to Tender</w:t>
    </w:r>
    <w:r w:rsidRPr="00C07FD9">
      <w:rPr>
        <w:rFonts w:ascii="Foundry Form Sans" w:hAnsi="Foundry Form Sans"/>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E2E"/>
    <w:multiLevelType w:val="hybridMultilevel"/>
    <w:tmpl w:val="B498DB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C44688"/>
    <w:multiLevelType w:val="hybridMultilevel"/>
    <w:tmpl w:val="0BEA7A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EA46061"/>
    <w:multiLevelType w:val="hybridMultilevel"/>
    <w:tmpl w:val="85404B6C"/>
    <w:lvl w:ilvl="0" w:tplc="0409000F">
      <w:start w:val="1"/>
      <w:numFmt w:val="decimal"/>
      <w:lvlText w:val="%1."/>
      <w:lvlJc w:val="left"/>
      <w:pPr>
        <w:ind w:left="2988" w:hanging="360"/>
      </w:pPr>
      <w:rPr>
        <w:rFonts w:cs="Times New Roman"/>
      </w:rPr>
    </w:lvl>
    <w:lvl w:ilvl="1" w:tplc="04090019" w:tentative="1">
      <w:start w:val="1"/>
      <w:numFmt w:val="lowerLetter"/>
      <w:lvlText w:val="%2."/>
      <w:lvlJc w:val="left"/>
      <w:pPr>
        <w:ind w:left="3708" w:hanging="360"/>
      </w:pPr>
      <w:rPr>
        <w:rFonts w:cs="Times New Roman"/>
      </w:rPr>
    </w:lvl>
    <w:lvl w:ilvl="2" w:tplc="0409001B" w:tentative="1">
      <w:start w:val="1"/>
      <w:numFmt w:val="lowerRoman"/>
      <w:lvlText w:val="%3."/>
      <w:lvlJc w:val="right"/>
      <w:pPr>
        <w:ind w:left="4428" w:hanging="180"/>
      </w:pPr>
      <w:rPr>
        <w:rFonts w:cs="Times New Roman"/>
      </w:rPr>
    </w:lvl>
    <w:lvl w:ilvl="3" w:tplc="0409000F" w:tentative="1">
      <w:start w:val="1"/>
      <w:numFmt w:val="decimal"/>
      <w:lvlText w:val="%4."/>
      <w:lvlJc w:val="left"/>
      <w:pPr>
        <w:ind w:left="5148" w:hanging="360"/>
      </w:pPr>
      <w:rPr>
        <w:rFonts w:cs="Times New Roman"/>
      </w:rPr>
    </w:lvl>
    <w:lvl w:ilvl="4" w:tplc="04090019" w:tentative="1">
      <w:start w:val="1"/>
      <w:numFmt w:val="lowerLetter"/>
      <w:lvlText w:val="%5."/>
      <w:lvlJc w:val="left"/>
      <w:pPr>
        <w:ind w:left="5868" w:hanging="360"/>
      </w:pPr>
      <w:rPr>
        <w:rFonts w:cs="Times New Roman"/>
      </w:rPr>
    </w:lvl>
    <w:lvl w:ilvl="5" w:tplc="0409001B" w:tentative="1">
      <w:start w:val="1"/>
      <w:numFmt w:val="lowerRoman"/>
      <w:lvlText w:val="%6."/>
      <w:lvlJc w:val="right"/>
      <w:pPr>
        <w:ind w:left="6588" w:hanging="180"/>
      </w:pPr>
      <w:rPr>
        <w:rFonts w:cs="Times New Roman"/>
      </w:rPr>
    </w:lvl>
    <w:lvl w:ilvl="6" w:tplc="0409000F" w:tentative="1">
      <w:start w:val="1"/>
      <w:numFmt w:val="decimal"/>
      <w:lvlText w:val="%7."/>
      <w:lvlJc w:val="left"/>
      <w:pPr>
        <w:ind w:left="7308" w:hanging="360"/>
      </w:pPr>
      <w:rPr>
        <w:rFonts w:cs="Times New Roman"/>
      </w:rPr>
    </w:lvl>
    <w:lvl w:ilvl="7" w:tplc="04090019" w:tentative="1">
      <w:start w:val="1"/>
      <w:numFmt w:val="lowerLetter"/>
      <w:lvlText w:val="%8."/>
      <w:lvlJc w:val="left"/>
      <w:pPr>
        <w:ind w:left="8028" w:hanging="360"/>
      </w:pPr>
      <w:rPr>
        <w:rFonts w:cs="Times New Roman"/>
      </w:rPr>
    </w:lvl>
    <w:lvl w:ilvl="8" w:tplc="0409001B" w:tentative="1">
      <w:start w:val="1"/>
      <w:numFmt w:val="lowerRoman"/>
      <w:lvlText w:val="%9."/>
      <w:lvlJc w:val="right"/>
      <w:pPr>
        <w:ind w:left="8748" w:hanging="180"/>
      </w:pPr>
      <w:rPr>
        <w:rFonts w:cs="Times New Roman"/>
      </w:rPr>
    </w:lvl>
  </w:abstractNum>
  <w:abstractNum w:abstractNumId="3" w15:restartNumberingAfterBreak="0">
    <w:nsid w:val="0FD463D7"/>
    <w:multiLevelType w:val="multilevel"/>
    <w:tmpl w:val="4BAEB02E"/>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680"/>
        </w:tabs>
        <w:ind w:left="1680" w:hanging="720"/>
      </w:pPr>
      <w:rPr>
        <w:rFonts w:ascii="Foundry Form Sans" w:hAnsi="Foundry Form Sans"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343B0C"/>
    <w:multiLevelType w:val="hybridMultilevel"/>
    <w:tmpl w:val="E8EE80FE"/>
    <w:lvl w:ilvl="0" w:tplc="D76E1EE0">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2A91BAF"/>
    <w:multiLevelType w:val="hybridMultilevel"/>
    <w:tmpl w:val="880806D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2E93B13"/>
    <w:multiLevelType w:val="hybridMultilevel"/>
    <w:tmpl w:val="21F2C2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31676BB"/>
    <w:multiLevelType w:val="hybridMultilevel"/>
    <w:tmpl w:val="813669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7E13EEE"/>
    <w:multiLevelType w:val="hybridMultilevel"/>
    <w:tmpl w:val="1EEC84BE"/>
    <w:lvl w:ilvl="0" w:tplc="F8B4BFDA">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C44AA6"/>
    <w:multiLevelType w:val="hybridMultilevel"/>
    <w:tmpl w:val="F61AE6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2E55F8A"/>
    <w:multiLevelType w:val="hybridMultilevel"/>
    <w:tmpl w:val="09904A8A"/>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1" w15:restartNumberingAfterBreak="0">
    <w:nsid w:val="24406AEA"/>
    <w:multiLevelType w:val="hybridMultilevel"/>
    <w:tmpl w:val="156E59D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60B276C"/>
    <w:multiLevelType w:val="hybridMultilevel"/>
    <w:tmpl w:val="44DAD81E"/>
    <w:lvl w:ilvl="0" w:tplc="F8B4BFDA">
      <w:start w:val="1"/>
      <w:numFmt w:val="bullet"/>
      <w:lvlText w:val=""/>
      <w:lvlJc w:val="left"/>
      <w:pPr>
        <w:tabs>
          <w:tab w:val="num" w:pos="360"/>
        </w:tabs>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807EC"/>
    <w:multiLevelType w:val="hybridMultilevel"/>
    <w:tmpl w:val="45A2E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Symbol"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Symbol"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8404F5B"/>
    <w:multiLevelType w:val="hybridMultilevel"/>
    <w:tmpl w:val="64F8F088"/>
    <w:lvl w:ilvl="0" w:tplc="27880304">
      <w:start w:val="1"/>
      <w:numFmt w:val="decimal"/>
      <w:lvlText w:val="%1"/>
      <w:lvlJc w:val="left"/>
      <w:pPr>
        <w:tabs>
          <w:tab w:val="num" w:pos="680"/>
        </w:tabs>
        <w:ind w:left="680" w:hanging="680"/>
      </w:pPr>
      <w:rPr>
        <w:rFonts w:ascii="Foundry Form Sans" w:hAnsi="Foundry Form Sans" w:hint="default"/>
      </w:rPr>
    </w:lvl>
    <w:lvl w:ilvl="1" w:tplc="153AA77E">
      <w:start w:val="1"/>
      <w:numFmt w:val="bullet"/>
      <w:lvlText w:val=""/>
      <w:lvlJc w:val="left"/>
      <w:pPr>
        <w:tabs>
          <w:tab w:val="num" w:pos="1004"/>
        </w:tabs>
        <w:ind w:left="1004" w:hanging="284"/>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D2F308E"/>
    <w:multiLevelType w:val="multilevel"/>
    <w:tmpl w:val="EEFA7E22"/>
    <w:lvl w:ilvl="0">
      <w:start w:val="1"/>
      <w:numFmt w:val="decimal"/>
      <w:lvlText w:val="%1"/>
      <w:lvlJc w:val="left"/>
      <w:pPr>
        <w:ind w:left="854" w:hanging="570"/>
      </w:pPr>
      <w:rPr>
        <w:rFonts w:hint="default"/>
        <w:b/>
      </w:rPr>
    </w:lvl>
    <w:lvl w:ilvl="1">
      <w:start w:val="1"/>
      <w:numFmt w:val="decimal"/>
      <w:isLgl/>
      <w:lvlText w:val="%1.%2"/>
      <w:lvlJc w:val="left"/>
      <w:pPr>
        <w:ind w:left="1062" w:hanging="570"/>
      </w:pPr>
      <w:rPr>
        <w:rFonts w:ascii="Foundry Form Sans" w:hAnsi="Foundry Form San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2E1C1DDA"/>
    <w:multiLevelType w:val="hybridMultilevel"/>
    <w:tmpl w:val="FB86DC5A"/>
    <w:lvl w:ilvl="0" w:tplc="08090003">
      <w:start w:val="1"/>
      <w:numFmt w:val="bullet"/>
      <w:lvlText w:val="o"/>
      <w:lvlJc w:val="left"/>
      <w:pPr>
        <w:ind w:left="2160" w:hanging="720"/>
      </w:pPr>
      <w:rPr>
        <w:rFonts w:ascii="Courier New" w:hAnsi="Courier New" w:cs="Courier New"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FA453C9"/>
    <w:multiLevelType w:val="multilevel"/>
    <w:tmpl w:val="EEFA7E22"/>
    <w:lvl w:ilvl="0">
      <w:start w:val="1"/>
      <w:numFmt w:val="decimal"/>
      <w:lvlText w:val="%1"/>
      <w:lvlJc w:val="left"/>
      <w:pPr>
        <w:ind w:left="930" w:hanging="570"/>
      </w:pPr>
      <w:rPr>
        <w:rFonts w:hint="default"/>
        <w:b/>
      </w:rPr>
    </w:lvl>
    <w:lvl w:ilvl="1">
      <w:start w:val="1"/>
      <w:numFmt w:val="decimal"/>
      <w:isLgl/>
      <w:lvlText w:val="%1.%2"/>
      <w:lvlJc w:val="left"/>
      <w:pPr>
        <w:ind w:left="1138" w:hanging="570"/>
      </w:pPr>
      <w:rPr>
        <w:rFonts w:ascii="Foundry Form Sans" w:hAnsi="Foundry Form San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EB4639"/>
    <w:multiLevelType w:val="multilevel"/>
    <w:tmpl w:val="68201DF4"/>
    <w:lvl w:ilvl="0">
      <w:start w:val="1"/>
      <w:numFmt w:val="decimal"/>
      <w:lvlText w:val="%1"/>
      <w:lvlJc w:val="left"/>
      <w:pPr>
        <w:ind w:left="930" w:hanging="570"/>
      </w:pPr>
      <w:rPr>
        <w:rFonts w:hint="default"/>
        <w:b/>
      </w:rPr>
    </w:lvl>
    <w:lvl w:ilvl="1">
      <w:start w:val="1"/>
      <w:numFmt w:val="decimal"/>
      <w:isLgl/>
      <w:lvlText w:val="%1.%2"/>
      <w:lvlJc w:val="left"/>
      <w:pPr>
        <w:ind w:left="1138" w:hanging="570"/>
      </w:pPr>
      <w:rPr>
        <w:rFonts w:ascii="Foundry Form Sans" w:hAnsi="Foundry Form Sans" w:hint="default"/>
        <w:b w:val="0"/>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0344D"/>
    <w:multiLevelType w:val="hybridMultilevel"/>
    <w:tmpl w:val="7718428E"/>
    <w:lvl w:ilvl="0" w:tplc="153AA77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5A50CF"/>
    <w:multiLevelType w:val="hybridMultilevel"/>
    <w:tmpl w:val="22149C30"/>
    <w:lvl w:ilvl="0" w:tplc="08090001">
      <w:start w:val="1"/>
      <w:numFmt w:val="bullet"/>
      <w:lvlText w:val=""/>
      <w:lvlJc w:val="left"/>
      <w:pPr>
        <w:ind w:left="1539" w:hanging="360"/>
      </w:pPr>
      <w:rPr>
        <w:rFonts w:ascii="Symbol" w:hAnsi="Symbol" w:hint="default"/>
      </w:rPr>
    </w:lvl>
    <w:lvl w:ilvl="1" w:tplc="08090003">
      <w:start w:val="1"/>
      <w:numFmt w:val="bullet"/>
      <w:lvlText w:val="o"/>
      <w:lvlJc w:val="left"/>
      <w:pPr>
        <w:ind w:left="2259" w:hanging="360"/>
      </w:pPr>
      <w:rPr>
        <w:rFonts w:ascii="Courier New" w:hAnsi="Courier New" w:cs="Courier New" w:hint="default"/>
      </w:rPr>
    </w:lvl>
    <w:lvl w:ilvl="2" w:tplc="08090005" w:tentative="1">
      <w:start w:val="1"/>
      <w:numFmt w:val="bullet"/>
      <w:lvlText w:val=""/>
      <w:lvlJc w:val="left"/>
      <w:pPr>
        <w:ind w:left="2979" w:hanging="360"/>
      </w:pPr>
      <w:rPr>
        <w:rFonts w:ascii="Wingdings" w:hAnsi="Wingdings" w:hint="default"/>
      </w:rPr>
    </w:lvl>
    <w:lvl w:ilvl="3" w:tplc="08090001" w:tentative="1">
      <w:start w:val="1"/>
      <w:numFmt w:val="bullet"/>
      <w:lvlText w:val=""/>
      <w:lvlJc w:val="left"/>
      <w:pPr>
        <w:ind w:left="3699" w:hanging="360"/>
      </w:pPr>
      <w:rPr>
        <w:rFonts w:ascii="Symbol" w:hAnsi="Symbol" w:hint="default"/>
      </w:rPr>
    </w:lvl>
    <w:lvl w:ilvl="4" w:tplc="08090003" w:tentative="1">
      <w:start w:val="1"/>
      <w:numFmt w:val="bullet"/>
      <w:lvlText w:val="o"/>
      <w:lvlJc w:val="left"/>
      <w:pPr>
        <w:ind w:left="4419" w:hanging="360"/>
      </w:pPr>
      <w:rPr>
        <w:rFonts w:ascii="Courier New" w:hAnsi="Courier New" w:cs="Courier New" w:hint="default"/>
      </w:rPr>
    </w:lvl>
    <w:lvl w:ilvl="5" w:tplc="08090005" w:tentative="1">
      <w:start w:val="1"/>
      <w:numFmt w:val="bullet"/>
      <w:lvlText w:val=""/>
      <w:lvlJc w:val="left"/>
      <w:pPr>
        <w:ind w:left="5139" w:hanging="360"/>
      </w:pPr>
      <w:rPr>
        <w:rFonts w:ascii="Wingdings" w:hAnsi="Wingdings" w:hint="default"/>
      </w:rPr>
    </w:lvl>
    <w:lvl w:ilvl="6" w:tplc="08090001" w:tentative="1">
      <w:start w:val="1"/>
      <w:numFmt w:val="bullet"/>
      <w:lvlText w:val=""/>
      <w:lvlJc w:val="left"/>
      <w:pPr>
        <w:ind w:left="5859" w:hanging="360"/>
      </w:pPr>
      <w:rPr>
        <w:rFonts w:ascii="Symbol" w:hAnsi="Symbol" w:hint="default"/>
      </w:rPr>
    </w:lvl>
    <w:lvl w:ilvl="7" w:tplc="08090003" w:tentative="1">
      <w:start w:val="1"/>
      <w:numFmt w:val="bullet"/>
      <w:lvlText w:val="o"/>
      <w:lvlJc w:val="left"/>
      <w:pPr>
        <w:ind w:left="6579" w:hanging="360"/>
      </w:pPr>
      <w:rPr>
        <w:rFonts w:ascii="Courier New" w:hAnsi="Courier New" w:cs="Courier New" w:hint="default"/>
      </w:rPr>
    </w:lvl>
    <w:lvl w:ilvl="8" w:tplc="08090005" w:tentative="1">
      <w:start w:val="1"/>
      <w:numFmt w:val="bullet"/>
      <w:lvlText w:val=""/>
      <w:lvlJc w:val="left"/>
      <w:pPr>
        <w:ind w:left="7299" w:hanging="360"/>
      </w:pPr>
      <w:rPr>
        <w:rFonts w:ascii="Wingdings" w:hAnsi="Wingdings" w:hint="default"/>
      </w:rPr>
    </w:lvl>
  </w:abstractNum>
  <w:abstractNum w:abstractNumId="21" w15:restartNumberingAfterBreak="0">
    <w:nsid w:val="35245E3B"/>
    <w:multiLevelType w:val="hybridMultilevel"/>
    <w:tmpl w:val="04347C48"/>
    <w:lvl w:ilvl="0" w:tplc="7C02DB2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Aria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Arial"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68B2040"/>
    <w:multiLevelType w:val="hybridMultilevel"/>
    <w:tmpl w:val="01686D8E"/>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39175F90"/>
    <w:multiLevelType w:val="multilevel"/>
    <w:tmpl w:val="F472512E"/>
    <w:lvl w:ilvl="0">
      <w:start w:val="1"/>
      <w:numFmt w:val="decimal"/>
      <w:lvlText w:val="%1"/>
      <w:lvlJc w:val="left"/>
      <w:pPr>
        <w:tabs>
          <w:tab w:val="num" w:pos="851"/>
        </w:tabs>
        <w:ind w:left="851" w:hanging="851"/>
      </w:pPr>
      <w:rPr>
        <w:rFonts w:hint="default"/>
        <w:b/>
        <w:i w:val="0"/>
      </w:rPr>
    </w:lvl>
    <w:lvl w:ilvl="1">
      <w:start w:val="1"/>
      <w:numFmt w:val="decimal"/>
      <w:lvlText w:val="%1.%2"/>
      <w:lvlJc w:val="left"/>
      <w:pPr>
        <w:tabs>
          <w:tab w:val="num" w:pos="851"/>
        </w:tabs>
        <w:ind w:left="851" w:hanging="851"/>
      </w:pPr>
      <w:rPr>
        <w:rFonts w:ascii="Foundry Form Sans" w:hAnsi="Foundry Form Sans"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371E46"/>
    <w:multiLevelType w:val="multilevel"/>
    <w:tmpl w:val="32F2FD86"/>
    <w:lvl w:ilvl="0">
      <w:start w:val="1"/>
      <w:numFmt w:val="decimal"/>
      <w:lvlText w:val="%1"/>
      <w:lvlJc w:val="left"/>
      <w:pPr>
        <w:tabs>
          <w:tab w:val="num" w:pos="1494"/>
        </w:tabs>
        <w:ind w:left="1494" w:hanging="360"/>
      </w:pPr>
      <w:rPr>
        <w:rFonts w:cs="Times New Roman" w:hint="default"/>
      </w:rPr>
    </w:lvl>
    <w:lvl w:ilvl="1">
      <w:start w:val="3"/>
      <w:numFmt w:val="decimal"/>
      <w:lvlText w:val="%1.%2"/>
      <w:lvlJc w:val="left"/>
      <w:pPr>
        <w:tabs>
          <w:tab w:val="num" w:pos="1494"/>
        </w:tabs>
        <w:ind w:left="1494"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1854"/>
        </w:tabs>
        <w:ind w:left="1854" w:hanging="720"/>
      </w:pPr>
      <w:rPr>
        <w:rFonts w:cs="Times New Roman" w:hint="default"/>
      </w:rPr>
    </w:lvl>
    <w:lvl w:ilvl="4">
      <w:start w:val="1"/>
      <w:numFmt w:val="decimal"/>
      <w:lvlText w:val="%1.%2.%3.%4.%5"/>
      <w:lvlJc w:val="left"/>
      <w:pPr>
        <w:tabs>
          <w:tab w:val="num" w:pos="2214"/>
        </w:tabs>
        <w:ind w:left="2214" w:hanging="1080"/>
      </w:pPr>
      <w:rPr>
        <w:rFonts w:cs="Times New Roman" w:hint="default"/>
      </w:rPr>
    </w:lvl>
    <w:lvl w:ilvl="5">
      <w:start w:val="1"/>
      <w:numFmt w:val="decimal"/>
      <w:lvlText w:val="%1.%2.%3.%4.%5.%6"/>
      <w:lvlJc w:val="left"/>
      <w:pPr>
        <w:tabs>
          <w:tab w:val="num" w:pos="2214"/>
        </w:tabs>
        <w:ind w:left="2214" w:hanging="1080"/>
      </w:pPr>
      <w:rPr>
        <w:rFonts w:cs="Times New Roman" w:hint="default"/>
      </w:rPr>
    </w:lvl>
    <w:lvl w:ilvl="6">
      <w:start w:val="1"/>
      <w:numFmt w:val="decimal"/>
      <w:lvlText w:val="%1.%2.%3.%4.%5.%6.%7"/>
      <w:lvlJc w:val="left"/>
      <w:pPr>
        <w:tabs>
          <w:tab w:val="num" w:pos="2574"/>
        </w:tabs>
        <w:ind w:left="2574" w:hanging="1440"/>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934"/>
        </w:tabs>
        <w:ind w:left="2934" w:hanging="1800"/>
      </w:pPr>
      <w:rPr>
        <w:rFonts w:cs="Times New Roman" w:hint="default"/>
      </w:rPr>
    </w:lvl>
  </w:abstractNum>
  <w:abstractNum w:abstractNumId="25" w15:restartNumberingAfterBreak="0">
    <w:nsid w:val="3D1477C7"/>
    <w:multiLevelType w:val="hybridMultilevel"/>
    <w:tmpl w:val="28604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E76750"/>
    <w:multiLevelType w:val="hybridMultilevel"/>
    <w:tmpl w:val="728614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46277DAE"/>
    <w:multiLevelType w:val="hybridMultilevel"/>
    <w:tmpl w:val="9F0AB0B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48313DF3"/>
    <w:multiLevelType w:val="hybridMultilevel"/>
    <w:tmpl w:val="32A08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A871B3"/>
    <w:multiLevelType w:val="hybridMultilevel"/>
    <w:tmpl w:val="15C6D5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70F66"/>
    <w:multiLevelType w:val="hybridMultilevel"/>
    <w:tmpl w:val="021C36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703AB4"/>
    <w:multiLevelType w:val="hybridMultilevel"/>
    <w:tmpl w:val="9BC0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324674"/>
    <w:multiLevelType w:val="hybridMultilevel"/>
    <w:tmpl w:val="1DE8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8A75B7"/>
    <w:multiLevelType w:val="hybridMultilevel"/>
    <w:tmpl w:val="DA72F686"/>
    <w:lvl w:ilvl="0" w:tplc="08090001">
      <w:start w:val="1"/>
      <w:numFmt w:val="bullet"/>
      <w:lvlText w:val=""/>
      <w:lvlJc w:val="left"/>
      <w:pPr>
        <w:tabs>
          <w:tab w:val="num" w:pos="1854"/>
        </w:tabs>
        <w:ind w:left="1854" w:hanging="360"/>
      </w:pPr>
      <w:rPr>
        <w:rFonts w:ascii="Symbol" w:hAnsi="Symbol" w:hint="default"/>
      </w:rPr>
    </w:lvl>
    <w:lvl w:ilvl="1" w:tplc="08090003" w:tentative="1">
      <w:start w:val="1"/>
      <w:numFmt w:val="bullet"/>
      <w:lvlText w:val="o"/>
      <w:lvlJc w:val="left"/>
      <w:pPr>
        <w:tabs>
          <w:tab w:val="num" w:pos="2574"/>
        </w:tabs>
        <w:ind w:left="2574" w:hanging="360"/>
      </w:pPr>
      <w:rPr>
        <w:rFonts w:ascii="Courier New" w:hAnsi="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15:restartNumberingAfterBreak="0">
    <w:nsid w:val="4DE632CB"/>
    <w:multiLevelType w:val="hybridMultilevel"/>
    <w:tmpl w:val="C488148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15:restartNumberingAfterBreak="0">
    <w:nsid w:val="5222276F"/>
    <w:multiLevelType w:val="hybridMultilevel"/>
    <w:tmpl w:val="EC5C2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25121E6"/>
    <w:multiLevelType w:val="hybridMultilevel"/>
    <w:tmpl w:val="3FB6A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54DF2781"/>
    <w:multiLevelType w:val="hybridMultilevel"/>
    <w:tmpl w:val="849852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5C11553"/>
    <w:multiLevelType w:val="hybridMultilevel"/>
    <w:tmpl w:val="8E582F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347495"/>
    <w:multiLevelType w:val="multilevel"/>
    <w:tmpl w:val="6F8A7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017872"/>
    <w:multiLevelType w:val="multilevel"/>
    <w:tmpl w:val="51C0A540"/>
    <w:lvl w:ilvl="0">
      <w:start w:val="1"/>
      <w:numFmt w:val="decimal"/>
      <w:lvlText w:val="%1"/>
      <w:lvlJc w:val="left"/>
      <w:pPr>
        <w:ind w:left="930" w:hanging="570"/>
      </w:pPr>
      <w:rPr>
        <w:rFonts w:hint="default"/>
        <w:b/>
      </w:rPr>
    </w:lvl>
    <w:lvl w:ilvl="1">
      <w:start w:val="1"/>
      <w:numFmt w:val="decimal"/>
      <w:isLgl/>
      <w:lvlText w:val="%1.%2"/>
      <w:lvlJc w:val="left"/>
      <w:pPr>
        <w:ind w:left="1138" w:hanging="570"/>
      </w:pPr>
      <w:rPr>
        <w:rFonts w:ascii="Foundry Form Sans" w:hAnsi="Foundry Form Sans" w:hint="default"/>
        <w:b/>
      </w:rPr>
    </w:lvl>
    <w:lvl w:ilvl="2">
      <w:start w:val="1"/>
      <w:numFmt w:val="decimal"/>
      <w:isLgl/>
      <w:lvlText w:val="%1.%2.%3"/>
      <w:lvlJc w:val="left"/>
      <w:pPr>
        <w:ind w:left="1080" w:hanging="720"/>
      </w:pPr>
      <w:rPr>
        <w:rFonts w:ascii="Foundry Form Sans" w:hAnsi="Foundry Form Sans" w:hint="default"/>
        <w:b w:val="0"/>
        <w:i w:val="0"/>
        <w:strike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D5C58FD"/>
    <w:multiLevelType w:val="hybridMultilevel"/>
    <w:tmpl w:val="EF80B56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2" w15:restartNumberingAfterBreak="0">
    <w:nsid w:val="5EBE6F0A"/>
    <w:multiLevelType w:val="hybridMultilevel"/>
    <w:tmpl w:val="63540A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3" w15:restartNumberingAfterBreak="0">
    <w:nsid w:val="5F267AA4"/>
    <w:multiLevelType w:val="hybridMultilevel"/>
    <w:tmpl w:val="5E3A38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Symbol"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Symbol"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62366C0F"/>
    <w:multiLevelType w:val="multilevel"/>
    <w:tmpl w:val="89E20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2787184"/>
    <w:multiLevelType w:val="multilevel"/>
    <w:tmpl w:val="DD906E7E"/>
    <w:lvl w:ilvl="0">
      <w:start w:val="1"/>
      <w:numFmt w:val="decimal"/>
      <w:pStyle w:val="Level1"/>
      <w:lvlText w:val="%1."/>
      <w:lvlJc w:val="left"/>
      <w:pPr>
        <w:tabs>
          <w:tab w:val="num" w:pos="851"/>
        </w:tabs>
        <w:ind w:left="851" w:hanging="851"/>
      </w:pPr>
      <w:rPr>
        <w:rFonts w:cs="Times New Roman" w:hint="default"/>
        <w:b w:val="0"/>
        <w:i w:val="0"/>
        <w:u w:val="none"/>
      </w:rPr>
    </w:lvl>
    <w:lvl w:ilvl="1">
      <w:start w:val="1"/>
      <w:numFmt w:val="decimal"/>
      <w:pStyle w:val="Level2"/>
      <w:lvlText w:val="%2.1"/>
      <w:lvlJc w:val="left"/>
      <w:pPr>
        <w:tabs>
          <w:tab w:val="num" w:pos="851"/>
        </w:tabs>
        <w:ind w:left="851" w:hanging="851"/>
      </w:pPr>
      <w:rPr>
        <w:rFonts w:cs="Times New Roman" w:hint="default"/>
        <w:b w:val="0"/>
        <w:i w:val="0"/>
        <w:u w:val="none"/>
      </w:rPr>
    </w:lvl>
    <w:lvl w:ilvl="2">
      <w:start w:val="1"/>
      <w:numFmt w:val="decimal"/>
      <w:pStyle w:val="Level3"/>
      <w:lvlText w:val="%1.%2.%3"/>
      <w:lvlJc w:val="left"/>
      <w:pPr>
        <w:tabs>
          <w:tab w:val="num" w:pos="1792"/>
        </w:tabs>
        <w:ind w:left="1792" w:hanging="992"/>
      </w:pPr>
      <w:rPr>
        <w:rFonts w:cs="Times New Roman" w:hint="default"/>
        <w:b w:val="0"/>
        <w:i w:val="0"/>
        <w:u w:val="none"/>
      </w:rPr>
    </w:lvl>
    <w:lvl w:ilvl="3">
      <w:start w:val="1"/>
      <w:numFmt w:val="decimal"/>
      <w:pStyle w:val="Level4"/>
      <w:lvlText w:val="%1.%2.%3.%4"/>
      <w:lvlJc w:val="left"/>
      <w:pPr>
        <w:tabs>
          <w:tab w:val="num" w:pos="3176"/>
        </w:tabs>
        <w:ind w:left="3176" w:hanging="1276"/>
      </w:pPr>
      <w:rPr>
        <w:rFonts w:cs="Times New Roman" w:hint="default"/>
        <w:b w:val="0"/>
        <w:i w:val="0"/>
        <w:u w:val="none"/>
      </w:rPr>
    </w:lvl>
    <w:lvl w:ilvl="4">
      <w:start w:val="1"/>
      <w:numFmt w:val="lowerLetter"/>
      <w:pStyle w:val="Level5"/>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46" w15:restartNumberingAfterBreak="0">
    <w:nsid w:val="62F05A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35E5E13"/>
    <w:multiLevelType w:val="hybridMultilevel"/>
    <w:tmpl w:val="7D08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DB11FA"/>
    <w:multiLevelType w:val="hybridMultilevel"/>
    <w:tmpl w:val="797AB380"/>
    <w:lvl w:ilvl="0" w:tplc="08090001">
      <w:start w:val="1"/>
      <w:numFmt w:val="bullet"/>
      <w:lvlText w:val=""/>
      <w:lvlJc w:val="left"/>
      <w:pPr>
        <w:ind w:left="1858" w:hanging="360"/>
      </w:pPr>
      <w:rPr>
        <w:rFonts w:ascii="Symbol" w:hAnsi="Symbol" w:hint="default"/>
      </w:rPr>
    </w:lvl>
    <w:lvl w:ilvl="1" w:tplc="08090003" w:tentative="1">
      <w:start w:val="1"/>
      <w:numFmt w:val="bullet"/>
      <w:lvlText w:val="o"/>
      <w:lvlJc w:val="left"/>
      <w:pPr>
        <w:ind w:left="2578" w:hanging="360"/>
      </w:pPr>
      <w:rPr>
        <w:rFonts w:ascii="Courier New" w:hAnsi="Courier New" w:cs="Courier New" w:hint="default"/>
      </w:rPr>
    </w:lvl>
    <w:lvl w:ilvl="2" w:tplc="08090005" w:tentative="1">
      <w:start w:val="1"/>
      <w:numFmt w:val="bullet"/>
      <w:lvlText w:val=""/>
      <w:lvlJc w:val="left"/>
      <w:pPr>
        <w:ind w:left="3298" w:hanging="360"/>
      </w:pPr>
      <w:rPr>
        <w:rFonts w:ascii="Wingdings" w:hAnsi="Wingdings" w:hint="default"/>
      </w:rPr>
    </w:lvl>
    <w:lvl w:ilvl="3" w:tplc="08090001" w:tentative="1">
      <w:start w:val="1"/>
      <w:numFmt w:val="bullet"/>
      <w:lvlText w:val=""/>
      <w:lvlJc w:val="left"/>
      <w:pPr>
        <w:ind w:left="4018" w:hanging="360"/>
      </w:pPr>
      <w:rPr>
        <w:rFonts w:ascii="Symbol" w:hAnsi="Symbol" w:hint="default"/>
      </w:rPr>
    </w:lvl>
    <w:lvl w:ilvl="4" w:tplc="08090003" w:tentative="1">
      <w:start w:val="1"/>
      <w:numFmt w:val="bullet"/>
      <w:lvlText w:val="o"/>
      <w:lvlJc w:val="left"/>
      <w:pPr>
        <w:ind w:left="4738" w:hanging="360"/>
      </w:pPr>
      <w:rPr>
        <w:rFonts w:ascii="Courier New" w:hAnsi="Courier New" w:cs="Courier New" w:hint="default"/>
      </w:rPr>
    </w:lvl>
    <w:lvl w:ilvl="5" w:tplc="08090005" w:tentative="1">
      <w:start w:val="1"/>
      <w:numFmt w:val="bullet"/>
      <w:lvlText w:val=""/>
      <w:lvlJc w:val="left"/>
      <w:pPr>
        <w:ind w:left="5458" w:hanging="360"/>
      </w:pPr>
      <w:rPr>
        <w:rFonts w:ascii="Wingdings" w:hAnsi="Wingdings" w:hint="default"/>
      </w:rPr>
    </w:lvl>
    <w:lvl w:ilvl="6" w:tplc="08090001" w:tentative="1">
      <w:start w:val="1"/>
      <w:numFmt w:val="bullet"/>
      <w:lvlText w:val=""/>
      <w:lvlJc w:val="left"/>
      <w:pPr>
        <w:ind w:left="6178" w:hanging="360"/>
      </w:pPr>
      <w:rPr>
        <w:rFonts w:ascii="Symbol" w:hAnsi="Symbol" w:hint="default"/>
      </w:rPr>
    </w:lvl>
    <w:lvl w:ilvl="7" w:tplc="08090003" w:tentative="1">
      <w:start w:val="1"/>
      <w:numFmt w:val="bullet"/>
      <w:lvlText w:val="o"/>
      <w:lvlJc w:val="left"/>
      <w:pPr>
        <w:ind w:left="6898" w:hanging="360"/>
      </w:pPr>
      <w:rPr>
        <w:rFonts w:ascii="Courier New" w:hAnsi="Courier New" w:cs="Courier New" w:hint="default"/>
      </w:rPr>
    </w:lvl>
    <w:lvl w:ilvl="8" w:tplc="08090005" w:tentative="1">
      <w:start w:val="1"/>
      <w:numFmt w:val="bullet"/>
      <w:lvlText w:val=""/>
      <w:lvlJc w:val="left"/>
      <w:pPr>
        <w:ind w:left="7618" w:hanging="360"/>
      </w:pPr>
      <w:rPr>
        <w:rFonts w:ascii="Wingdings" w:hAnsi="Wingdings" w:hint="default"/>
      </w:rPr>
    </w:lvl>
  </w:abstractNum>
  <w:abstractNum w:abstractNumId="49" w15:restartNumberingAfterBreak="0">
    <w:nsid w:val="65344459"/>
    <w:multiLevelType w:val="hybridMultilevel"/>
    <w:tmpl w:val="AEC4064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Symbol"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Symbol"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8CB71EC"/>
    <w:multiLevelType w:val="hybridMultilevel"/>
    <w:tmpl w:val="86AAAF4E"/>
    <w:lvl w:ilvl="0" w:tplc="469422AC">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1" w15:restartNumberingAfterBreak="0">
    <w:nsid w:val="69617EF1"/>
    <w:multiLevelType w:val="hybridMultilevel"/>
    <w:tmpl w:val="8DFA10E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2" w15:restartNumberingAfterBreak="0">
    <w:nsid w:val="6DA809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DA930D3"/>
    <w:multiLevelType w:val="hybridMultilevel"/>
    <w:tmpl w:val="78E8D9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E4F0FF4"/>
    <w:multiLevelType w:val="hybridMultilevel"/>
    <w:tmpl w:val="52BA4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F5C7E8B"/>
    <w:multiLevelType w:val="hybridMultilevel"/>
    <w:tmpl w:val="01821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F82259C"/>
    <w:multiLevelType w:val="hybridMultilevel"/>
    <w:tmpl w:val="FB546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C76335"/>
    <w:multiLevelType w:val="hybridMultilevel"/>
    <w:tmpl w:val="1ED8AF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1993DF9"/>
    <w:multiLevelType w:val="hybridMultilevel"/>
    <w:tmpl w:val="49BE5080"/>
    <w:lvl w:ilvl="0" w:tplc="7C02DB2E">
      <w:start w:val="1"/>
      <w:numFmt w:val="bullet"/>
      <w:lvlText w:val=""/>
      <w:lvlJc w:val="left"/>
      <w:pPr>
        <w:ind w:left="2367" w:hanging="360"/>
      </w:pPr>
      <w:rPr>
        <w:rFonts w:ascii="Symbol" w:hAnsi="Symbol" w:hint="default"/>
        <w:color w:val="auto"/>
      </w:rPr>
    </w:lvl>
    <w:lvl w:ilvl="1" w:tplc="7C02DB2E">
      <w:start w:val="1"/>
      <w:numFmt w:val="bullet"/>
      <w:lvlText w:val=""/>
      <w:lvlJc w:val="left"/>
      <w:pPr>
        <w:ind w:left="2367" w:hanging="360"/>
      </w:pPr>
      <w:rPr>
        <w:rFonts w:ascii="Symbol" w:hAnsi="Symbol" w:hint="default"/>
        <w:color w:val="auto"/>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59" w15:restartNumberingAfterBreak="0">
    <w:nsid w:val="73C4650F"/>
    <w:multiLevelType w:val="hybridMultilevel"/>
    <w:tmpl w:val="5FAA59A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0" w15:restartNumberingAfterBreak="0">
    <w:nsid w:val="73D87292"/>
    <w:multiLevelType w:val="hybridMultilevel"/>
    <w:tmpl w:val="21DC485C"/>
    <w:lvl w:ilvl="0" w:tplc="715C7346">
      <w:start w:val="1"/>
      <w:numFmt w:val="bullet"/>
      <w:lvlText w:val="•"/>
      <w:lvlJc w:val="left"/>
      <w:pPr>
        <w:tabs>
          <w:tab w:val="num" w:pos="720"/>
        </w:tabs>
        <w:ind w:left="720" w:hanging="360"/>
      </w:pPr>
      <w:rPr>
        <w:rFonts w:ascii="Arial" w:hAnsi="Arial" w:hint="default"/>
      </w:rPr>
    </w:lvl>
    <w:lvl w:ilvl="1" w:tplc="CAAA99A0" w:tentative="1">
      <w:start w:val="1"/>
      <w:numFmt w:val="bullet"/>
      <w:lvlText w:val="•"/>
      <w:lvlJc w:val="left"/>
      <w:pPr>
        <w:tabs>
          <w:tab w:val="num" w:pos="1440"/>
        </w:tabs>
        <w:ind w:left="1440" w:hanging="360"/>
      </w:pPr>
      <w:rPr>
        <w:rFonts w:ascii="Arial" w:hAnsi="Arial" w:hint="default"/>
      </w:rPr>
    </w:lvl>
    <w:lvl w:ilvl="2" w:tplc="0A40A616" w:tentative="1">
      <w:start w:val="1"/>
      <w:numFmt w:val="bullet"/>
      <w:lvlText w:val="•"/>
      <w:lvlJc w:val="left"/>
      <w:pPr>
        <w:tabs>
          <w:tab w:val="num" w:pos="2160"/>
        </w:tabs>
        <w:ind w:left="2160" w:hanging="360"/>
      </w:pPr>
      <w:rPr>
        <w:rFonts w:ascii="Arial" w:hAnsi="Arial" w:hint="default"/>
      </w:rPr>
    </w:lvl>
    <w:lvl w:ilvl="3" w:tplc="10609682" w:tentative="1">
      <w:start w:val="1"/>
      <w:numFmt w:val="bullet"/>
      <w:lvlText w:val="•"/>
      <w:lvlJc w:val="left"/>
      <w:pPr>
        <w:tabs>
          <w:tab w:val="num" w:pos="2880"/>
        </w:tabs>
        <w:ind w:left="2880" w:hanging="360"/>
      </w:pPr>
      <w:rPr>
        <w:rFonts w:ascii="Arial" w:hAnsi="Arial" w:hint="default"/>
      </w:rPr>
    </w:lvl>
    <w:lvl w:ilvl="4" w:tplc="A0685C86" w:tentative="1">
      <w:start w:val="1"/>
      <w:numFmt w:val="bullet"/>
      <w:lvlText w:val="•"/>
      <w:lvlJc w:val="left"/>
      <w:pPr>
        <w:tabs>
          <w:tab w:val="num" w:pos="3600"/>
        </w:tabs>
        <w:ind w:left="3600" w:hanging="360"/>
      </w:pPr>
      <w:rPr>
        <w:rFonts w:ascii="Arial" w:hAnsi="Arial" w:hint="default"/>
      </w:rPr>
    </w:lvl>
    <w:lvl w:ilvl="5" w:tplc="0ED43612" w:tentative="1">
      <w:start w:val="1"/>
      <w:numFmt w:val="bullet"/>
      <w:lvlText w:val="•"/>
      <w:lvlJc w:val="left"/>
      <w:pPr>
        <w:tabs>
          <w:tab w:val="num" w:pos="4320"/>
        </w:tabs>
        <w:ind w:left="4320" w:hanging="360"/>
      </w:pPr>
      <w:rPr>
        <w:rFonts w:ascii="Arial" w:hAnsi="Arial" w:hint="default"/>
      </w:rPr>
    </w:lvl>
    <w:lvl w:ilvl="6" w:tplc="BB845D7A" w:tentative="1">
      <w:start w:val="1"/>
      <w:numFmt w:val="bullet"/>
      <w:lvlText w:val="•"/>
      <w:lvlJc w:val="left"/>
      <w:pPr>
        <w:tabs>
          <w:tab w:val="num" w:pos="5040"/>
        </w:tabs>
        <w:ind w:left="5040" w:hanging="360"/>
      </w:pPr>
      <w:rPr>
        <w:rFonts w:ascii="Arial" w:hAnsi="Arial" w:hint="default"/>
      </w:rPr>
    </w:lvl>
    <w:lvl w:ilvl="7" w:tplc="A15E2A70" w:tentative="1">
      <w:start w:val="1"/>
      <w:numFmt w:val="bullet"/>
      <w:lvlText w:val="•"/>
      <w:lvlJc w:val="left"/>
      <w:pPr>
        <w:tabs>
          <w:tab w:val="num" w:pos="5760"/>
        </w:tabs>
        <w:ind w:left="5760" w:hanging="360"/>
      </w:pPr>
      <w:rPr>
        <w:rFonts w:ascii="Arial" w:hAnsi="Arial" w:hint="default"/>
      </w:rPr>
    </w:lvl>
    <w:lvl w:ilvl="8" w:tplc="60D08F32"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74AA7BC1"/>
    <w:multiLevelType w:val="hybridMultilevel"/>
    <w:tmpl w:val="FDD6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295ED8"/>
    <w:multiLevelType w:val="hybridMultilevel"/>
    <w:tmpl w:val="9786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63D5C44"/>
    <w:multiLevelType w:val="hybridMultilevel"/>
    <w:tmpl w:val="FE3E1466"/>
    <w:lvl w:ilvl="0" w:tplc="E932B34C">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768A6AF3"/>
    <w:multiLevelType w:val="hybridMultilevel"/>
    <w:tmpl w:val="63542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798F3BAD"/>
    <w:multiLevelType w:val="hybridMultilevel"/>
    <w:tmpl w:val="1A5ED10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D6B3E8C"/>
    <w:multiLevelType w:val="hybridMultilevel"/>
    <w:tmpl w:val="359C225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67" w15:restartNumberingAfterBreak="0">
    <w:nsid w:val="7EE86972"/>
    <w:multiLevelType w:val="hybridMultilevel"/>
    <w:tmpl w:val="F2A8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33"/>
  </w:num>
  <w:num w:numId="4">
    <w:abstractNumId w:val="2"/>
  </w:num>
  <w:num w:numId="5">
    <w:abstractNumId w:val="31"/>
  </w:num>
  <w:num w:numId="6">
    <w:abstractNumId w:val="22"/>
  </w:num>
  <w:num w:numId="7">
    <w:abstractNumId w:val="55"/>
  </w:num>
  <w:num w:numId="8">
    <w:abstractNumId w:val="9"/>
  </w:num>
  <w:num w:numId="9">
    <w:abstractNumId w:val="7"/>
  </w:num>
  <w:num w:numId="10">
    <w:abstractNumId w:val="37"/>
  </w:num>
  <w:num w:numId="11">
    <w:abstractNumId w:val="51"/>
  </w:num>
  <w:num w:numId="12">
    <w:abstractNumId w:val="8"/>
  </w:num>
  <w:num w:numId="13">
    <w:abstractNumId w:val="47"/>
  </w:num>
  <w:num w:numId="14">
    <w:abstractNumId w:val="25"/>
  </w:num>
  <w:num w:numId="15">
    <w:abstractNumId w:val="11"/>
  </w:num>
  <w:num w:numId="16">
    <w:abstractNumId w:val="42"/>
  </w:num>
  <w:num w:numId="17">
    <w:abstractNumId w:val="35"/>
  </w:num>
  <w:num w:numId="18">
    <w:abstractNumId w:val="67"/>
  </w:num>
  <w:num w:numId="19">
    <w:abstractNumId w:val="21"/>
  </w:num>
  <w:num w:numId="20">
    <w:abstractNumId w:val="57"/>
  </w:num>
  <w:num w:numId="21">
    <w:abstractNumId w:val="65"/>
  </w:num>
  <w:num w:numId="22">
    <w:abstractNumId w:val="0"/>
  </w:num>
  <w:num w:numId="23">
    <w:abstractNumId w:val="43"/>
  </w:num>
  <w:num w:numId="24">
    <w:abstractNumId w:val="13"/>
  </w:num>
  <w:num w:numId="25">
    <w:abstractNumId w:val="49"/>
  </w:num>
  <w:num w:numId="26">
    <w:abstractNumId w:val="28"/>
  </w:num>
  <w:num w:numId="27">
    <w:abstractNumId w:val="29"/>
  </w:num>
  <w:num w:numId="28">
    <w:abstractNumId w:val="16"/>
  </w:num>
  <w:num w:numId="29">
    <w:abstractNumId w:val="63"/>
  </w:num>
  <w:num w:numId="30">
    <w:abstractNumId w:val="4"/>
  </w:num>
  <w:num w:numId="31">
    <w:abstractNumId w:val="3"/>
  </w:num>
  <w:num w:numId="32">
    <w:abstractNumId w:val="41"/>
  </w:num>
  <w:num w:numId="33">
    <w:abstractNumId w:val="60"/>
  </w:num>
  <w:num w:numId="34">
    <w:abstractNumId w:val="5"/>
  </w:num>
  <w:num w:numId="35">
    <w:abstractNumId w:val="64"/>
  </w:num>
  <w:num w:numId="36">
    <w:abstractNumId w:val="20"/>
  </w:num>
  <w:num w:numId="37">
    <w:abstractNumId w:val="23"/>
  </w:num>
  <w:num w:numId="38">
    <w:abstractNumId w:val="61"/>
  </w:num>
  <w:num w:numId="39">
    <w:abstractNumId w:val="62"/>
  </w:num>
  <w:num w:numId="40">
    <w:abstractNumId w:val="58"/>
  </w:num>
  <w:num w:numId="41">
    <w:abstractNumId w:val="38"/>
  </w:num>
  <w:num w:numId="42">
    <w:abstractNumId w:val="40"/>
  </w:num>
  <w:num w:numId="43">
    <w:abstractNumId w:val="53"/>
  </w:num>
  <w:num w:numId="44">
    <w:abstractNumId w:val="15"/>
  </w:num>
  <w:num w:numId="45">
    <w:abstractNumId w:val="30"/>
  </w:num>
  <w:num w:numId="46">
    <w:abstractNumId w:val="56"/>
  </w:num>
  <w:num w:numId="47">
    <w:abstractNumId w:val="52"/>
  </w:num>
  <w:num w:numId="48">
    <w:abstractNumId w:val="46"/>
  </w:num>
  <w:num w:numId="49">
    <w:abstractNumId w:val="34"/>
  </w:num>
  <w:num w:numId="50">
    <w:abstractNumId w:val="14"/>
  </w:num>
  <w:num w:numId="51">
    <w:abstractNumId w:val="19"/>
  </w:num>
  <w:num w:numId="52">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29"/>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num>
  <w:num w:numId="57">
    <w:abstractNumId w:val="26"/>
  </w:num>
  <w:num w:numId="58">
    <w:abstractNumId w:val="54"/>
  </w:num>
  <w:num w:numId="59">
    <w:abstractNumId w:val="17"/>
  </w:num>
  <w:num w:numId="60">
    <w:abstractNumId w:val="48"/>
  </w:num>
  <w:num w:numId="61">
    <w:abstractNumId w:val="44"/>
  </w:num>
  <w:num w:numId="62">
    <w:abstractNumId w:val="1"/>
  </w:num>
  <w:num w:numId="63">
    <w:abstractNumId w:val="45"/>
  </w:num>
  <w:num w:numId="64">
    <w:abstractNumId w:val="10"/>
  </w:num>
  <w:num w:numId="65">
    <w:abstractNumId w:val="59"/>
  </w:num>
  <w:num w:numId="66">
    <w:abstractNumId w:val="32"/>
  </w:num>
  <w:num w:numId="67">
    <w:abstractNumId w:val="36"/>
  </w:num>
  <w:num w:numId="68">
    <w:abstractNumId w:val="6"/>
  </w:num>
  <w:num w:numId="69">
    <w:abstractNumId w:val="66"/>
  </w:num>
  <w:num w:numId="70">
    <w:abstractNumId w:val="27"/>
  </w:num>
  <w:num w:numId="71">
    <w:abstractNumId w:val="39"/>
  </w:num>
  <w:num w:numId="72">
    <w:abstractNumId w:val="45"/>
  </w:num>
  <w:num w:numId="73">
    <w:abstractNumId w:val="1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C04"/>
    <w:rsid w:val="0000042B"/>
    <w:rsid w:val="00001CD4"/>
    <w:rsid w:val="000025C1"/>
    <w:rsid w:val="00002A1E"/>
    <w:rsid w:val="00003DA8"/>
    <w:rsid w:val="00005854"/>
    <w:rsid w:val="00006650"/>
    <w:rsid w:val="000070EA"/>
    <w:rsid w:val="00010751"/>
    <w:rsid w:val="00010A40"/>
    <w:rsid w:val="00012C7A"/>
    <w:rsid w:val="00013DC6"/>
    <w:rsid w:val="00014B29"/>
    <w:rsid w:val="00017D66"/>
    <w:rsid w:val="000209B0"/>
    <w:rsid w:val="000219DC"/>
    <w:rsid w:val="00022027"/>
    <w:rsid w:val="00023314"/>
    <w:rsid w:val="0002561D"/>
    <w:rsid w:val="000257B7"/>
    <w:rsid w:val="00027DF3"/>
    <w:rsid w:val="00030A89"/>
    <w:rsid w:val="0003165A"/>
    <w:rsid w:val="00033233"/>
    <w:rsid w:val="00034294"/>
    <w:rsid w:val="0003441A"/>
    <w:rsid w:val="00034B69"/>
    <w:rsid w:val="00034E03"/>
    <w:rsid w:val="000353B5"/>
    <w:rsid w:val="000357F7"/>
    <w:rsid w:val="00036016"/>
    <w:rsid w:val="00036D78"/>
    <w:rsid w:val="00040F55"/>
    <w:rsid w:val="000417AD"/>
    <w:rsid w:val="00042EDB"/>
    <w:rsid w:val="00044010"/>
    <w:rsid w:val="000442A9"/>
    <w:rsid w:val="0004453B"/>
    <w:rsid w:val="00044F20"/>
    <w:rsid w:val="00046ED7"/>
    <w:rsid w:val="00047973"/>
    <w:rsid w:val="00047DD7"/>
    <w:rsid w:val="0005123C"/>
    <w:rsid w:val="00051C31"/>
    <w:rsid w:val="00051E0E"/>
    <w:rsid w:val="00052B7D"/>
    <w:rsid w:val="00052F85"/>
    <w:rsid w:val="000541F8"/>
    <w:rsid w:val="00057C86"/>
    <w:rsid w:val="00057EE7"/>
    <w:rsid w:val="0006028E"/>
    <w:rsid w:val="00060FB8"/>
    <w:rsid w:val="000610BF"/>
    <w:rsid w:val="000617E3"/>
    <w:rsid w:val="00062ECE"/>
    <w:rsid w:val="00062EDB"/>
    <w:rsid w:val="00063A4C"/>
    <w:rsid w:val="0006460E"/>
    <w:rsid w:val="00064EBF"/>
    <w:rsid w:val="00065AA0"/>
    <w:rsid w:val="00065FD8"/>
    <w:rsid w:val="00067AF4"/>
    <w:rsid w:val="00071A9D"/>
    <w:rsid w:val="00071E96"/>
    <w:rsid w:val="00071FFD"/>
    <w:rsid w:val="000721D7"/>
    <w:rsid w:val="00072CA9"/>
    <w:rsid w:val="000735CB"/>
    <w:rsid w:val="0007382A"/>
    <w:rsid w:val="00073D87"/>
    <w:rsid w:val="0007553A"/>
    <w:rsid w:val="00075BCF"/>
    <w:rsid w:val="00076BF0"/>
    <w:rsid w:val="000772B7"/>
    <w:rsid w:val="000804EA"/>
    <w:rsid w:val="00081B38"/>
    <w:rsid w:val="00081CAE"/>
    <w:rsid w:val="00083322"/>
    <w:rsid w:val="000839E6"/>
    <w:rsid w:val="00084D7A"/>
    <w:rsid w:val="00086565"/>
    <w:rsid w:val="00087793"/>
    <w:rsid w:val="00090D3F"/>
    <w:rsid w:val="00090FDE"/>
    <w:rsid w:val="00093F9C"/>
    <w:rsid w:val="00095392"/>
    <w:rsid w:val="00095C64"/>
    <w:rsid w:val="0009602D"/>
    <w:rsid w:val="0009608C"/>
    <w:rsid w:val="000962A4"/>
    <w:rsid w:val="000A10BC"/>
    <w:rsid w:val="000A10C5"/>
    <w:rsid w:val="000A289E"/>
    <w:rsid w:val="000A61BD"/>
    <w:rsid w:val="000A6738"/>
    <w:rsid w:val="000B18BE"/>
    <w:rsid w:val="000B2A0C"/>
    <w:rsid w:val="000B3B46"/>
    <w:rsid w:val="000B449C"/>
    <w:rsid w:val="000B45DC"/>
    <w:rsid w:val="000B59BE"/>
    <w:rsid w:val="000B5E4A"/>
    <w:rsid w:val="000B7532"/>
    <w:rsid w:val="000C4481"/>
    <w:rsid w:val="000C5BBF"/>
    <w:rsid w:val="000C606B"/>
    <w:rsid w:val="000C607C"/>
    <w:rsid w:val="000C79C9"/>
    <w:rsid w:val="000D02C4"/>
    <w:rsid w:val="000D0D0A"/>
    <w:rsid w:val="000D0D1F"/>
    <w:rsid w:val="000D1D20"/>
    <w:rsid w:val="000D1E1E"/>
    <w:rsid w:val="000D211E"/>
    <w:rsid w:val="000D3442"/>
    <w:rsid w:val="000D4B09"/>
    <w:rsid w:val="000D5262"/>
    <w:rsid w:val="000D567E"/>
    <w:rsid w:val="000D617D"/>
    <w:rsid w:val="000D63A1"/>
    <w:rsid w:val="000D6584"/>
    <w:rsid w:val="000D6B09"/>
    <w:rsid w:val="000D7B3C"/>
    <w:rsid w:val="000E0FC4"/>
    <w:rsid w:val="000E1741"/>
    <w:rsid w:val="000E2067"/>
    <w:rsid w:val="000E3EDB"/>
    <w:rsid w:val="000E5153"/>
    <w:rsid w:val="000E6187"/>
    <w:rsid w:val="000E75E0"/>
    <w:rsid w:val="000E78A0"/>
    <w:rsid w:val="000F0633"/>
    <w:rsid w:val="000F11B7"/>
    <w:rsid w:val="000F35DE"/>
    <w:rsid w:val="000F4A39"/>
    <w:rsid w:val="000F4D7B"/>
    <w:rsid w:val="000F5F42"/>
    <w:rsid w:val="000F6377"/>
    <w:rsid w:val="000F7AA6"/>
    <w:rsid w:val="000F7D9E"/>
    <w:rsid w:val="000F7F72"/>
    <w:rsid w:val="0010066A"/>
    <w:rsid w:val="00100F49"/>
    <w:rsid w:val="00101775"/>
    <w:rsid w:val="00101A7C"/>
    <w:rsid w:val="00101B3F"/>
    <w:rsid w:val="001026F7"/>
    <w:rsid w:val="00102706"/>
    <w:rsid w:val="00105BB4"/>
    <w:rsid w:val="001071C8"/>
    <w:rsid w:val="00107385"/>
    <w:rsid w:val="00107754"/>
    <w:rsid w:val="0010783C"/>
    <w:rsid w:val="00107B5E"/>
    <w:rsid w:val="001119B9"/>
    <w:rsid w:val="001128C7"/>
    <w:rsid w:val="00112A2F"/>
    <w:rsid w:val="00112DFF"/>
    <w:rsid w:val="001135D3"/>
    <w:rsid w:val="00114161"/>
    <w:rsid w:val="00114894"/>
    <w:rsid w:val="00116016"/>
    <w:rsid w:val="001167BE"/>
    <w:rsid w:val="0011770A"/>
    <w:rsid w:val="00117B23"/>
    <w:rsid w:val="00117F2D"/>
    <w:rsid w:val="00120CC4"/>
    <w:rsid w:val="00121D73"/>
    <w:rsid w:val="001240E5"/>
    <w:rsid w:val="00125ACE"/>
    <w:rsid w:val="00126949"/>
    <w:rsid w:val="00130C0E"/>
    <w:rsid w:val="0013198F"/>
    <w:rsid w:val="001321CC"/>
    <w:rsid w:val="0013222A"/>
    <w:rsid w:val="00132590"/>
    <w:rsid w:val="001325F0"/>
    <w:rsid w:val="00133875"/>
    <w:rsid w:val="00133998"/>
    <w:rsid w:val="001352E7"/>
    <w:rsid w:val="00136C06"/>
    <w:rsid w:val="0013720C"/>
    <w:rsid w:val="00141F3F"/>
    <w:rsid w:val="001436C9"/>
    <w:rsid w:val="00143B41"/>
    <w:rsid w:val="00144664"/>
    <w:rsid w:val="00144745"/>
    <w:rsid w:val="00145D78"/>
    <w:rsid w:val="00146B8E"/>
    <w:rsid w:val="00146DB4"/>
    <w:rsid w:val="00146F53"/>
    <w:rsid w:val="0014701B"/>
    <w:rsid w:val="00147AFE"/>
    <w:rsid w:val="00150A7A"/>
    <w:rsid w:val="00151C2F"/>
    <w:rsid w:val="001523FA"/>
    <w:rsid w:val="00152F0D"/>
    <w:rsid w:val="00153B4E"/>
    <w:rsid w:val="001555E6"/>
    <w:rsid w:val="001563BD"/>
    <w:rsid w:val="00156670"/>
    <w:rsid w:val="00156E46"/>
    <w:rsid w:val="001570FE"/>
    <w:rsid w:val="00157873"/>
    <w:rsid w:val="00160D6C"/>
    <w:rsid w:val="00161EB0"/>
    <w:rsid w:val="00162033"/>
    <w:rsid w:val="00162229"/>
    <w:rsid w:val="00162B0E"/>
    <w:rsid w:val="00164282"/>
    <w:rsid w:val="00165768"/>
    <w:rsid w:val="00165853"/>
    <w:rsid w:val="00165FBB"/>
    <w:rsid w:val="001665AA"/>
    <w:rsid w:val="001668F4"/>
    <w:rsid w:val="00166E04"/>
    <w:rsid w:val="0016716E"/>
    <w:rsid w:val="001673DB"/>
    <w:rsid w:val="00170376"/>
    <w:rsid w:val="001708A7"/>
    <w:rsid w:val="001726AB"/>
    <w:rsid w:val="0017337A"/>
    <w:rsid w:val="00173B2E"/>
    <w:rsid w:val="00174388"/>
    <w:rsid w:val="00175B83"/>
    <w:rsid w:val="00176152"/>
    <w:rsid w:val="0017652F"/>
    <w:rsid w:val="00177487"/>
    <w:rsid w:val="00177719"/>
    <w:rsid w:val="00177CD4"/>
    <w:rsid w:val="00181466"/>
    <w:rsid w:val="0018149F"/>
    <w:rsid w:val="00181F00"/>
    <w:rsid w:val="00182444"/>
    <w:rsid w:val="0018283F"/>
    <w:rsid w:val="001831B7"/>
    <w:rsid w:val="001837AD"/>
    <w:rsid w:val="0018458E"/>
    <w:rsid w:val="001845F5"/>
    <w:rsid w:val="00184ED1"/>
    <w:rsid w:val="00186434"/>
    <w:rsid w:val="00186E7F"/>
    <w:rsid w:val="00187A6F"/>
    <w:rsid w:val="00190D97"/>
    <w:rsid w:val="00192D98"/>
    <w:rsid w:val="00193669"/>
    <w:rsid w:val="001952D6"/>
    <w:rsid w:val="0019609E"/>
    <w:rsid w:val="00197128"/>
    <w:rsid w:val="00197129"/>
    <w:rsid w:val="00197794"/>
    <w:rsid w:val="00197AB8"/>
    <w:rsid w:val="00197E58"/>
    <w:rsid w:val="001A0A93"/>
    <w:rsid w:val="001A12AF"/>
    <w:rsid w:val="001A1D42"/>
    <w:rsid w:val="001A1EE0"/>
    <w:rsid w:val="001A2A1E"/>
    <w:rsid w:val="001A4C6A"/>
    <w:rsid w:val="001A62A1"/>
    <w:rsid w:val="001A6AC6"/>
    <w:rsid w:val="001A6DD4"/>
    <w:rsid w:val="001B01F1"/>
    <w:rsid w:val="001B089D"/>
    <w:rsid w:val="001B1519"/>
    <w:rsid w:val="001B2B5A"/>
    <w:rsid w:val="001B4A15"/>
    <w:rsid w:val="001B4B7E"/>
    <w:rsid w:val="001B714B"/>
    <w:rsid w:val="001C05E7"/>
    <w:rsid w:val="001C1048"/>
    <w:rsid w:val="001C39A4"/>
    <w:rsid w:val="001C4FC3"/>
    <w:rsid w:val="001C5647"/>
    <w:rsid w:val="001C5844"/>
    <w:rsid w:val="001C7DE3"/>
    <w:rsid w:val="001D1361"/>
    <w:rsid w:val="001D2535"/>
    <w:rsid w:val="001D3205"/>
    <w:rsid w:val="001D411E"/>
    <w:rsid w:val="001D4E7B"/>
    <w:rsid w:val="001D5263"/>
    <w:rsid w:val="001D5DF1"/>
    <w:rsid w:val="001D668F"/>
    <w:rsid w:val="001E2023"/>
    <w:rsid w:val="001E311B"/>
    <w:rsid w:val="001E4C85"/>
    <w:rsid w:val="001E69F0"/>
    <w:rsid w:val="001E7E04"/>
    <w:rsid w:val="001F1B8E"/>
    <w:rsid w:val="001F1F2D"/>
    <w:rsid w:val="001F2775"/>
    <w:rsid w:val="001F6AB3"/>
    <w:rsid w:val="001F7CBF"/>
    <w:rsid w:val="001F7F52"/>
    <w:rsid w:val="00200B17"/>
    <w:rsid w:val="00200FF8"/>
    <w:rsid w:val="00201651"/>
    <w:rsid w:val="00202FF6"/>
    <w:rsid w:val="00203072"/>
    <w:rsid w:val="00203C4E"/>
    <w:rsid w:val="00204132"/>
    <w:rsid w:val="00205178"/>
    <w:rsid w:val="002053D0"/>
    <w:rsid w:val="0020691F"/>
    <w:rsid w:val="0020755B"/>
    <w:rsid w:val="002126D9"/>
    <w:rsid w:val="00214C00"/>
    <w:rsid w:val="00215B07"/>
    <w:rsid w:val="00216048"/>
    <w:rsid w:val="0021636F"/>
    <w:rsid w:val="00216D9C"/>
    <w:rsid w:val="00216F20"/>
    <w:rsid w:val="00217DCB"/>
    <w:rsid w:val="00220D4F"/>
    <w:rsid w:val="00221E80"/>
    <w:rsid w:val="0022275B"/>
    <w:rsid w:val="0022297F"/>
    <w:rsid w:val="00223E22"/>
    <w:rsid w:val="00225113"/>
    <w:rsid w:val="00226C4D"/>
    <w:rsid w:val="00226F43"/>
    <w:rsid w:val="002274B8"/>
    <w:rsid w:val="00227665"/>
    <w:rsid w:val="00227CFC"/>
    <w:rsid w:val="0023032D"/>
    <w:rsid w:val="002322B2"/>
    <w:rsid w:val="00232F16"/>
    <w:rsid w:val="002350BC"/>
    <w:rsid w:val="00235C4A"/>
    <w:rsid w:val="002360E8"/>
    <w:rsid w:val="00237787"/>
    <w:rsid w:val="00237C25"/>
    <w:rsid w:val="00240C60"/>
    <w:rsid w:val="00241552"/>
    <w:rsid w:val="00242CAD"/>
    <w:rsid w:val="00242FB4"/>
    <w:rsid w:val="00243D42"/>
    <w:rsid w:val="00244655"/>
    <w:rsid w:val="002456F0"/>
    <w:rsid w:val="00245B3D"/>
    <w:rsid w:val="00245B4D"/>
    <w:rsid w:val="00245E1D"/>
    <w:rsid w:val="002462FE"/>
    <w:rsid w:val="00246AC0"/>
    <w:rsid w:val="002470F5"/>
    <w:rsid w:val="00247CD7"/>
    <w:rsid w:val="0025105A"/>
    <w:rsid w:val="00252AF4"/>
    <w:rsid w:val="0025369A"/>
    <w:rsid w:val="00253846"/>
    <w:rsid w:val="00253AF8"/>
    <w:rsid w:val="00256DD9"/>
    <w:rsid w:val="002575ED"/>
    <w:rsid w:val="0026027A"/>
    <w:rsid w:val="0026075A"/>
    <w:rsid w:val="00261217"/>
    <w:rsid w:val="00263256"/>
    <w:rsid w:val="002644C5"/>
    <w:rsid w:val="00265578"/>
    <w:rsid w:val="00265908"/>
    <w:rsid w:val="00267258"/>
    <w:rsid w:val="00267697"/>
    <w:rsid w:val="00267B39"/>
    <w:rsid w:val="002702FD"/>
    <w:rsid w:val="00270ECA"/>
    <w:rsid w:val="002756C0"/>
    <w:rsid w:val="00275E1A"/>
    <w:rsid w:val="0027685A"/>
    <w:rsid w:val="00277351"/>
    <w:rsid w:val="00280880"/>
    <w:rsid w:val="00281030"/>
    <w:rsid w:val="002824C7"/>
    <w:rsid w:val="0028283C"/>
    <w:rsid w:val="002836C7"/>
    <w:rsid w:val="002849DF"/>
    <w:rsid w:val="00284AD2"/>
    <w:rsid w:val="00285CC1"/>
    <w:rsid w:val="0028666B"/>
    <w:rsid w:val="002871B3"/>
    <w:rsid w:val="00292140"/>
    <w:rsid w:val="00292B24"/>
    <w:rsid w:val="00296665"/>
    <w:rsid w:val="00296FCA"/>
    <w:rsid w:val="002974ED"/>
    <w:rsid w:val="00297CE7"/>
    <w:rsid w:val="002A058F"/>
    <w:rsid w:val="002A107F"/>
    <w:rsid w:val="002A1265"/>
    <w:rsid w:val="002A136A"/>
    <w:rsid w:val="002A2458"/>
    <w:rsid w:val="002A6358"/>
    <w:rsid w:val="002B0EFC"/>
    <w:rsid w:val="002B10EC"/>
    <w:rsid w:val="002B1E1D"/>
    <w:rsid w:val="002B3273"/>
    <w:rsid w:val="002B346B"/>
    <w:rsid w:val="002B3581"/>
    <w:rsid w:val="002B4D54"/>
    <w:rsid w:val="002B4FE7"/>
    <w:rsid w:val="002B5972"/>
    <w:rsid w:val="002B5AB6"/>
    <w:rsid w:val="002C103C"/>
    <w:rsid w:val="002C10E8"/>
    <w:rsid w:val="002C2FCF"/>
    <w:rsid w:val="002C76D0"/>
    <w:rsid w:val="002C7DDE"/>
    <w:rsid w:val="002D0F67"/>
    <w:rsid w:val="002D1EDA"/>
    <w:rsid w:val="002D3198"/>
    <w:rsid w:val="002D37A1"/>
    <w:rsid w:val="002D4B0D"/>
    <w:rsid w:val="002D538F"/>
    <w:rsid w:val="002D6D49"/>
    <w:rsid w:val="002D7007"/>
    <w:rsid w:val="002D7612"/>
    <w:rsid w:val="002E13D8"/>
    <w:rsid w:val="002E1AAD"/>
    <w:rsid w:val="002E1F7E"/>
    <w:rsid w:val="002E3B7B"/>
    <w:rsid w:val="002E58C3"/>
    <w:rsid w:val="002E696E"/>
    <w:rsid w:val="002E6C8B"/>
    <w:rsid w:val="002E7636"/>
    <w:rsid w:val="002E7EFF"/>
    <w:rsid w:val="002F008C"/>
    <w:rsid w:val="002F2A47"/>
    <w:rsid w:val="002F426F"/>
    <w:rsid w:val="002F4F40"/>
    <w:rsid w:val="002F5AC4"/>
    <w:rsid w:val="002F5F0E"/>
    <w:rsid w:val="002F6B93"/>
    <w:rsid w:val="002F7F4C"/>
    <w:rsid w:val="00300BFA"/>
    <w:rsid w:val="003017F9"/>
    <w:rsid w:val="00301883"/>
    <w:rsid w:val="00301C98"/>
    <w:rsid w:val="00301EB1"/>
    <w:rsid w:val="00304CCF"/>
    <w:rsid w:val="003058A6"/>
    <w:rsid w:val="00305CB6"/>
    <w:rsid w:val="003060EA"/>
    <w:rsid w:val="003062ED"/>
    <w:rsid w:val="00307268"/>
    <w:rsid w:val="00310B07"/>
    <w:rsid w:val="00312466"/>
    <w:rsid w:val="00313036"/>
    <w:rsid w:val="003130CC"/>
    <w:rsid w:val="003132AF"/>
    <w:rsid w:val="00313623"/>
    <w:rsid w:val="003138FE"/>
    <w:rsid w:val="00313DA3"/>
    <w:rsid w:val="0031443F"/>
    <w:rsid w:val="00314831"/>
    <w:rsid w:val="00316C81"/>
    <w:rsid w:val="00316F5F"/>
    <w:rsid w:val="00322C96"/>
    <w:rsid w:val="003231B0"/>
    <w:rsid w:val="003258C8"/>
    <w:rsid w:val="00326888"/>
    <w:rsid w:val="00330548"/>
    <w:rsid w:val="0033066E"/>
    <w:rsid w:val="00331C43"/>
    <w:rsid w:val="003333FB"/>
    <w:rsid w:val="00333C69"/>
    <w:rsid w:val="00335C81"/>
    <w:rsid w:val="00337540"/>
    <w:rsid w:val="00340545"/>
    <w:rsid w:val="003424EE"/>
    <w:rsid w:val="00343486"/>
    <w:rsid w:val="00344F20"/>
    <w:rsid w:val="00346879"/>
    <w:rsid w:val="003475FC"/>
    <w:rsid w:val="00347C7B"/>
    <w:rsid w:val="0035260B"/>
    <w:rsid w:val="0035285E"/>
    <w:rsid w:val="00353F55"/>
    <w:rsid w:val="0035503B"/>
    <w:rsid w:val="003569AF"/>
    <w:rsid w:val="00356A65"/>
    <w:rsid w:val="00356AD7"/>
    <w:rsid w:val="0035730D"/>
    <w:rsid w:val="003602BB"/>
    <w:rsid w:val="0036206D"/>
    <w:rsid w:val="00362B3E"/>
    <w:rsid w:val="003653A9"/>
    <w:rsid w:val="00365418"/>
    <w:rsid w:val="0036629F"/>
    <w:rsid w:val="00366398"/>
    <w:rsid w:val="0037013B"/>
    <w:rsid w:val="00370504"/>
    <w:rsid w:val="0037376F"/>
    <w:rsid w:val="0037377D"/>
    <w:rsid w:val="00375338"/>
    <w:rsid w:val="00375528"/>
    <w:rsid w:val="00376525"/>
    <w:rsid w:val="00380754"/>
    <w:rsid w:val="003820BE"/>
    <w:rsid w:val="0038333B"/>
    <w:rsid w:val="0038468C"/>
    <w:rsid w:val="0038634B"/>
    <w:rsid w:val="00387651"/>
    <w:rsid w:val="00390479"/>
    <w:rsid w:val="003904CA"/>
    <w:rsid w:val="0039074E"/>
    <w:rsid w:val="00392823"/>
    <w:rsid w:val="003942BB"/>
    <w:rsid w:val="00394820"/>
    <w:rsid w:val="00394ADF"/>
    <w:rsid w:val="00396964"/>
    <w:rsid w:val="00396CDD"/>
    <w:rsid w:val="0039749E"/>
    <w:rsid w:val="00397E02"/>
    <w:rsid w:val="003A1213"/>
    <w:rsid w:val="003A2993"/>
    <w:rsid w:val="003A3382"/>
    <w:rsid w:val="003A38BE"/>
    <w:rsid w:val="003A4D6E"/>
    <w:rsid w:val="003A7828"/>
    <w:rsid w:val="003B0034"/>
    <w:rsid w:val="003B1481"/>
    <w:rsid w:val="003B1EBA"/>
    <w:rsid w:val="003B3C74"/>
    <w:rsid w:val="003B3D6A"/>
    <w:rsid w:val="003B3E7F"/>
    <w:rsid w:val="003B4020"/>
    <w:rsid w:val="003B4226"/>
    <w:rsid w:val="003B4569"/>
    <w:rsid w:val="003C03A2"/>
    <w:rsid w:val="003C0F57"/>
    <w:rsid w:val="003C42D6"/>
    <w:rsid w:val="003C6D78"/>
    <w:rsid w:val="003C7821"/>
    <w:rsid w:val="003C7D37"/>
    <w:rsid w:val="003D1723"/>
    <w:rsid w:val="003D27CF"/>
    <w:rsid w:val="003D4D86"/>
    <w:rsid w:val="003D5FA5"/>
    <w:rsid w:val="003D6AD9"/>
    <w:rsid w:val="003D75E7"/>
    <w:rsid w:val="003E1E5D"/>
    <w:rsid w:val="003E231C"/>
    <w:rsid w:val="003E2A8D"/>
    <w:rsid w:val="003E2F9B"/>
    <w:rsid w:val="003E3733"/>
    <w:rsid w:val="003E4B32"/>
    <w:rsid w:val="003E4E0B"/>
    <w:rsid w:val="003E51E4"/>
    <w:rsid w:val="003E65C1"/>
    <w:rsid w:val="003E7250"/>
    <w:rsid w:val="003E7813"/>
    <w:rsid w:val="003F1376"/>
    <w:rsid w:val="003F1D33"/>
    <w:rsid w:val="003F37CA"/>
    <w:rsid w:val="003F3DE8"/>
    <w:rsid w:val="003F6A44"/>
    <w:rsid w:val="003F6E99"/>
    <w:rsid w:val="003F707F"/>
    <w:rsid w:val="003F7151"/>
    <w:rsid w:val="00401424"/>
    <w:rsid w:val="0040240F"/>
    <w:rsid w:val="00402660"/>
    <w:rsid w:val="00402C64"/>
    <w:rsid w:val="00403C2B"/>
    <w:rsid w:val="00405B64"/>
    <w:rsid w:val="004068C8"/>
    <w:rsid w:val="00406F57"/>
    <w:rsid w:val="00407679"/>
    <w:rsid w:val="00407744"/>
    <w:rsid w:val="00407D6B"/>
    <w:rsid w:val="00412175"/>
    <w:rsid w:val="004160F7"/>
    <w:rsid w:val="00416E54"/>
    <w:rsid w:val="004179B0"/>
    <w:rsid w:val="004205BF"/>
    <w:rsid w:val="00420C74"/>
    <w:rsid w:val="00421092"/>
    <w:rsid w:val="00421A7C"/>
    <w:rsid w:val="00421C38"/>
    <w:rsid w:val="004230C6"/>
    <w:rsid w:val="004239D4"/>
    <w:rsid w:val="00424EE2"/>
    <w:rsid w:val="004266FF"/>
    <w:rsid w:val="0042695E"/>
    <w:rsid w:val="0042728C"/>
    <w:rsid w:val="0043000B"/>
    <w:rsid w:val="0043031D"/>
    <w:rsid w:val="00433402"/>
    <w:rsid w:val="0043358A"/>
    <w:rsid w:val="00436692"/>
    <w:rsid w:val="00437026"/>
    <w:rsid w:val="00440253"/>
    <w:rsid w:val="004406E1"/>
    <w:rsid w:val="004406F7"/>
    <w:rsid w:val="00440D4A"/>
    <w:rsid w:val="004415E9"/>
    <w:rsid w:val="0044206C"/>
    <w:rsid w:val="004437F0"/>
    <w:rsid w:val="0044482A"/>
    <w:rsid w:val="00445289"/>
    <w:rsid w:val="00446F42"/>
    <w:rsid w:val="00450A69"/>
    <w:rsid w:val="00450D6D"/>
    <w:rsid w:val="00450DAC"/>
    <w:rsid w:val="004513FB"/>
    <w:rsid w:val="00452151"/>
    <w:rsid w:val="004552EA"/>
    <w:rsid w:val="00455CF5"/>
    <w:rsid w:val="00456493"/>
    <w:rsid w:val="004575F8"/>
    <w:rsid w:val="00461CE8"/>
    <w:rsid w:val="00462006"/>
    <w:rsid w:val="004623BA"/>
    <w:rsid w:val="0046606E"/>
    <w:rsid w:val="004660BA"/>
    <w:rsid w:val="00470145"/>
    <w:rsid w:val="00472374"/>
    <w:rsid w:val="00472836"/>
    <w:rsid w:val="00473D82"/>
    <w:rsid w:val="00474370"/>
    <w:rsid w:val="004753CF"/>
    <w:rsid w:val="004755D7"/>
    <w:rsid w:val="004817DF"/>
    <w:rsid w:val="004835F5"/>
    <w:rsid w:val="00483969"/>
    <w:rsid w:val="00483DE0"/>
    <w:rsid w:val="00484051"/>
    <w:rsid w:val="0048561F"/>
    <w:rsid w:val="004878F7"/>
    <w:rsid w:val="00487E12"/>
    <w:rsid w:val="004903FA"/>
    <w:rsid w:val="00490BA4"/>
    <w:rsid w:val="0049137C"/>
    <w:rsid w:val="0049141F"/>
    <w:rsid w:val="0049546D"/>
    <w:rsid w:val="00495B20"/>
    <w:rsid w:val="00496685"/>
    <w:rsid w:val="00497B9B"/>
    <w:rsid w:val="004A2B71"/>
    <w:rsid w:val="004A3F55"/>
    <w:rsid w:val="004A4312"/>
    <w:rsid w:val="004A4826"/>
    <w:rsid w:val="004A57F1"/>
    <w:rsid w:val="004A6004"/>
    <w:rsid w:val="004A6319"/>
    <w:rsid w:val="004A6730"/>
    <w:rsid w:val="004A6A9C"/>
    <w:rsid w:val="004A7E5B"/>
    <w:rsid w:val="004A7FBB"/>
    <w:rsid w:val="004B040A"/>
    <w:rsid w:val="004B154D"/>
    <w:rsid w:val="004B2A71"/>
    <w:rsid w:val="004B335E"/>
    <w:rsid w:val="004B34E4"/>
    <w:rsid w:val="004B49CD"/>
    <w:rsid w:val="004B4CA6"/>
    <w:rsid w:val="004B53F7"/>
    <w:rsid w:val="004B6A23"/>
    <w:rsid w:val="004B6A6F"/>
    <w:rsid w:val="004B7467"/>
    <w:rsid w:val="004C1258"/>
    <w:rsid w:val="004C42D9"/>
    <w:rsid w:val="004C50D2"/>
    <w:rsid w:val="004C6DD0"/>
    <w:rsid w:val="004C7149"/>
    <w:rsid w:val="004D2704"/>
    <w:rsid w:val="004D2873"/>
    <w:rsid w:val="004D3191"/>
    <w:rsid w:val="004D3343"/>
    <w:rsid w:val="004D4453"/>
    <w:rsid w:val="004D68BB"/>
    <w:rsid w:val="004D7C81"/>
    <w:rsid w:val="004E1328"/>
    <w:rsid w:val="004E1A2A"/>
    <w:rsid w:val="004E36B3"/>
    <w:rsid w:val="004E3BE2"/>
    <w:rsid w:val="004E4678"/>
    <w:rsid w:val="004E503E"/>
    <w:rsid w:val="004E5E30"/>
    <w:rsid w:val="004E5FED"/>
    <w:rsid w:val="004F136F"/>
    <w:rsid w:val="004F69C7"/>
    <w:rsid w:val="004F7619"/>
    <w:rsid w:val="005024BD"/>
    <w:rsid w:val="0050259B"/>
    <w:rsid w:val="005028EF"/>
    <w:rsid w:val="00502EB3"/>
    <w:rsid w:val="00503426"/>
    <w:rsid w:val="00503B0A"/>
    <w:rsid w:val="00504D44"/>
    <w:rsid w:val="005064BD"/>
    <w:rsid w:val="005076FB"/>
    <w:rsid w:val="00511995"/>
    <w:rsid w:val="00511DB6"/>
    <w:rsid w:val="00512F1B"/>
    <w:rsid w:val="00514D06"/>
    <w:rsid w:val="00514E0E"/>
    <w:rsid w:val="0051571B"/>
    <w:rsid w:val="00516262"/>
    <w:rsid w:val="005165F7"/>
    <w:rsid w:val="005215A8"/>
    <w:rsid w:val="00522853"/>
    <w:rsid w:val="00522DE1"/>
    <w:rsid w:val="00522F98"/>
    <w:rsid w:val="00523786"/>
    <w:rsid w:val="00527194"/>
    <w:rsid w:val="00533291"/>
    <w:rsid w:val="00535738"/>
    <w:rsid w:val="00536396"/>
    <w:rsid w:val="00537ECB"/>
    <w:rsid w:val="005402C6"/>
    <w:rsid w:val="005407B3"/>
    <w:rsid w:val="00542821"/>
    <w:rsid w:val="00542CC4"/>
    <w:rsid w:val="00543116"/>
    <w:rsid w:val="00543945"/>
    <w:rsid w:val="00543CE2"/>
    <w:rsid w:val="005443E5"/>
    <w:rsid w:val="00544D13"/>
    <w:rsid w:val="00546AB2"/>
    <w:rsid w:val="00547787"/>
    <w:rsid w:val="00547AE4"/>
    <w:rsid w:val="00550B4C"/>
    <w:rsid w:val="005511EE"/>
    <w:rsid w:val="00556485"/>
    <w:rsid w:val="00557D23"/>
    <w:rsid w:val="005600CC"/>
    <w:rsid w:val="005606CB"/>
    <w:rsid w:val="0056176E"/>
    <w:rsid w:val="005637D8"/>
    <w:rsid w:val="00565246"/>
    <w:rsid w:val="005653CD"/>
    <w:rsid w:val="005659D1"/>
    <w:rsid w:val="005675C7"/>
    <w:rsid w:val="005705C1"/>
    <w:rsid w:val="0057226F"/>
    <w:rsid w:val="005725F8"/>
    <w:rsid w:val="00573B43"/>
    <w:rsid w:val="005743CE"/>
    <w:rsid w:val="00575310"/>
    <w:rsid w:val="0057649D"/>
    <w:rsid w:val="0057669B"/>
    <w:rsid w:val="005769DA"/>
    <w:rsid w:val="00577EE8"/>
    <w:rsid w:val="00580655"/>
    <w:rsid w:val="00582FD4"/>
    <w:rsid w:val="00583B69"/>
    <w:rsid w:val="00584018"/>
    <w:rsid w:val="005855B9"/>
    <w:rsid w:val="005860C6"/>
    <w:rsid w:val="00586245"/>
    <w:rsid w:val="005870E0"/>
    <w:rsid w:val="0058784E"/>
    <w:rsid w:val="00587BCA"/>
    <w:rsid w:val="00591DDD"/>
    <w:rsid w:val="00594C53"/>
    <w:rsid w:val="00596B46"/>
    <w:rsid w:val="00596D11"/>
    <w:rsid w:val="0059707A"/>
    <w:rsid w:val="00597C24"/>
    <w:rsid w:val="005A0D5D"/>
    <w:rsid w:val="005A1512"/>
    <w:rsid w:val="005A2261"/>
    <w:rsid w:val="005A24AC"/>
    <w:rsid w:val="005A2BD0"/>
    <w:rsid w:val="005A40BB"/>
    <w:rsid w:val="005A4318"/>
    <w:rsid w:val="005A55AC"/>
    <w:rsid w:val="005A6DE2"/>
    <w:rsid w:val="005A7640"/>
    <w:rsid w:val="005B0664"/>
    <w:rsid w:val="005B076B"/>
    <w:rsid w:val="005B09DA"/>
    <w:rsid w:val="005B202A"/>
    <w:rsid w:val="005B3BC8"/>
    <w:rsid w:val="005B58B9"/>
    <w:rsid w:val="005B6025"/>
    <w:rsid w:val="005B6417"/>
    <w:rsid w:val="005C01D5"/>
    <w:rsid w:val="005C0A11"/>
    <w:rsid w:val="005C2E53"/>
    <w:rsid w:val="005C2F23"/>
    <w:rsid w:val="005C2F8F"/>
    <w:rsid w:val="005C664C"/>
    <w:rsid w:val="005C6703"/>
    <w:rsid w:val="005C769E"/>
    <w:rsid w:val="005C7D6D"/>
    <w:rsid w:val="005D4685"/>
    <w:rsid w:val="005D552B"/>
    <w:rsid w:val="005D5EEF"/>
    <w:rsid w:val="005D612D"/>
    <w:rsid w:val="005D6312"/>
    <w:rsid w:val="005E1120"/>
    <w:rsid w:val="005E180A"/>
    <w:rsid w:val="005E33B7"/>
    <w:rsid w:val="005E3576"/>
    <w:rsid w:val="005E3E2F"/>
    <w:rsid w:val="005E7C1D"/>
    <w:rsid w:val="005F0AF0"/>
    <w:rsid w:val="005F0B20"/>
    <w:rsid w:val="005F114B"/>
    <w:rsid w:val="005F15FE"/>
    <w:rsid w:val="005F435F"/>
    <w:rsid w:val="005F7141"/>
    <w:rsid w:val="005F74C7"/>
    <w:rsid w:val="005F7CEF"/>
    <w:rsid w:val="006000A9"/>
    <w:rsid w:val="0060115E"/>
    <w:rsid w:val="00601500"/>
    <w:rsid w:val="0060206C"/>
    <w:rsid w:val="0060253C"/>
    <w:rsid w:val="0060542D"/>
    <w:rsid w:val="0060647C"/>
    <w:rsid w:val="00607C2B"/>
    <w:rsid w:val="006100E6"/>
    <w:rsid w:val="00611740"/>
    <w:rsid w:val="00611FB7"/>
    <w:rsid w:val="0061248A"/>
    <w:rsid w:val="0061267B"/>
    <w:rsid w:val="00612FD7"/>
    <w:rsid w:val="00613170"/>
    <w:rsid w:val="00613CFD"/>
    <w:rsid w:val="00614B9F"/>
    <w:rsid w:val="00615708"/>
    <w:rsid w:val="00615DDB"/>
    <w:rsid w:val="00616BFA"/>
    <w:rsid w:val="00616FBD"/>
    <w:rsid w:val="00620F07"/>
    <w:rsid w:val="00623252"/>
    <w:rsid w:val="00623571"/>
    <w:rsid w:val="006237E9"/>
    <w:rsid w:val="00623F62"/>
    <w:rsid w:val="0062521D"/>
    <w:rsid w:val="00625F3E"/>
    <w:rsid w:val="006263A6"/>
    <w:rsid w:val="00626695"/>
    <w:rsid w:val="006308C0"/>
    <w:rsid w:val="00630E7A"/>
    <w:rsid w:val="00631F8A"/>
    <w:rsid w:val="006330E6"/>
    <w:rsid w:val="0063313A"/>
    <w:rsid w:val="0063608B"/>
    <w:rsid w:val="0063754A"/>
    <w:rsid w:val="006411C4"/>
    <w:rsid w:val="00641F32"/>
    <w:rsid w:val="00642506"/>
    <w:rsid w:val="00644700"/>
    <w:rsid w:val="0064536B"/>
    <w:rsid w:val="00647235"/>
    <w:rsid w:val="00647A5C"/>
    <w:rsid w:val="00647D41"/>
    <w:rsid w:val="00650206"/>
    <w:rsid w:val="006519C8"/>
    <w:rsid w:val="00651B02"/>
    <w:rsid w:val="006524A1"/>
    <w:rsid w:val="006547BD"/>
    <w:rsid w:val="0065520A"/>
    <w:rsid w:val="00655228"/>
    <w:rsid w:val="0065597D"/>
    <w:rsid w:val="00655F24"/>
    <w:rsid w:val="006561EA"/>
    <w:rsid w:val="006600C5"/>
    <w:rsid w:val="006611D2"/>
    <w:rsid w:val="00661D66"/>
    <w:rsid w:val="006626B9"/>
    <w:rsid w:val="00663376"/>
    <w:rsid w:val="006637DC"/>
    <w:rsid w:val="0066390A"/>
    <w:rsid w:val="00663D2A"/>
    <w:rsid w:val="00664CB4"/>
    <w:rsid w:val="006658A4"/>
    <w:rsid w:val="00665AF9"/>
    <w:rsid w:val="006672B9"/>
    <w:rsid w:val="00667C4C"/>
    <w:rsid w:val="006738B5"/>
    <w:rsid w:val="00673B31"/>
    <w:rsid w:val="00675873"/>
    <w:rsid w:val="00676B32"/>
    <w:rsid w:val="00680266"/>
    <w:rsid w:val="0068156A"/>
    <w:rsid w:val="00681DDE"/>
    <w:rsid w:val="006836A7"/>
    <w:rsid w:val="00683B3E"/>
    <w:rsid w:val="00684640"/>
    <w:rsid w:val="00685DF5"/>
    <w:rsid w:val="0068630C"/>
    <w:rsid w:val="00687336"/>
    <w:rsid w:val="00687D60"/>
    <w:rsid w:val="00687F15"/>
    <w:rsid w:val="00690D23"/>
    <w:rsid w:val="006915FA"/>
    <w:rsid w:val="006919FC"/>
    <w:rsid w:val="00693447"/>
    <w:rsid w:val="00693DF8"/>
    <w:rsid w:val="0069567A"/>
    <w:rsid w:val="006964AB"/>
    <w:rsid w:val="006A06D7"/>
    <w:rsid w:val="006A0912"/>
    <w:rsid w:val="006A0AE5"/>
    <w:rsid w:val="006A1836"/>
    <w:rsid w:val="006A1F40"/>
    <w:rsid w:val="006A2AD1"/>
    <w:rsid w:val="006A5664"/>
    <w:rsid w:val="006A6040"/>
    <w:rsid w:val="006A60F4"/>
    <w:rsid w:val="006A6857"/>
    <w:rsid w:val="006B0E03"/>
    <w:rsid w:val="006B1B28"/>
    <w:rsid w:val="006B1C32"/>
    <w:rsid w:val="006B1ED3"/>
    <w:rsid w:val="006B2371"/>
    <w:rsid w:val="006B522C"/>
    <w:rsid w:val="006B55AE"/>
    <w:rsid w:val="006B7BDD"/>
    <w:rsid w:val="006C23F5"/>
    <w:rsid w:val="006C4879"/>
    <w:rsid w:val="006C56A2"/>
    <w:rsid w:val="006C58EE"/>
    <w:rsid w:val="006C6947"/>
    <w:rsid w:val="006D097E"/>
    <w:rsid w:val="006D2037"/>
    <w:rsid w:val="006D2238"/>
    <w:rsid w:val="006D2843"/>
    <w:rsid w:val="006D28E0"/>
    <w:rsid w:val="006D42F5"/>
    <w:rsid w:val="006D5A03"/>
    <w:rsid w:val="006D5A87"/>
    <w:rsid w:val="006D5DB0"/>
    <w:rsid w:val="006D6F1F"/>
    <w:rsid w:val="006E1261"/>
    <w:rsid w:val="006E1D48"/>
    <w:rsid w:val="006E21F9"/>
    <w:rsid w:val="006E2420"/>
    <w:rsid w:val="006E2E3D"/>
    <w:rsid w:val="006E34CC"/>
    <w:rsid w:val="006E367E"/>
    <w:rsid w:val="006E3695"/>
    <w:rsid w:val="006E378F"/>
    <w:rsid w:val="006E3A5C"/>
    <w:rsid w:val="006E4071"/>
    <w:rsid w:val="006E4494"/>
    <w:rsid w:val="006E4697"/>
    <w:rsid w:val="006E47C0"/>
    <w:rsid w:val="006E6662"/>
    <w:rsid w:val="006E6A5C"/>
    <w:rsid w:val="006E79BF"/>
    <w:rsid w:val="006F061D"/>
    <w:rsid w:val="006F249B"/>
    <w:rsid w:val="006F39E8"/>
    <w:rsid w:val="006F51A5"/>
    <w:rsid w:val="006F6553"/>
    <w:rsid w:val="006F66CA"/>
    <w:rsid w:val="006F68BB"/>
    <w:rsid w:val="00700F76"/>
    <w:rsid w:val="0070241B"/>
    <w:rsid w:val="00703067"/>
    <w:rsid w:val="00703545"/>
    <w:rsid w:val="00703819"/>
    <w:rsid w:val="00703E67"/>
    <w:rsid w:val="00704A99"/>
    <w:rsid w:val="007065E6"/>
    <w:rsid w:val="007079CA"/>
    <w:rsid w:val="00707B59"/>
    <w:rsid w:val="00707C5C"/>
    <w:rsid w:val="007119BC"/>
    <w:rsid w:val="00711F06"/>
    <w:rsid w:val="007122E5"/>
    <w:rsid w:val="007129CE"/>
    <w:rsid w:val="00714535"/>
    <w:rsid w:val="00714D58"/>
    <w:rsid w:val="00716833"/>
    <w:rsid w:val="0071701C"/>
    <w:rsid w:val="00717AE6"/>
    <w:rsid w:val="00720966"/>
    <w:rsid w:val="00722AD7"/>
    <w:rsid w:val="00722D65"/>
    <w:rsid w:val="00724FA7"/>
    <w:rsid w:val="007257BD"/>
    <w:rsid w:val="00726201"/>
    <w:rsid w:val="00726453"/>
    <w:rsid w:val="00727A34"/>
    <w:rsid w:val="00732F4F"/>
    <w:rsid w:val="00740B8C"/>
    <w:rsid w:val="007435C0"/>
    <w:rsid w:val="007438EE"/>
    <w:rsid w:val="00746D3D"/>
    <w:rsid w:val="007476DE"/>
    <w:rsid w:val="00753E50"/>
    <w:rsid w:val="00753F3E"/>
    <w:rsid w:val="0075417A"/>
    <w:rsid w:val="00754E73"/>
    <w:rsid w:val="00756A48"/>
    <w:rsid w:val="00760005"/>
    <w:rsid w:val="007600F4"/>
    <w:rsid w:val="007609A9"/>
    <w:rsid w:val="00761FAF"/>
    <w:rsid w:val="00762559"/>
    <w:rsid w:val="00762CC7"/>
    <w:rsid w:val="007644C6"/>
    <w:rsid w:val="007647CF"/>
    <w:rsid w:val="0076730C"/>
    <w:rsid w:val="00770481"/>
    <w:rsid w:val="00770E1A"/>
    <w:rsid w:val="00771261"/>
    <w:rsid w:val="00771D44"/>
    <w:rsid w:val="00773BAD"/>
    <w:rsid w:val="0077501D"/>
    <w:rsid w:val="00775893"/>
    <w:rsid w:val="0077617E"/>
    <w:rsid w:val="007816AC"/>
    <w:rsid w:val="0078225E"/>
    <w:rsid w:val="00783968"/>
    <w:rsid w:val="00784D5C"/>
    <w:rsid w:val="007851AC"/>
    <w:rsid w:val="00787F1E"/>
    <w:rsid w:val="007902C7"/>
    <w:rsid w:val="00791F39"/>
    <w:rsid w:val="00791F4F"/>
    <w:rsid w:val="0079685A"/>
    <w:rsid w:val="007969D2"/>
    <w:rsid w:val="007972D1"/>
    <w:rsid w:val="00797CC7"/>
    <w:rsid w:val="007A03D5"/>
    <w:rsid w:val="007A15FD"/>
    <w:rsid w:val="007A2058"/>
    <w:rsid w:val="007A29D0"/>
    <w:rsid w:val="007A3059"/>
    <w:rsid w:val="007A41BF"/>
    <w:rsid w:val="007A4F8D"/>
    <w:rsid w:val="007A5424"/>
    <w:rsid w:val="007A744B"/>
    <w:rsid w:val="007A78ED"/>
    <w:rsid w:val="007A7A04"/>
    <w:rsid w:val="007B16BA"/>
    <w:rsid w:val="007B1992"/>
    <w:rsid w:val="007B28C6"/>
    <w:rsid w:val="007B29F4"/>
    <w:rsid w:val="007B4AB6"/>
    <w:rsid w:val="007B73BD"/>
    <w:rsid w:val="007B7A81"/>
    <w:rsid w:val="007C16B8"/>
    <w:rsid w:val="007C1FBE"/>
    <w:rsid w:val="007C2AB9"/>
    <w:rsid w:val="007C2E56"/>
    <w:rsid w:val="007C58EC"/>
    <w:rsid w:val="007C7A8A"/>
    <w:rsid w:val="007D1058"/>
    <w:rsid w:val="007D2FB8"/>
    <w:rsid w:val="007D3E2F"/>
    <w:rsid w:val="007D4008"/>
    <w:rsid w:val="007D4873"/>
    <w:rsid w:val="007D5030"/>
    <w:rsid w:val="007D5A19"/>
    <w:rsid w:val="007D6CD3"/>
    <w:rsid w:val="007D7D03"/>
    <w:rsid w:val="007D7DDA"/>
    <w:rsid w:val="007D7E03"/>
    <w:rsid w:val="007E0015"/>
    <w:rsid w:val="007E0840"/>
    <w:rsid w:val="007E0DFD"/>
    <w:rsid w:val="007E1365"/>
    <w:rsid w:val="007E1F2C"/>
    <w:rsid w:val="007E203F"/>
    <w:rsid w:val="007E32C8"/>
    <w:rsid w:val="007E4B8C"/>
    <w:rsid w:val="007E5088"/>
    <w:rsid w:val="007E54D3"/>
    <w:rsid w:val="007E552C"/>
    <w:rsid w:val="007F118C"/>
    <w:rsid w:val="007F1A91"/>
    <w:rsid w:val="007F20B6"/>
    <w:rsid w:val="007F2C35"/>
    <w:rsid w:val="007F2D8E"/>
    <w:rsid w:val="007F420A"/>
    <w:rsid w:val="007F42A4"/>
    <w:rsid w:val="007F462F"/>
    <w:rsid w:val="007F76E0"/>
    <w:rsid w:val="00800333"/>
    <w:rsid w:val="00800BC4"/>
    <w:rsid w:val="00800EDC"/>
    <w:rsid w:val="00802122"/>
    <w:rsid w:val="00802496"/>
    <w:rsid w:val="00803678"/>
    <w:rsid w:val="00803D4D"/>
    <w:rsid w:val="00804C43"/>
    <w:rsid w:val="00804D25"/>
    <w:rsid w:val="00806CA1"/>
    <w:rsid w:val="00806FD9"/>
    <w:rsid w:val="00807505"/>
    <w:rsid w:val="008077DF"/>
    <w:rsid w:val="008131D3"/>
    <w:rsid w:val="0081361A"/>
    <w:rsid w:val="0081430A"/>
    <w:rsid w:val="008157E7"/>
    <w:rsid w:val="00815B00"/>
    <w:rsid w:val="00816FE8"/>
    <w:rsid w:val="0081758C"/>
    <w:rsid w:val="00817E5C"/>
    <w:rsid w:val="008212FA"/>
    <w:rsid w:val="00824173"/>
    <w:rsid w:val="00824604"/>
    <w:rsid w:val="00824929"/>
    <w:rsid w:val="0082523A"/>
    <w:rsid w:val="00825DFD"/>
    <w:rsid w:val="00825EEB"/>
    <w:rsid w:val="008270C0"/>
    <w:rsid w:val="00831049"/>
    <w:rsid w:val="00831633"/>
    <w:rsid w:val="00833945"/>
    <w:rsid w:val="00834767"/>
    <w:rsid w:val="008347ED"/>
    <w:rsid w:val="0083480D"/>
    <w:rsid w:val="0083535E"/>
    <w:rsid w:val="0083629F"/>
    <w:rsid w:val="008367FF"/>
    <w:rsid w:val="00836DB5"/>
    <w:rsid w:val="00840BE7"/>
    <w:rsid w:val="00840E4E"/>
    <w:rsid w:val="00841910"/>
    <w:rsid w:val="00843362"/>
    <w:rsid w:val="00843F51"/>
    <w:rsid w:val="008442E8"/>
    <w:rsid w:val="008467C1"/>
    <w:rsid w:val="00851FE9"/>
    <w:rsid w:val="008520BD"/>
    <w:rsid w:val="00855D93"/>
    <w:rsid w:val="008561F4"/>
    <w:rsid w:val="0085665D"/>
    <w:rsid w:val="00856BF4"/>
    <w:rsid w:val="00856FDD"/>
    <w:rsid w:val="008578DB"/>
    <w:rsid w:val="00857B48"/>
    <w:rsid w:val="00860439"/>
    <w:rsid w:val="0086152D"/>
    <w:rsid w:val="00862EE4"/>
    <w:rsid w:val="008656C3"/>
    <w:rsid w:val="0086572B"/>
    <w:rsid w:val="00865942"/>
    <w:rsid w:val="00865C17"/>
    <w:rsid w:val="00866D73"/>
    <w:rsid w:val="00873C31"/>
    <w:rsid w:val="00873CD3"/>
    <w:rsid w:val="00875EA0"/>
    <w:rsid w:val="0087643B"/>
    <w:rsid w:val="008767D0"/>
    <w:rsid w:val="008769AE"/>
    <w:rsid w:val="00876B22"/>
    <w:rsid w:val="008801FD"/>
    <w:rsid w:val="00883084"/>
    <w:rsid w:val="00883E63"/>
    <w:rsid w:val="00883E6F"/>
    <w:rsid w:val="0088448D"/>
    <w:rsid w:val="00885B10"/>
    <w:rsid w:val="00890B61"/>
    <w:rsid w:val="00890C72"/>
    <w:rsid w:val="008928FF"/>
    <w:rsid w:val="00893521"/>
    <w:rsid w:val="0089478B"/>
    <w:rsid w:val="00896AB6"/>
    <w:rsid w:val="00896BD1"/>
    <w:rsid w:val="008971FB"/>
    <w:rsid w:val="00897552"/>
    <w:rsid w:val="008A159C"/>
    <w:rsid w:val="008A20BE"/>
    <w:rsid w:val="008A3E2D"/>
    <w:rsid w:val="008A457F"/>
    <w:rsid w:val="008A465C"/>
    <w:rsid w:val="008A6E6A"/>
    <w:rsid w:val="008A7C2F"/>
    <w:rsid w:val="008B09AA"/>
    <w:rsid w:val="008B0FCB"/>
    <w:rsid w:val="008B1C37"/>
    <w:rsid w:val="008B1FE6"/>
    <w:rsid w:val="008B2358"/>
    <w:rsid w:val="008B35E2"/>
    <w:rsid w:val="008B6ECE"/>
    <w:rsid w:val="008C0370"/>
    <w:rsid w:val="008C0656"/>
    <w:rsid w:val="008C096B"/>
    <w:rsid w:val="008C13D1"/>
    <w:rsid w:val="008C1778"/>
    <w:rsid w:val="008C2671"/>
    <w:rsid w:val="008C29FA"/>
    <w:rsid w:val="008C365E"/>
    <w:rsid w:val="008C3C6D"/>
    <w:rsid w:val="008C4C1E"/>
    <w:rsid w:val="008C6274"/>
    <w:rsid w:val="008C7A3C"/>
    <w:rsid w:val="008D0015"/>
    <w:rsid w:val="008D0EF0"/>
    <w:rsid w:val="008D3289"/>
    <w:rsid w:val="008D3ED4"/>
    <w:rsid w:val="008D40FF"/>
    <w:rsid w:val="008D47C2"/>
    <w:rsid w:val="008D4BAE"/>
    <w:rsid w:val="008D578E"/>
    <w:rsid w:val="008D5C3E"/>
    <w:rsid w:val="008D605E"/>
    <w:rsid w:val="008D723D"/>
    <w:rsid w:val="008E0779"/>
    <w:rsid w:val="008E21BD"/>
    <w:rsid w:val="008E2523"/>
    <w:rsid w:val="008E2A35"/>
    <w:rsid w:val="008E380A"/>
    <w:rsid w:val="008E5C33"/>
    <w:rsid w:val="008E7661"/>
    <w:rsid w:val="008F3A6A"/>
    <w:rsid w:val="008F3E32"/>
    <w:rsid w:val="008F5CB8"/>
    <w:rsid w:val="008F6398"/>
    <w:rsid w:val="008F7089"/>
    <w:rsid w:val="008F717E"/>
    <w:rsid w:val="009003DC"/>
    <w:rsid w:val="00900A79"/>
    <w:rsid w:val="009065E7"/>
    <w:rsid w:val="00910A01"/>
    <w:rsid w:val="00911BD4"/>
    <w:rsid w:val="00912887"/>
    <w:rsid w:val="00913227"/>
    <w:rsid w:val="00913F22"/>
    <w:rsid w:val="009141C0"/>
    <w:rsid w:val="009145FE"/>
    <w:rsid w:val="00914767"/>
    <w:rsid w:val="00916AE7"/>
    <w:rsid w:val="00916B42"/>
    <w:rsid w:val="00917367"/>
    <w:rsid w:val="009203C8"/>
    <w:rsid w:val="00921144"/>
    <w:rsid w:val="00921E90"/>
    <w:rsid w:val="00922023"/>
    <w:rsid w:val="009233D6"/>
    <w:rsid w:val="00923D3E"/>
    <w:rsid w:val="0092483B"/>
    <w:rsid w:val="00924ED0"/>
    <w:rsid w:val="00926551"/>
    <w:rsid w:val="009265DD"/>
    <w:rsid w:val="00930820"/>
    <w:rsid w:val="00932D7D"/>
    <w:rsid w:val="009338B4"/>
    <w:rsid w:val="00933BE6"/>
    <w:rsid w:val="00936273"/>
    <w:rsid w:val="009362BF"/>
    <w:rsid w:val="009407C2"/>
    <w:rsid w:val="00940EE9"/>
    <w:rsid w:val="00941997"/>
    <w:rsid w:val="00943BAA"/>
    <w:rsid w:val="00943FD6"/>
    <w:rsid w:val="009451FB"/>
    <w:rsid w:val="00947EB1"/>
    <w:rsid w:val="0095000D"/>
    <w:rsid w:val="0095029C"/>
    <w:rsid w:val="009516CF"/>
    <w:rsid w:val="00951AF4"/>
    <w:rsid w:val="00951E4E"/>
    <w:rsid w:val="0095203B"/>
    <w:rsid w:val="00952192"/>
    <w:rsid w:val="00952423"/>
    <w:rsid w:val="0095446A"/>
    <w:rsid w:val="00954ED7"/>
    <w:rsid w:val="0095526A"/>
    <w:rsid w:val="00957251"/>
    <w:rsid w:val="009612CA"/>
    <w:rsid w:val="009614CF"/>
    <w:rsid w:val="00964CCF"/>
    <w:rsid w:val="0096693F"/>
    <w:rsid w:val="00967844"/>
    <w:rsid w:val="00967EB5"/>
    <w:rsid w:val="009707A9"/>
    <w:rsid w:val="00971BE6"/>
    <w:rsid w:val="009730BE"/>
    <w:rsid w:val="0097390C"/>
    <w:rsid w:val="00976AEB"/>
    <w:rsid w:val="00977129"/>
    <w:rsid w:val="00977FA0"/>
    <w:rsid w:val="00980318"/>
    <w:rsid w:val="00980B20"/>
    <w:rsid w:val="00980CB9"/>
    <w:rsid w:val="009819DF"/>
    <w:rsid w:val="00981A20"/>
    <w:rsid w:val="00983DC7"/>
    <w:rsid w:val="00985156"/>
    <w:rsid w:val="009859C9"/>
    <w:rsid w:val="00985AE5"/>
    <w:rsid w:val="00990589"/>
    <w:rsid w:val="009909D6"/>
    <w:rsid w:val="00991EAC"/>
    <w:rsid w:val="009927EF"/>
    <w:rsid w:val="00994682"/>
    <w:rsid w:val="00995EF9"/>
    <w:rsid w:val="009968BC"/>
    <w:rsid w:val="00996B03"/>
    <w:rsid w:val="009A0ACF"/>
    <w:rsid w:val="009A2639"/>
    <w:rsid w:val="009A6DB3"/>
    <w:rsid w:val="009A7D77"/>
    <w:rsid w:val="009B35D8"/>
    <w:rsid w:val="009B440D"/>
    <w:rsid w:val="009B721F"/>
    <w:rsid w:val="009B7295"/>
    <w:rsid w:val="009B77FF"/>
    <w:rsid w:val="009C176F"/>
    <w:rsid w:val="009C1BA1"/>
    <w:rsid w:val="009C2341"/>
    <w:rsid w:val="009C3947"/>
    <w:rsid w:val="009C51A2"/>
    <w:rsid w:val="009C5D80"/>
    <w:rsid w:val="009C6324"/>
    <w:rsid w:val="009C6609"/>
    <w:rsid w:val="009C7C5C"/>
    <w:rsid w:val="009D2267"/>
    <w:rsid w:val="009D4729"/>
    <w:rsid w:val="009D4BE1"/>
    <w:rsid w:val="009D5694"/>
    <w:rsid w:val="009D6322"/>
    <w:rsid w:val="009D6FF5"/>
    <w:rsid w:val="009E044C"/>
    <w:rsid w:val="009E0877"/>
    <w:rsid w:val="009E0F1E"/>
    <w:rsid w:val="009E1425"/>
    <w:rsid w:val="009E1B3E"/>
    <w:rsid w:val="009E2642"/>
    <w:rsid w:val="009E27F2"/>
    <w:rsid w:val="009E2B32"/>
    <w:rsid w:val="009E2CF2"/>
    <w:rsid w:val="009E2D07"/>
    <w:rsid w:val="009E391D"/>
    <w:rsid w:val="009E55A6"/>
    <w:rsid w:val="009E5F42"/>
    <w:rsid w:val="009E6939"/>
    <w:rsid w:val="009E7B5E"/>
    <w:rsid w:val="009F125F"/>
    <w:rsid w:val="009F133B"/>
    <w:rsid w:val="009F348F"/>
    <w:rsid w:val="009F3FAA"/>
    <w:rsid w:val="009F5BB8"/>
    <w:rsid w:val="009F62DC"/>
    <w:rsid w:val="009F7A6A"/>
    <w:rsid w:val="00A00678"/>
    <w:rsid w:val="00A022F5"/>
    <w:rsid w:val="00A024C3"/>
    <w:rsid w:val="00A0418C"/>
    <w:rsid w:val="00A04225"/>
    <w:rsid w:val="00A04280"/>
    <w:rsid w:val="00A04BA4"/>
    <w:rsid w:val="00A06A46"/>
    <w:rsid w:val="00A06CFF"/>
    <w:rsid w:val="00A06E81"/>
    <w:rsid w:val="00A07051"/>
    <w:rsid w:val="00A107E0"/>
    <w:rsid w:val="00A10DCF"/>
    <w:rsid w:val="00A113ED"/>
    <w:rsid w:val="00A12400"/>
    <w:rsid w:val="00A14B88"/>
    <w:rsid w:val="00A157C0"/>
    <w:rsid w:val="00A159F6"/>
    <w:rsid w:val="00A1756D"/>
    <w:rsid w:val="00A17D6D"/>
    <w:rsid w:val="00A214C5"/>
    <w:rsid w:val="00A216B3"/>
    <w:rsid w:val="00A22836"/>
    <w:rsid w:val="00A229D0"/>
    <w:rsid w:val="00A2620A"/>
    <w:rsid w:val="00A26D65"/>
    <w:rsid w:val="00A32BE0"/>
    <w:rsid w:val="00A3335F"/>
    <w:rsid w:val="00A33786"/>
    <w:rsid w:val="00A35261"/>
    <w:rsid w:val="00A35602"/>
    <w:rsid w:val="00A36F63"/>
    <w:rsid w:val="00A3728C"/>
    <w:rsid w:val="00A3766A"/>
    <w:rsid w:val="00A37D08"/>
    <w:rsid w:val="00A413ED"/>
    <w:rsid w:val="00A41A68"/>
    <w:rsid w:val="00A44A65"/>
    <w:rsid w:val="00A46DCF"/>
    <w:rsid w:val="00A47240"/>
    <w:rsid w:val="00A50400"/>
    <w:rsid w:val="00A5209F"/>
    <w:rsid w:val="00A520E6"/>
    <w:rsid w:val="00A52D72"/>
    <w:rsid w:val="00A530B4"/>
    <w:rsid w:val="00A53B16"/>
    <w:rsid w:val="00A54269"/>
    <w:rsid w:val="00A545D7"/>
    <w:rsid w:val="00A54A44"/>
    <w:rsid w:val="00A56258"/>
    <w:rsid w:val="00A57CA8"/>
    <w:rsid w:val="00A61AB6"/>
    <w:rsid w:val="00A620CE"/>
    <w:rsid w:val="00A6242B"/>
    <w:rsid w:val="00A630AB"/>
    <w:rsid w:val="00A630DC"/>
    <w:rsid w:val="00A6380B"/>
    <w:rsid w:val="00A63EFD"/>
    <w:rsid w:val="00A650AC"/>
    <w:rsid w:val="00A6592C"/>
    <w:rsid w:val="00A74FFB"/>
    <w:rsid w:val="00A751F5"/>
    <w:rsid w:val="00A77166"/>
    <w:rsid w:val="00A77345"/>
    <w:rsid w:val="00A7799C"/>
    <w:rsid w:val="00A802D5"/>
    <w:rsid w:val="00A80848"/>
    <w:rsid w:val="00A811BB"/>
    <w:rsid w:val="00A82C01"/>
    <w:rsid w:val="00A82C53"/>
    <w:rsid w:val="00A832A2"/>
    <w:rsid w:val="00A83F4E"/>
    <w:rsid w:val="00A86489"/>
    <w:rsid w:val="00A86BF7"/>
    <w:rsid w:val="00A87965"/>
    <w:rsid w:val="00A91246"/>
    <w:rsid w:val="00A919B4"/>
    <w:rsid w:val="00A92441"/>
    <w:rsid w:val="00A9426A"/>
    <w:rsid w:val="00A95623"/>
    <w:rsid w:val="00A9674E"/>
    <w:rsid w:val="00A9774D"/>
    <w:rsid w:val="00AA0039"/>
    <w:rsid w:val="00AA1151"/>
    <w:rsid w:val="00AA1411"/>
    <w:rsid w:val="00AA1876"/>
    <w:rsid w:val="00AA3B23"/>
    <w:rsid w:val="00AA5BE9"/>
    <w:rsid w:val="00AA5FB0"/>
    <w:rsid w:val="00AA6358"/>
    <w:rsid w:val="00AA79C1"/>
    <w:rsid w:val="00AB015D"/>
    <w:rsid w:val="00AB080E"/>
    <w:rsid w:val="00AB0D98"/>
    <w:rsid w:val="00AB3C89"/>
    <w:rsid w:val="00AB4AFB"/>
    <w:rsid w:val="00AB55E1"/>
    <w:rsid w:val="00AB60A8"/>
    <w:rsid w:val="00AC0582"/>
    <w:rsid w:val="00AC0D24"/>
    <w:rsid w:val="00AC3D0A"/>
    <w:rsid w:val="00AC4B56"/>
    <w:rsid w:val="00AC4CFA"/>
    <w:rsid w:val="00AC6120"/>
    <w:rsid w:val="00AD2213"/>
    <w:rsid w:val="00AD2522"/>
    <w:rsid w:val="00AD2DAB"/>
    <w:rsid w:val="00AD2FE8"/>
    <w:rsid w:val="00AD3A9E"/>
    <w:rsid w:val="00AD4295"/>
    <w:rsid w:val="00AD4B67"/>
    <w:rsid w:val="00AD4DC1"/>
    <w:rsid w:val="00AD7A81"/>
    <w:rsid w:val="00AE1896"/>
    <w:rsid w:val="00AE2C17"/>
    <w:rsid w:val="00AE2CC3"/>
    <w:rsid w:val="00AE3F98"/>
    <w:rsid w:val="00AE4A35"/>
    <w:rsid w:val="00AE4D13"/>
    <w:rsid w:val="00AE7A68"/>
    <w:rsid w:val="00AE7D30"/>
    <w:rsid w:val="00AF02BC"/>
    <w:rsid w:val="00AF05E4"/>
    <w:rsid w:val="00AF0B5E"/>
    <w:rsid w:val="00AF1604"/>
    <w:rsid w:val="00AF2B04"/>
    <w:rsid w:val="00AF4BF9"/>
    <w:rsid w:val="00AF4CC2"/>
    <w:rsid w:val="00AF5949"/>
    <w:rsid w:val="00AF5A49"/>
    <w:rsid w:val="00AF615D"/>
    <w:rsid w:val="00AF6A4B"/>
    <w:rsid w:val="00AF6F4B"/>
    <w:rsid w:val="00AF7383"/>
    <w:rsid w:val="00AF77B7"/>
    <w:rsid w:val="00B0011A"/>
    <w:rsid w:val="00B003F0"/>
    <w:rsid w:val="00B014DC"/>
    <w:rsid w:val="00B0360C"/>
    <w:rsid w:val="00B041F2"/>
    <w:rsid w:val="00B045F7"/>
    <w:rsid w:val="00B048B0"/>
    <w:rsid w:val="00B04A27"/>
    <w:rsid w:val="00B06352"/>
    <w:rsid w:val="00B10F83"/>
    <w:rsid w:val="00B11181"/>
    <w:rsid w:val="00B11774"/>
    <w:rsid w:val="00B11AD3"/>
    <w:rsid w:val="00B129D0"/>
    <w:rsid w:val="00B16034"/>
    <w:rsid w:val="00B20378"/>
    <w:rsid w:val="00B204CE"/>
    <w:rsid w:val="00B213EF"/>
    <w:rsid w:val="00B21A71"/>
    <w:rsid w:val="00B223CF"/>
    <w:rsid w:val="00B226AD"/>
    <w:rsid w:val="00B237F1"/>
    <w:rsid w:val="00B258B4"/>
    <w:rsid w:val="00B26247"/>
    <w:rsid w:val="00B271DA"/>
    <w:rsid w:val="00B2761A"/>
    <w:rsid w:val="00B27CFF"/>
    <w:rsid w:val="00B30004"/>
    <w:rsid w:val="00B30157"/>
    <w:rsid w:val="00B32054"/>
    <w:rsid w:val="00B32825"/>
    <w:rsid w:val="00B34280"/>
    <w:rsid w:val="00B34905"/>
    <w:rsid w:val="00B379E1"/>
    <w:rsid w:val="00B412B0"/>
    <w:rsid w:val="00B41779"/>
    <w:rsid w:val="00B418C1"/>
    <w:rsid w:val="00B42546"/>
    <w:rsid w:val="00B42F0A"/>
    <w:rsid w:val="00B44C04"/>
    <w:rsid w:val="00B451B0"/>
    <w:rsid w:val="00B45A4D"/>
    <w:rsid w:val="00B45E72"/>
    <w:rsid w:val="00B467E0"/>
    <w:rsid w:val="00B50A5B"/>
    <w:rsid w:val="00B52153"/>
    <w:rsid w:val="00B52B8A"/>
    <w:rsid w:val="00B57337"/>
    <w:rsid w:val="00B60C07"/>
    <w:rsid w:val="00B61A8D"/>
    <w:rsid w:val="00B61BD7"/>
    <w:rsid w:val="00B63AF4"/>
    <w:rsid w:val="00B66FF0"/>
    <w:rsid w:val="00B76701"/>
    <w:rsid w:val="00B77046"/>
    <w:rsid w:val="00B819C0"/>
    <w:rsid w:val="00B81A51"/>
    <w:rsid w:val="00B84568"/>
    <w:rsid w:val="00B8477C"/>
    <w:rsid w:val="00B85297"/>
    <w:rsid w:val="00B85AC4"/>
    <w:rsid w:val="00B87298"/>
    <w:rsid w:val="00B8799A"/>
    <w:rsid w:val="00B87C8E"/>
    <w:rsid w:val="00B908EC"/>
    <w:rsid w:val="00B90E3B"/>
    <w:rsid w:val="00B92433"/>
    <w:rsid w:val="00B9269F"/>
    <w:rsid w:val="00B93E5F"/>
    <w:rsid w:val="00B9431A"/>
    <w:rsid w:val="00B947A3"/>
    <w:rsid w:val="00B96302"/>
    <w:rsid w:val="00B97A60"/>
    <w:rsid w:val="00B97C75"/>
    <w:rsid w:val="00B97D06"/>
    <w:rsid w:val="00BA1DC6"/>
    <w:rsid w:val="00BA2713"/>
    <w:rsid w:val="00BA2E18"/>
    <w:rsid w:val="00BA6818"/>
    <w:rsid w:val="00BB09F6"/>
    <w:rsid w:val="00BB130C"/>
    <w:rsid w:val="00BB146C"/>
    <w:rsid w:val="00BB35DE"/>
    <w:rsid w:val="00BB5A80"/>
    <w:rsid w:val="00BB71CA"/>
    <w:rsid w:val="00BC0385"/>
    <w:rsid w:val="00BC24E8"/>
    <w:rsid w:val="00BC2801"/>
    <w:rsid w:val="00BC2B99"/>
    <w:rsid w:val="00BC2C4C"/>
    <w:rsid w:val="00BC2F57"/>
    <w:rsid w:val="00BC331F"/>
    <w:rsid w:val="00BC4385"/>
    <w:rsid w:val="00BC4DAC"/>
    <w:rsid w:val="00BC52BD"/>
    <w:rsid w:val="00BC5DE8"/>
    <w:rsid w:val="00BC6597"/>
    <w:rsid w:val="00BC774C"/>
    <w:rsid w:val="00BD0243"/>
    <w:rsid w:val="00BD0D0C"/>
    <w:rsid w:val="00BD13FE"/>
    <w:rsid w:val="00BD14E7"/>
    <w:rsid w:val="00BD2B97"/>
    <w:rsid w:val="00BD3192"/>
    <w:rsid w:val="00BD46F9"/>
    <w:rsid w:val="00BD496D"/>
    <w:rsid w:val="00BD4A4D"/>
    <w:rsid w:val="00BD67DE"/>
    <w:rsid w:val="00BD6CB7"/>
    <w:rsid w:val="00BD7DAB"/>
    <w:rsid w:val="00BE0B24"/>
    <w:rsid w:val="00BE1149"/>
    <w:rsid w:val="00BE430B"/>
    <w:rsid w:val="00BE4339"/>
    <w:rsid w:val="00BE4F5A"/>
    <w:rsid w:val="00BE5504"/>
    <w:rsid w:val="00BE56FA"/>
    <w:rsid w:val="00BE582C"/>
    <w:rsid w:val="00BE5954"/>
    <w:rsid w:val="00BF04C5"/>
    <w:rsid w:val="00BF04DD"/>
    <w:rsid w:val="00BF1BC6"/>
    <w:rsid w:val="00BF23AF"/>
    <w:rsid w:val="00BF2EEC"/>
    <w:rsid w:val="00BF3C17"/>
    <w:rsid w:val="00BF4690"/>
    <w:rsid w:val="00BF499D"/>
    <w:rsid w:val="00BF4AA6"/>
    <w:rsid w:val="00BF4B61"/>
    <w:rsid w:val="00BF5744"/>
    <w:rsid w:val="00BF5B10"/>
    <w:rsid w:val="00BF62C2"/>
    <w:rsid w:val="00BF6346"/>
    <w:rsid w:val="00BF6FFE"/>
    <w:rsid w:val="00BF732A"/>
    <w:rsid w:val="00C00CEE"/>
    <w:rsid w:val="00C01B89"/>
    <w:rsid w:val="00C04AB7"/>
    <w:rsid w:val="00C07C45"/>
    <w:rsid w:val="00C07E41"/>
    <w:rsid w:val="00C07FD9"/>
    <w:rsid w:val="00C119FC"/>
    <w:rsid w:val="00C11F95"/>
    <w:rsid w:val="00C12D26"/>
    <w:rsid w:val="00C12D6F"/>
    <w:rsid w:val="00C1353C"/>
    <w:rsid w:val="00C137F6"/>
    <w:rsid w:val="00C15CD1"/>
    <w:rsid w:val="00C1778F"/>
    <w:rsid w:val="00C17FF4"/>
    <w:rsid w:val="00C201B0"/>
    <w:rsid w:val="00C20252"/>
    <w:rsid w:val="00C225FE"/>
    <w:rsid w:val="00C2342C"/>
    <w:rsid w:val="00C239F6"/>
    <w:rsid w:val="00C2401A"/>
    <w:rsid w:val="00C25633"/>
    <w:rsid w:val="00C25AEE"/>
    <w:rsid w:val="00C278A6"/>
    <w:rsid w:val="00C27A13"/>
    <w:rsid w:val="00C30A28"/>
    <w:rsid w:val="00C31DB2"/>
    <w:rsid w:val="00C33F6E"/>
    <w:rsid w:val="00C33F97"/>
    <w:rsid w:val="00C3503D"/>
    <w:rsid w:val="00C35672"/>
    <w:rsid w:val="00C35F0B"/>
    <w:rsid w:val="00C36B76"/>
    <w:rsid w:val="00C40146"/>
    <w:rsid w:val="00C40AFD"/>
    <w:rsid w:val="00C41ABD"/>
    <w:rsid w:val="00C41BD2"/>
    <w:rsid w:val="00C41DE0"/>
    <w:rsid w:val="00C43F1B"/>
    <w:rsid w:val="00C441A9"/>
    <w:rsid w:val="00C444DF"/>
    <w:rsid w:val="00C44878"/>
    <w:rsid w:val="00C451E1"/>
    <w:rsid w:val="00C470F4"/>
    <w:rsid w:val="00C506EC"/>
    <w:rsid w:val="00C511C6"/>
    <w:rsid w:val="00C55919"/>
    <w:rsid w:val="00C5605C"/>
    <w:rsid w:val="00C57F4B"/>
    <w:rsid w:val="00C62401"/>
    <w:rsid w:val="00C62FBA"/>
    <w:rsid w:val="00C630ED"/>
    <w:rsid w:val="00C6342D"/>
    <w:rsid w:val="00C6357B"/>
    <w:rsid w:val="00C6478A"/>
    <w:rsid w:val="00C66BCA"/>
    <w:rsid w:val="00C70E02"/>
    <w:rsid w:val="00C713F3"/>
    <w:rsid w:val="00C73A02"/>
    <w:rsid w:val="00C7427B"/>
    <w:rsid w:val="00C74CED"/>
    <w:rsid w:val="00C75302"/>
    <w:rsid w:val="00C80F25"/>
    <w:rsid w:val="00C8113E"/>
    <w:rsid w:val="00C817F1"/>
    <w:rsid w:val="00C81C37"/>
    <w:rsid w:val="00C836CA"/>
    <w:rsid w:val="00C8370A"/>
    <w:rsid w:val="00C83AFB"/>
    <w:rsid w:val="00C8451A"/>
    <w:rsid w:val="00C84CD6"/>
    <w:rsid w:val="00C86814"/>
    <w:rsid w:val="00C879F2"/>
    <w:rsid w:val="00C87A73"/>
    <w:rsid w:val="00C91347"/>
    <w:rsid w:val="00C915DB"/>
    <w:rsid w:val="00C93E60"/>
    <w:rsid w:val="00C93E8D"/>
    <w:rsid w:val="00C94A4A"/>
    <w:rsid w:val="00C94BBC"/>
    <w:rsid w:val="00C96299"/>
    <w:rsid w:val="00C9788D"/>
    <w:rsid w:val="00CA14CF"/>
    <w:rsid w:val="00CA1EBA"/>
    <w:rsid w:val="00CA3B74"/>
    <w:rsid w:val="00CA3BAD"/>
    <w:rsid w:val="00CA4953"/>
    <w:rsid w:val="00CA562E"/>
    <w:rsid w:val="00CA64DE"/>
    <w:rsid w:val="00CB2E6E"/>
    <w:rsid w:val="00CB3953"/>
    <w:rsid w:val="00CB4422"/>
    <w:rsid w:val="00CB5552"/>
    <w:rsid w:val="00CC08F2"/>
    <w:rsid w:val="00CC0BCC"/>
    <w:rsid w:val="00CC27D6"/>
    <w:rsid w:val="00CC28E0"/>
    <w:rsid w:val="00CC2F5F"/>
    <w:rsid w:val="00CC311D"/>
    <w:rsid w:val="00CC3A35"/>
    <w:rsid w:val="00CC4064"/>
    <w:rsid w:val="00CC4AD1"/>
    <w:rsid w:val="00CC5AFE"/>
    <w:rsid w:val="00CC5F7F"/>
    <w:rsid w:val="00CC79DE"/>
    <w:rsid w:val="00CD0FD9"/>
    <w:rsid w:val="00CD15C4"/>
    <w:rsid w:val="00CD22B4"/>
    <w:rsid w:val="00CD27E3"/>
    <w:rsid w:val="00CD2FC6"/>
    <w:rsid w:val="00CD3E9E"/>
    <w:rsid w:val="00CD57BF"/>
    <w:rsid w:val="00CD6315"/>
    <w:rsid w:val="00CD782B"/>
    <w:rsid w:val="00CE093E"/>
    <w:rsid w:val="00CE340F"/>
    <w:rsid w:val="00CF03F3"/>
    <w:rsid w:val="00CF0DC1"/>
    <w:rsid w:val="00CF1F88"/>
    <w:rsid w:val="00CF2F17"/>
    <w:rsid w:val="00CF32FB"/>
    <w:rsid w:val="00CF3CBA"/>
    <w:rsid w:val="00CF7F72"/>
    <w:rsid w:val="00D01672"/>
    <w:rsid w:val="00D01A4B"/>
    <w:rsid w:val="00D0259E"/>
    <w:rsid w:val="00D03969"/>
    <w:rsid w:val="00D03CF4"/>
    <w:rsid w:val="00D040AC"/>
    <w:rsid w:val="00D0435D"/>
    <w:rsid w:val="00D04A55"/>
    <w:rsid w:val="00D06BA6"/>
    <w:rsid w:val="00D11259"/>
    <w:rsid w:val="00D11F53"/>
    <w:rsid w:val="00D12D90"/>
    <w:rsid w:val="00D1393C"/>
    <w:rsid w:val="00D14707"/>
    <w:rsid w:val="00D15340"/>
    <w:rsid w:val="00D1566A"/>
    <w:rsid w:val="00D15B83"/>
    <w:rsid w:val="00D165D1"/>
    <w:rsid w:val="00D16698"/>
    <w:rsid w:val="00D16BD7"/>
    <w:rsid w:val="00D16DE7"/>
    <w:rsid w:val="00D1776D"/>
    <w:rsid w:val="00D17ED6"/>
    <w:rsid w:val="00D20057"/>
    <w:rsid w:val="00D20AD8"/>
    <w:rsid w:val="00D245D2"/>
    <w:rsid w:val="00D24EE2"/>
    <w:rsid w:val="00D26056"/>
    <w:rsid w:val="00D26254"/>
    <w:rsid w:val="00D26B2C"/>
    <w:rsid w:val="00D31222"/>
    <w:rsid w:val="00D327FB"/>
    <w:rsid w:val="00D32C48"/>
    <w:rsid w:val="00D32DF2"/>
    <w:rsid w:val="00D32ED3"/>
    <w:rsid w:val="00D343E5"/>
    <w:rsid w:val="00D34E9F"/>
    <w:rsid w:val="00D351E6"/>
    <w:rsid w:val="00D35399"/>
    <w:rsid w:val="00D367D8"/>
    <w:rsid w:val="00D36CFF"/>
    <w:rsid w:val="00D40323"/>
    <w:rsid w:val="00D4064D"/>
    <w:rsid w:val="00D40D5E"/>
    <w:rsid w:val="00D4177D"/>
    <w:rsid w:val="00D4217D"/>
    <w:rsid w:val="00D459FB"/>
    <w:rsid w:val="00D52288"/>
    <w:rsid w:val="00D52525"/>
    <w:rsid w:val="00D525ED"/>
    <w:rsid w:val="00D52945"/>
    <w:rsid w:val="00D52A1D"/>
    <w:rsid w:val="00D5351D"/>
    <w:rsid w:val="00D54948"/>
    <w:rsid w:val="00D5545A"/>
    <w:rsid w:val="00D55714"/>
    <w:rsid w:val="00D55744"/>
    <w:rsid w:val="00D56733"/>
    <w:rsid w:val="00D56F88"/>
    <w:rsid w:val="00D57602"/>
    <w:rsid w:val="00D57B3C"/>
    <w:rsid w:val="00D612ED"/>
    <w:rsid w:val="00D62107"/>
    <w:rsid w:val="00D63E91"/>
    <w:rsid w:val="00D640F2"/>
    <w:rsid w:val="00D6562C"/>
    <w:rsid w:val="00D657A7"/>
    <w:rsid w:val="00D67BE2"/>
    <w:rsid w:val="00D70BB0"/>
    <w:rsid w:val="00D70DD0"/>
    <w:rsid w:val="00D71996"/>
    <w:rsid w:val="00D73D67"/>
    <w:rsid w:val="00D75BCE"/>
    <w:rsid w:val="00D7603D"/>
    <w:rsid w:val="00D7641F"/>
    <w:rsid w:val="00D76539"/>
    <w:rsid w:val="00D76E64"/>
    <w:rsid w:val="00D77970"/>
    <w:rsid w:val="00D77C92"/>
    <w:rsid w:val="00D8111A"/>
    <w:rsid w:val="00D846B9"/>
    <w:rsid w:val="00D84921"/>
    <w:rsid w:val="00D86C26"/>
    <w:rsid w:val="00D90B72"/>
    <w:rsid w:val="00D9156C"/>
    <w:rsid w:val="00D92038"/>
    <w:rsid w:val="00D92644"/>
    <w:rsid w:val="00D934F8"/>
    <w:rsid w:val="00D93B35"/>
    <w:rsid w:val="00D94A47"/>
    <w:rsid w:val="00D94F7B"/>
    <w:rsid w:val="00D952DA"/>
    <w:rsid w:val="00D968DB"/>
    <w:rsid w:val="00DA1AAE"/>
    <w:rsid w:val="00DA2708"/>
    <w:rsid w:val="00DA30CA"/>
    <w:rsid w:val="00DA46FE"/>
    <w:rsid w:val="00DA543F"/>
    <w:rsid w:val="00DA5C5D"/>
    <w:rsid w:val="00DA6409"/>
    <w:rsid w:val="00DB0603"/>
    <w:rsid w:val="00DB14FE"/>
    <w:rsid w:val="00DB187B"/>
    <w:rsid w:val="00DB1F3A"/>
    <w:rsid w:val="00DB2AF1"/>
    <w:rsid w:val="00DB49AC"/>
    <w:rsid w:val="00DB7787"/>
    <w:rsid w:val="00DB7C22"/>
    <w:rsid w:val="00DC055F"/>
    <w:rsid w:val="00DC11C5"/>
    <w:rsid w:val="00DC25CF"/>
    <w:rsid w:val="00DC29FA"/>
    <w:rsid w:val="00DC571C"/>
    <w:rsid w:val="00DC693E"/>
    <w:rsid w:val="00DC73AE"/>
    <w:rsid w:val="00DD1EC2"/>
    <w:rsid w:val="00DD32C0"/>
    <w:rsid w:val="00DD3DD3"/>
    <w:rsid w:val="00DD46C8"/>
    <w:rsid w:val="00DD4A98"/>
    <w:rsid w:val="00DD58DC"/>
    <w:rsid w:val="00DD6D52"/>
    <w:rsid w:val="00DD75D8"/>
    <w:rsid w:val="00DE1D6F"/>
    <w:rsid w:val="00DE205C"/>
    <w:rsid w:val="00DE5A7A"/>
    <w:rsid w:val="00DE7888"/>
    <w:rsid w:val="00DE7FDF"/>
    <w:rsid w:val="00DF0AD1"/>
    <w:rsid w:val="00DF148E"/>
    <w:rsid w:val="00DF345E"/>
    <w:rsid w:val="00DF7C04"/>
    <w:rsid w:val="00E010F2"/>
    <w:rsid w:val="00E01125"/>
    <w:rsid w:val="00E0400D"/>
    <w:rsid w:val="00E04819"/>
    <w:rsid w:val="00E06913"/>
    <w:rsid w:val="00E13115"/>
    <w:rsid w:val="00E131DF"/>
    <w:rsid w:val="00E1371A"/>
    <w:rsid w:val="00E1393D"/>
    <w:rsid w:val="00E13E60"/>
    <w:rsid w:val="00E1569F"/>
    <w:rsid w:val="00E16919"/>
    <w:rsid w:val="00E1777C"/>
    <w:rsid w:val="00E21E7F"/>
    <w:rsid w:val="00E2206D"/>
    <w:rsid w:val="00E23469"/>
    <w:rsid w:val="00E2348C"/>
    <w:rsid w:val="00E24127"/>
    <w:rsid w:val="00E26237"/>
    <w:rsid w:val="00E264CE"/>
    <w:rsid w:val="00E308BC"/>
    <w:rsid w:val="00E316CB"/>
    <w:rsid w:val="00E32E23"/>
    <w:rsid w:val="00E341B1"/>
    <w:rsid w:val="00E36665"/>
    <w:rsid w:val="00E36D50"/>
    <w:rsid w:val="00E37CEE"/>
    <w:rsid w:val="00E37EB9"/>
    <w:rsid w:val="00E40357"/>
    <w:rsid w:val="00E411B8"/>
    <w:rsid w:val="00E42838"/>
    <w:rsid w:val="00E42AE2"/>
    <w:rsid w:val="00E43AEA"/>
    <w:rsid w:val="00E45D7B"/>
    <w:rsid w:val="00E45DCF"/>
    <w:rsid w:val="00E46518"/>
    <w:rsid w:val="00E46AEB"/>
    <w:rsid w:val="00E503CD"/>
    <w:rsid w:val="00E50700"/>
    <w:rsid w:val="00E51898"/>
    <w:rsid w:val="00E5260B"/>
    <w:rsid w:val="00E53AD2"/>
    <w:rsid w:val="00E54745"/>
    <w:rsid w:val="00E54B93"/>
    <w:rsid w:val="00E54CE3"/>
    <w:rsid w:val="00E54F84"/>
    <w:rsid w:val="00E5697B"/>
    <w:rsid w:val="00E5738D"/>
    <w:rsid w:val="00E633FD"/>
    <w:rsid w:val="00E63F7F"/>
    <w:rsid w:val="00E664B7"/>
    <w:rsid w:val="00E67959"/>
    <w:rsid w:val="00E7059B"/>
    <w:rsid w:val="00E708C8"/>
    <w:rsid w:val="00E713A2"/>
    <w:rsid w:val="00E71B4F"/>
    <w:rsid w:val="00E720F1"/>
    <w:rsid w:val="00E72384"/>
    <w:rsid w:val="00E72981"/>
    <w:rsid w:val="00E73BCA"/>
    <w:rsid w:val="00E73EEA"/>
    <w:rsid w:val="00E75CE9"/>
    <w:rsid w:val="00E772EB"/>
    <w:rsid w:val="00E777D5"/>
    <w:rsid w:val="00E77D45"/>
    <w:rsid w:val="00E8038F"/>
    <w:rsid w:val="00E82042"/>
    <w:rsid w:val="00E825DD"/>
    <w:rsid w:val="00E82FA4"/>
    <w:rsid w:val="00E83000"/>
    <w:rsid w:val="00E8340C"/>
    <w:rsid w:val="00E841A9"/>
    <w:rsid w:val="00E84585"/>
    <w:rsid w:val="00E8476B"/>
    <w:rsid w:val="00E85518"/>
    <w:rsid w:val="00E90E2F"/>
    <w:rsid w:val="00E9166B"/>
    <w:rsid w:val="00E91D2E"/>
    <w:rsid w:val="00E922C2"/>
    <w:rsid w:val="00E93BAE"/>
    <w:rsid w:val="00E9451B"/>
    <w:rsid w:val="00E94D63"/>
    <w:rsid w:val="00E96E33"/>
    <w:rsid w:val="00EA24F4"/>
    <w:rsid w:val="00EA2EC0"/>
    <w:rsid w:val="00EA3881"/>
    <w:rsid w:val="00EA394F"/>
    <w:rsid w:val="00EA3EE3"/>
    <w:rsid w:val="00EA42FA"/>
    <w:rsid w:val="00EA6BBE"/>
    <w:rsid w:val="00EA79A8"/>
    <w:rsid w:val="00EA7E86"/>
    <w:rsid w:val="00EA7F42"/>
    <w:rsid w:val="00EB047F"/>
    <w:rsid w:val="00EB0BD0"/>
    <w:rsid w:val="00EB1839"/>
    <w:rsid w:val="00EB32C3"/>
    <w:rsid w:val="00EB3FBC"/>
    <w:rsid w:val="00EB4684"/>
    <w:rsid w:val="00EB4FAE"/>
    <w:rsid w:val="00EB53A6"/>
    <w:rsid w:val="00EB6CB0"/>
    <w:rsid w:val="00EB72B5"/>
    <w:rsid w:val="00EB7922"/>
    <w:rsid w:val="00EC133E"/>
    <w:rsid w:val="00EC1C4F"/>
    <w:rsid w:val="00EC2591"/>
    <w:rsid w:val="00EC29C3"/>
    <w:rsid w:val="00EC4741"/>
    <w:rsid w:val="00EC4AF5"/>
    <w:rsid w:val="00EC5435"/>
    <w:rsid w:val="00EC6524"/>
    <w:rsid w:val="00ED05FA"/>
    <w:rsid w:val="00ED18DB"/>
    <w:rsid w:val="00ED2417"/>
    <w:rsid w:val="00ED2E5F"/>
    <w:rsid w:val="00ED2F03"/>
    <w:rsid w:val="00ED4152"/>
    <w:rsid w:val="00ED6401"/>
    <w:rsid w:val="00ED7165"/>
    <w:rsid w:val="00ED79FA"/>
    <w:rsid w:val="00EE2DE4"/>
    <w:rsid w:val="00EE5734"/>
    <w:rsid w:val="00EE5F24"/>
    <w:rsid w:val="00EF08B3"/>
    <w:rsid w:val="00EF1871"/>
    <w:rsid w:val="00EF19AD"/>
    <w:rsid w:val="00EF1F0B"/>
    <w:rsid w:val="00EF23C9"/>
    <w:rsid w:val="00EF2C6B"/>
    <w:rsid w:val="00EF3494"/>
    <w:rsid w:val="00EF4E27"/>
    <w:rsid w:val="00EF5B30"/>
    <w:rsid w:val="00EF6AD6"/>
    <w:rsid w:val="00EF719C"/>
    <w:rsid w:val="00F0061A"/>
    <w:rsid w:val="00F006E7"/>
    <w:rsid w:val="00F00923"/>
    <w:rsid w:val="00F00C7B"/>
    <w:rsid w:val="00F02823"/>
    <w:rsid w:val="00F04FA8"/>
    <w:rsid w:val="00F05227"/>
    <w:rsid w:val="00F05724"/>
    <w:rsid w:val="00F06815"/>
    <w:rsid w:val="00F07D04"/>
    <w:rsid w:val="00F11F36"/>
    <w:rsid w:val="00F127B6"/>
    <w:rsid w:val="00F13A1A"/>
    <w:rsid w:val="00F1414C"/>
    <w:rsid w:val="00F148F6"/>
    <w:rsid w:val="00F14A75"/>
    <w:rsid w:val="00F14E46"/>
    <w:rsid w:val="00F154C1"/>
    <w:rsid w:val="00F1798D"/>
    <w:rsid w:val="00F20931"/>
    <w:rsid w:val="00F2121C"/>
    <w:rsid w:val="00F22382"/>
    <w:rsid w:val="00F2265C"/>
    <w:rsid w:val="00F22757"/>
    <w:rsid w:val="00F23612"/>
    <w:rsid w:val="00F251C9"/>
    <w:rsid w:val="00F253A1"/>
    <w:rsid w:val="00F2610E"/>
    <w:rsid w:val="00F26278"/>
    <w:rsid w:val="00F2751D"/>
    <w:rsid w:val="00F27602"/>
    <w:rsid w:val="00F27BF8"/>
    <w:rsid w:val="00F27EDC"/>
    <w:rsid w:val="00F27F7E"/>
    <w:rsid w:val="00F30AB4"/>
    <w:rsid w:val="00F315E3"/>
    <w:rsid w:val="00F32BD9"/>
    <w:rsid w:val="00F330D3"/>
    <w:rsid w:val="00F33648"/>
    <w:rsid w:val="00F34088"/>
    <w:rsid w:val="00F35F04"/>
    <w:rsid w:val="00F36603"/>
    <w:rsid w:val="00F36F6E"/>
    <w:rsid w:val="00F3701A"/>
    <w:rsid w:val="00F40457"/>
    <w:rsid w:val="00F40B65"/>
    <w:rsid w:val="00F41253"/>
    <w:rsid w:val="00F41476"/>
    <w:rsid w:val="00F4157A"/>
    <w:rsid w:val="00F42DFC"/>
    <w:rsid w:val="00F4329A"/>
    <w:rsid w:val="00F43774"/>
    <w:rsid w:val="00F43E25"/>
    <w:rsid w:val="00F44AE7"/>
    <w:rsid w:val="00F45308"/>
    <w:rsid w:val="00F46EC4"/>
    <w:rsid w:val="00F4785F"/>
    <w:rsid w:val="00F47BD6"/>
    <w:rsid w:val="00F51B25"/>
    <w:rsid w:val="00F51BBE"/>
    <w:rsid w:val="00F52B33"/>
    <w:rsid w:val="00F56F19"/>
    <w:rsid w:val="00F57C88"/>
    <w:rsid w:val="00F600DD"/>
    <w:rsid w:val="00F6103C"/>
    <w:rsid w:val="00F616FC"/>
    <w:rsid w:val="00F64813"/>
    <w:rsid w:val="00F65A46"/>
    <w:rsid w:val="00F65E41"/>
    <w:rsid w:val="00F6790D"/>
    <w:rsid w:val="00F703BB"/>
    <w:rsid w:val="00F706E0"/>
    <w:rsid w:val="00F706EC"/>
    <w:rsid w:val="00F71759"/>
    <w:rsid w:val="00F73365"/>
    <w:rsid w:val="00F74027"/>
    <w:rsid w:val="00F74EAB"/>
    <w:rsid w:val="00F74F38"/>
    <w:rsid w:val="00F7586C"/>
    <w:rsid w:val="00F75D7F"/>
    <w:rsid w:val="00F76402"/>
    <w:rsid w:val="00F77563"/>
    <w:rsid w:val="00F77DA7"/>
    <w:rsid w:val="00F80004"/>
    <w:rsid w:val="00F81525"/>
    <w:rsid w:val="00F81F20"/>
    <w:rsid w:val="00F8445A"/>
    <w:rsid w:val="00F84810"/>
    <w:rsid w:val="00F850A6"/>
    <w:rsid w:val="00F87C27"/>
    <w:rsid w:val="00F901B4"/>
    <w:rsid w:val="00F9026E"/>
    <w:rsid w:val="00F90593"/>
    <w:rsid w:val="00F91D52"/>
    <w:rsid w:val="00F923A8"/>
    <w:rsid w:val="00F940A2"/>
    <w:rsid w:val="00F94A06"/>
    <w:rsid w:val="00F95B89"/>
    <w:rsid w:val="00F968AA"/>
    <w:rsid w:val="00FA02F4"/>
    <w:rsid w:val="00FA03F6"/>
    <w:rsid w:val="00FA17D3"/>
    <w:rsid w:val="00FA1DCB"/>
    <w:rsid w:val="00FA3A13"/>
    <w:rsid w:val="00FA3F10"/>
    <w:rsid w:val="00FA45A5"/>
    <w:rsid w:val="00FA535C"/>
    <w:rsid w:val="00FA5840"/>
    <w:rsid w:val="00FA5877"/>
    <w:rsid w:val="00FA5990"/>
    <w:rsid w:val="00FA687B"/>
    <w:rsid w:val="00FA7680"/>
    <w:rsid w:val="00FB2164"/>
    <w:rsid w:val="00FB2317"/>
    <w:rsid w:val="00FB4D30"/>
    <w:rsid w:val="00FB7B6C"/>
    <w:rsid w:val="00FC2586"/>
    <w:rsid w:val="00FC33F5"/>
    <w:rsid w:val="00FC60BE"/>
    <w:rsid w:val="00FC6AEE"/>
    <w:rsid w:val="00FC6D0B"/>
    <w:rsid w:val="00FC7EF0"/>
    <w:rsid w:val="00FD0CCA"/>
    <w:rsid w:val="00FD13AE"/>
    <w:rsid w:val="00FD142D"/>
    <w:rsid w:val="00FD1944"/>
    <w:rsid w:val="00FD1B53"/>
    <w:rsid w:val="00FD1E46"/>
    <w:rsid w:val="00FD2602"/>
    <w:rsid w:val="00FD40B1"/>
    <w:rsid w:val="00FD47F1"/>
    <w:rsid w:val="00FD4842"/>
    <w:rsid w:val="00FD4A0A"/>
    <w:rsid w:val="00FD4FC0"/>
    <w:rsid w:val="00FE110E"/>
    <w:rsid w:val="00FE18AA"/>
    <w:rsid w:val="00FE417C"/>
    <w:rsid w:val="00FE52A4"/>
    <w:rsid w:val="00FE5B74"/>
    <w:rsid w:val="00FE7E5B"/>
    <w:rsid w:val="00FF1162"/>
    <w:rsid w:val="00FF1952"/>
    <w:rsid w:val="00FF3A4F"/>
    <w:rsid w:val="00FF3B55"/>
    <w:rsid w:val="00FF3BCE"/>
    <w:rsid w:val="00FF5A30"/>
    <w:rsid w:val="00FF6D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E2EBD87-BE29-4CD1-B02B-FA82AF7A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heading 1" w:uiPriority="99" w:qFormat="1"/>
    <w:lsdException w:name="heading 2" w:uiPriority="99" w:qFormat="1"/>
    <w:lsdException w:name="heading 3" w:qFormat="1"/>
    <w:lsdException w:name="heading 4"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63A6"/>
    <w:rPr>
      <w:sz w:val="24"/>
      <w:szCs w:val="24"/>
      <w:lang w:eastAsia="en-US"/>
    </w:rPr>
  </w:style>
  <w:style w:type="paragraph" w:styleId="Heading1">
    <w:name w:val="heading 1"/>
    <w:basedOn w:val="Normal"/>
    <w:next w:val="Normal"/>
    <w:link w:val="Heading1Char"/>
    <w:uiPriority w:val="99"/>
    <w:qFormat/>
    <w:rsid w:val="006738B5"/>
    <w:pPr>
      <w:keepNext/>
      <w:outlineLvl w:val="0"/>
    </w:pPr>
    <w:rPr>
      <w:rFonts w:ascii="Foundry Form Sans" w:hAnsi="Foundry Form Sans" w:cs="Arial"/>
      <w:b/>
      <w:bCs/>
      <w:kern w:val="32"/>
      <w:sz w:val="32"/>
      <w:szCs w:val="32"/>
    </w:rPr>
  </w:style>
  <w:style w:type="paragraph" w:styleId="Heading2">
    <w:name w:val="heading 2"/>
    <w:basedOn w:val="Normal"/>
    <w:next w:val="Normal"/>
    <w:link w:val="Heading2Char"/>
    <w:uiPriority w:val="99"/>
    <w:qFormat/>
    <w:rsid w:val="006738B5"/>
    <w:pPr>
      <w:keepNext/>
      <w:outlineLvl w:val="1"/>
    </w:pPr>
    <w:rPr>
      <w:rFonts w:ascii="Arial" w:hAnsi="Arial" w:cs="Arial"/>
      <w:b/>
      <w:bCs/>
      <w:iCs/>
      <w:szCs w:val="28"/>
    </w:rPr>
  </w:style>
  <w:style w:type="paragraph" w:styleId="Heading3">
    <w:name w:val="heading 3"/>
    <w:basedOn w:val="Normal"/>
    <w:next w:val="Normal"/>
    <w:link w:val="Heading3Char"/>
    <w:qFormat/>
    <w:rsid w:val="006738B5"/>
    <w:pPr>
      <w:keepNext/>
      <w:outlineLvl w:val="2"/>
    </w:pPr>
    <w:rPr>
      <w:rFonts w:ascii="Foundry Form Sans" w:hAnsi="Foundry Form Sans" w:cs="Arial"/>
      <w:bCs/>
      <w:szCs w:val="26"/>
    </w:rPr>
  </w:style>
  <w:style w:type="paragraph" w:styleId="Heading4">
    <w:name w:val="heading 4"/>
    <w:basedOn w:val="Normal"/>
    <w:next w:val="Normal"/>
    <w:link w:val="Heading4Char"/>
    <w:uiPriority w:val="99"/>
    <w:qFormat/>
    <w:rsid w:val="006738B5"/>
    <w:pPr>
      <w:keepNext/>
      <w:jc w:val="center"/>
      <w:outlineLvl w:val="3"/>
    </w:pPr>
    <w:rPr>
      <w:rFonts w:ascii="Foundry Form Sans" w:hAnsi="Foundry Form Sans"/>
      <w:b/>
      <w:sz w:val="9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135D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135D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6738B5"/>
    <w:rPr>
      <w:rFonts w:ascii="Foundry Form Sans" w:hAnsi="Foundry Form Sans" w:cs="Arial"/>
      <w:bCs/>
      <w:sz w:val="26"/>
      <w:szCs w:val="26"/>
      <w:lang w:val="en-GB" w:eastAsia="en-US" w:bidi="ar-SA"/>
    </w:rPr>
  </w:style>
  <w:style w:type="character" w:customStyle="1" w:styleId="Heading4Char">
    <w:name w:val="Heading 4 Char"/>
    <w:basedOn w:val="DefaultParagraphFont"/>
    <w:link w:val="Heading4"/>
    <w:uiPriority w:val="99"/>
    <w:semiHidden/>
    <w:locked/>
    <w:rsid w:val="001135D3"/>
    <w:rPr>
      <w:rFonts w:ascii="Calibri" w:hAnsi="Calibri" w:cs="Times New Roman"/>
      <w:b/>
      <w:bCs/>
      <w:sz w:val="28"/>
      <w:szCs w:val="28"/>
      <w:lang w:eastAsia="en-US"/>
    </w:rPr>
  </w:style>
  <w:style w:type="paragraph" w:styleId="TOC1">
    <w:name w:val="toc 1"/>
    <w:aliases w:val="Heading A"/>
    <w:basedOn w:val="Normal"/>
    <w:next w:val="Normal"/>
    <w:uiPriority w:val="39"/>
    <w:rsid w:val="006738B5"/>
    <w:pPr>
      <w:tabs>
        <w:tab w:val="left" w:pos="658"/>
        <w:tab w:val="right" w:leader="dot" w:pos="9072"/>
      </w:tabs>
      <w:spacing w:before="200" w:after="200"/>
    </w:pPr>
    <w:rPr>
      <w:rFonts w:ascii="Foundry Form Sans" w:hAnsi="Foundry Form Sans"/>
      <w:b/>
      <w:szCs w:val="22"/>
    </w:rPr>
  </w:style>
  <w:style w:type="paragraph" w:styleId="TOC2">
    <w:name w:val="toc 2"/>
    <w:aliases w:val="Heading B"/>
    <w:basedOn w:val="Normal"/>
    <w:next w:val="Normal"/>
    <w:autoRedefine/>
    <w:uiPriority w:val="39"/>
    <w:rsid w:val="006738B5"/>
    <w:rPr>
      <w:rFonts w:ascii="Foundry Form Sans" w:hAnsi="Foundry Form Sans"/>
      <w:b/>
      <w:color w:val="000080"/>
      <w:lang w:eastAsia="en-GB"/>
    </w:rPr>
  </w:style>
  <w:style w:type="paragraph" w:customStyle="1" w:styleId="StyleB">
    <w:name w:val="Style B"/>
    <w:basedOn w:val="Heading2"/>
    <w:autoRedefine/>
    <w:uiPriority w:val="99"/>
    <w:rsid w:val="006738B5"/>
    <w:pPr>
      <w:keepLines/>
      <w:spacing w:before="200" w:after="100"/>
    </w:pPr>
    <w:rPr>
      <w:rFonts w:cs="Times New Roman"/>
      <w:i/>
      <w:iCs w:val="0"/>
      <w:color w:val="155697"/>
      <w:szCs w:val="24"/>
    </w:rPr>
  </w:style>
  <w:style w:type="character" w:styleId="Hyperlink">
    <w:name w:val="Hyperlink"/>
    <w:basedOn w:val="DefaultParagraphFont"/>
    <w:uiPriority w:val="99"/>
    <w:rsid w:val="006738B5"/>
    <w:rPr>
      <w:rFonts w:cs="Times New Roman"/>
      <w:color w:val="0000FF"/>
      <w:u w:val="single"/>
    </w:rPr>
  </w:style>
  <w:style w:type="paragraph" w:styleId="BalloonText">
    <w:name w:val="Balloon Text"/>
    <w:basedOn w:val="Normal"/>
    <w:link w:val="BalloonTextChar"/>
    <w:uiPriority w:val="99"/>
    <w:semiHidden/>
    <w:rsid w:val="006738B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35D3"/>
    <w:rPr>
      <w:rFonts w:cs="Times New Roman"/>
      <w:sz w:val="2"/>
      <w:lang w:eastAsia="en-US"/>
    </w:rPr>
  </w:style>
  <w:style w:type="character" w:customStyle="1" w:styleId="CharChar14">
    <w:name w:val="Char Char14"/>
    <w:uiPriority w:val="99"/>
    <w:rsid w:val="006738B5"/>
    <w:rPr>
      <w:rFonts w:ascii="Arial" w:hAnsi="Arial"/>
      <w:b/>
      <w:sz w:val="28"/>
      <w:lang w:val="en-GB" w:eastAsia="en-US"/>
    </w:rPr>
  </w:style>
  <w:style w:type="paragraph" w:styleId="Header">
    <w:name w:val="header"/>
    <w:aliases w:val="h"/>
    <w:basedOn w:val="Normal"/>
    <w:link w:val="HeaderChar"/>
    <w:uiPriority w:val="99"/>
    <w:rsid w:val="006738B5"/>
    <w:pPr>
      <w:tabs>
        <w:tab w:val="center" w:pos="4680"/>
        <w:tab w:val="right" w:pos="9360"/>
      </w:tabs>
    </w:pPr>
    <w:rPr>
      <w:rFonts w:ascii="Arial" w:hAnsi="Arial"/>
      <w:i/>
      <w:sz w:val="20"/>
      <w:szCs w:val="22"/>
    </w:rPr>
  </w:style>
  <w:style w:type="character" w:customStyle="1" w:styleId="HeaderChar">
    <w:name w:val="Header Char"/>
    <w:aliases w:val="h Char"/>
    <w:basedOn w:val="DefaultParagraphFont"/>
    <w:link w:val="Header"/>
    <w:uiPriority w:val="99"/>
    <w:locked/>
    <w:rsid w:val="001135D3"/>
    <w:rPr>
      <w:rFonts w:cs="Times New Roman"/>
      <w:sz w:val="24"/>
      <w:szCs w:val="24"/>
      <w:lang w:eastAsia="en-US"/>
    </w:rPr>
  </w:style>
  <w:style w:type="character" w:customStyle="1" w:styleId="hCharChar">
    <w:name w:val="h Char Char"/>
    <w:uiPriority w:val="99"/>
    <w:rsid w:val="006738B5"/>
    <w:rPr>
      <w:rFonts w:ascii="Arial" w:hAnsi="Arial"/>
      <w:i/>
      <w:sz w:val="22"/>
      <w:lang w:val="en-GB" w:eastAsia="en-US"/>
    </w:rPr>
  </w:style>
  <w:style w:type="paragraph" w:styleId="BodyText">
    <w:name w:val="Body Text"/>
    <w:basedOn w:val="Normal"/>
    <w:link w:val="BodyTextChar"/>
    <w:uiPriority w:val="99"/>
    <w:rsid w:val="006738B5"/>
    <w:pPr>
      <w:spacing w:after="165" w:line="260" w:lineRule="atLeast"/>
    </w:pPr>
    <w:rPr>
      <w:rFonts w:ascii="Arial" w:hAnsi="Arial"/>
      <w:sz w:val="22"/>
      <w:szCs w:val="22"/>
    </w:rPr>
  </w:style>
  <w:style w:type="character" w:customStyle="1" w:styleId="BodyTextChar">
    <w:name w:val="Body Text Char"/>
    <w:basedOn w:val="DefaultParagraphFont"/>
    <w:link w:val="BodyText"/>
    <w:uiPriority w:val="99"/>
    <w:locked/>
    <w:rsid w:val="001135D3"/>
    <w:rPr>
      <w:rFonts w:cs="Times New Roman"/>
      <w:sz w:val="24"/>
      <w:szCs w:val="24"/>
      <w:lang w:eastAsia="en-US"/>
    </w:rPr>
  </w:style>
  <w:style w:type="character" w:customStyle="1" w:styleId="CharChar7">
    <w:name w:val="Char Char7"/>
    <w:uiPriority w:val="99"/>
    <w:rsid w:val="006738B5"/>
    <w:rPr>
      <w:rFonts w:ascii="Arial" w:hAnsi="Arial"/>
      <w:sz w:val="22"/>
      <w:lang w:val="en-GB" w:eastAsia="en-US"/>
    </w:rPr>
  </w:style>
  <w:style w:type="paragraph" w:styleId="Footer">
    <w:name w:val="footer"/>
    <w:basedOn w:val="Normal"/>
    <w:link w:val="FooterChar"/>
    <w:uiPriority w:val="99"/>
    <w:rsid w:val="006738B5"/>
    <w:pPr>
      <w:tabs>
        <w:tab w:val="center" w:pos="4153"/>
        <w:tab w:val="right" w:pos="8306"/>
      </w:tabs>
    </w:pPr>
  </w:style>
  <w:style w:type="character" w:customStyle="1" w:styleId="FooterChar">
    <w:name w:val="Footer Char"/>
    <w:basedOn w:val="DefaultParagraphFont"/>
    <w:link w:val="Footer"/>
    <w:uiPriority w:val="99"/>
    <w:locked/>
    <w:rsid w:val="001135D3"/>
    <w:rPr>
      <w:rFonts w:cs="Times New Roman"/>
      <w:sz w:val="24"/>
      <w:szCs w:val="24"/>
      <w:lang w:eastAsia="en-US"/>
    </w:rPr>
  </w:style>
  <w:style w:type="character" w:styleId="PageNumber">
    <w:name w:val="page number"/>
    <w:basedOn w:val="DefaultParagraphFont"/>
    <w:uiPriority w:val="99"/>
    <w:rsid w:val="006738B5"/>
    <w:rPr>
      <w:rFonts w:cs="Times New Roman"/>
    </w:rPr>
  </w:style>
  <w:style w:type="paragraph" w:styleId="TOC3">
    <w:name w:val="toc 3"/>
    <w:basedOn w:val="Normal"/>
    <w:next w:val="Normal"/>
    <w:autoRedefine/>
    <w:uiPriority w:val="39"/>
    <w:rsid w:val="006738B5"/>
    <w:pPr>
      <w:ind w:left="480"/>
    </w:pPr>
  </w:style>
  <w:style w:type="paragraph" w:styleId="TOC4">
    <w:name w:val="toc 4"/>
    <w:basedOn w:val="Normal"/>
    <w:next w:val="Normal"/>
    <w:autoRedefine/>
    <w:uiPriority w:val="39"/>
    <w:rsid w:val="006738B5"/>
    <w:pPr>
      <w:ind w:left="720"/>
    </w:pPr>
    <w:rPr>
      <w:lang w:eastAsia="en-GB"/>
    </w:rPr>
  </w:style>
  <w:style w:type="paragraph" w:styleId="TOC5">
    <w:name w:val="toc 5"/>
    <w:basedOn w:val="Normal"/>
    <w:next w:val="Normal"/>
    <w:autoRedefine/>
    <w:uiPriority w:val="39"/>
    <w:rsid w:val="006738B5"/>
    <w:pPr>
      <w:ind w:left="960"/>
    </w:pPr>
    <w:rPr>
      <w:lang w:eastAsia="en-GB"/>
    </w:rPr>
  </w:style>
  <w:style w:type="paragraph" w:styleId="TOC6">
    <w:name w:val="toc 6"/>
    <w:basedOn w:val="Normal"/>
    <w:next w:val="Normal"/>
    <w:autoRedefine/>
    <w:uiPriority w:val="39"/>
    <w:rsid w:val="006738B5"/>
    <w:pPr>
      <w:ind w:left="1200"/>
    </w:pPr>
    <w:rPr>
      <w:lang w:eastAsia="en-GB"/>
    </w:rPr>
  </w:style>
  <w:style w:type="paragraph" w:styleId="TOC7">
    <w:name w:val="toc 7"/>
    <w:basedOn w:val="Normal"/>
    <w:next w:val="Normal"/>
    <w:autoRedefine/>
    <w:uiPriority w:val="39"/>
    <w:rsid w:val="006738B5"/>
    <w:pPr>
      <w:ind w:left="1440"/>
    </w:pPr>
    <w:rPr>
      <w:lang w:eastAsia="en-GB"/>
    </w:rPr>
  </w:style>
  <w:style w:type="paragraph" w:styleId="TOC8">
    <w:name w:val="toc 8"/>
    <w:basedOn w:val="Normal"/>
    <w:next w:val="Normal"/>
    <w:autoRedefine/>
    <w:uiPriority w:val="39"/>
    <w:rsid w:val="006738B5"/>
    <w:pPr>
      <w:ind w:left="1680"/>
    </w:pPr>
    <w:rPr>
      <w:lang w:eastAsia="en-GB"/>
    </w:rPr>
  </w:style>
  <w:style w:type="paragraph" w:styleId="TOC9">
    <w:name w:val="toc 9"/>
    <w:basedOn w:val="Normal"/>
    <w:next w:val="Normal"/>
    <w:autoRedefine/>
    <w:uiPriority w:val="39"/>
    <w:rsid w:val="006738B5"/>
    <w:pPr>
      <w:ind w:left="1920"/>
    </w:pPr>
    <w:rPr>
      <w:lang w:eastAsia="en-GB"/>
    </w:rPr>
  </w:style>
  <w:style w:type="character" w:styleId="FollowedHyperlink">
    <w:name w:val="FollowedHyperlink"/>
    <w:basedOn w:val="DefaultParagraphFont"/>
    <w:uiPriority w:val="99"/>
    <w:rsid w:val="006738B5"/>
    <w:rPr>
      <w:rFonts w:cs="Times New Roman"/>
      <w:color w:val="800080"/>
      <w:u w:val="single"/>
    </w:rPr>
  </w:style>
  <w:style w:type="character" w:customStyle="1" w:styleId="EmailStyle43">
    <w:name w:val="EmailStyle43"/>
    <w:basedOn w:val="DefaultParagraphFont"/>
    <w:uiPriority w:val="99"/>
    <w:semiHidden/>
    <w:rsid w:val="006738B5"/>
    <w:rPr>
      <w:rFonts w:ascii="Arial" w:hAnsi="Arial" w:cs="Arial"/>
      <w:color w:val="auto"/>
      <w:sz w:val="20"/>
      <w:szCs w:val="20"/>
    </w:rPr>
  </w:style>
  <w:style w:type="paragraph" w:customStyle="1" w:styleId="Body">
    <w:name w:val="Body"/>
    <w:basedOn w:val="Normal"/>
    <w:link w:val="BodyChar"/>
    <w:rsid w:val="006738B5"/>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Level1">
    <w:name w:val="Level 1"/>
    <w:basedOn w:val="Normal"/>
    <w:uiPriority w:val="99"/>
    <w:rsid w:val="006738B5"/>
    <w:pPr>
      <w:widowControl w:val="0"/>
      <w:numPr>
        <w:numId w:val="1"/>
      </w:numPr>
      <w:adjustRightInd w:val="0"/>
      <w:textAlignment w:val="baseline"/>
      <w:outlineLvl w:val="0"/>
    </w:pPr>
    <w:rPr>
      <w:rFonts w:ascii="Arial" w:hAnsi="Arial"/>
      <w:szCs w:val="20"/>
      <w:lang w:eastAsia="en-GB"/>
    </w:rPr>
  </w:style>
  <w:style w:type="paragraph" w:customStyle="1" w:styleId="Level2">
    <w:name w:val="Level 2"/>
    <w:basedOn w:val="Normal"/>
    <w:uiPriority w:val="99"/>
    <w:rsid w:val="006738B5"/>
    <w:pPr>
      <w:widowControl w:val="0"/>
      <w:numPr>
        <w:ilvl w:val="1"/>
        <w:numId w:val="1"/>
      </w:numPr>
      <w:adjustRightInd w:val="0"/>
      <w:textAlignment w:val="baseline"/>
      <w:outlineLvl w:val="1"/>
    </w:pPr>
    <w:rPr>
      <w:rFonts w:ascii="Arial" w:hAnsi="Arial"/>
      <w:szCs w:val="20"/>
      <w:lang w:eastAsia="en-GB"/>
    </w:rPr>
  </w:style>
  <w:style w:type="paragraph" w:customStyle="1" w:styleId="Level3">
    <w:name w:val="Level 3"/>
    <w:basedOn w:val="Normal"/>
    <w:uiPriority w:val="99"/>
    <w:rsid w:val="006738B5"/>
    <w:pPr>
      <w:widowControl w:val="0"/>
      <w:numPr>
        <w:ilvl w:val="2"/>
        <w:numId w:val="1"/>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uiPriority w:val="99"/>
    <w:rsid w:val="006738B5"/>
    <w:pPr>
      <w:widowControl w:val="0"/>
      <w:numPr>
        <w:ilvl w:val="3"/>
        <w:numId w:val="1"/>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uiPriority w:val="99"/>
    <w:rsid w:val="006738B5"/>
    <w:pPr>
      <w:widowControl w:val="0"/>
      <w:numPr>
        <w:ilvl w:val="4"/>
        <w:numId w:val="1"/>
      </w:numPr>
      <w:adjustRightInd w:val="0"/>
      <w:spacing w:after="240" w:line="312" w:lineRule="auto"/>
      <w:jc w:val="both"/>
      <w:textAlignment w:val="baseline"/>
      <w:outlineLvl w:val="4"/>
    </w:pPr>
    <w:rPr>
      <w:rFonts w:ascii="Arial" w:hAnsi="Arial"/>
      <w:szCs w:val="20"/>
      <w:lang w:eastAsia="en-GB"/>
    </w:rPr>
  </w:style>
  <w:style w:type="paragraph" w:styleId="ListParagraph">
    <w:name w:val="List Paragraph"/>
    <w:basedOn w:val="Normal"/>
    <w:uiPriority w:val="34"/>
    <w:qFormat/>
    <w:rsid w:val="006738B5"/>
    <w:pPr>
      <w:ind w:left="720"/>
      <w:contextualSpacing/>
    </w:pPr>
    <w:rPr>
      <w:lang w:val="en-US"/>
    </w:rPr>
  </w:style>
  <w:style w:type="paragraph" w:customStyle="1" w:styleId="msolistparagraph0">
    <w:name w:val="msolistparagraph"/>
    <w:basedOn w:val="Normal"/>
    <w:uiPriority w:val="99"/>
    <w:rsid w:val="006738B5"/>
    <w:pPr>
      <w:ind w:left="720"/>
    </w:pPr>
    <w:rPr>
      <w:rFonts w:ascii="Calibri" w:hAnsi="Calibri"/>
      <w:sz w:val="22"/>
      <w:szCs w:val="22"/>
      <w:lang w:eastAsia="en-GB"/>
    </w:rPr>
  </w:style>
  <w:style w:type="paragraph" w:customStyle="1" w:styleId="Body2">
    <w:name w:val="Body 2"/>
    <w:basedOn w:val="Normal"/>
    <w:uiPriority w:val="99"/>
    <w:rsid w:val="006738B5"/>
    <w:pPr>
      <w:widowControl w:val="0"/>
      <w:adjustRightInd w:val="0"/>
      <w:spacing w:after="240" w:line="312" w:lineRule="auto"/>
      <w:ind w:left="851"/>
      <w:jc w:val="both"/>
      <w:textAlignment w:val="baseline"/>
    </w:pPr>
    <w:rPr>
      <w:rFonts w:ascii="Arial" w:hAnsi="Arial"/>
      <w:szCs w:val="20"/>
      <w:lang w:eastAsia="en-GB"/>
    </w:rPr>
  </w:style>
  <w:style w:type="paragraph" w:styleId="NormalWeb">
    <w:name w:val="Normal (Web)"/>
    <w:basedOn w:val="Normal"/>
    <w:uiPriority w:val="99"/>
    <w:rsid w:val="006738B5"/>
    <w:pPr>
      <w:spacing w:before="100" w:beforeAutospacing="1" w:after="100" w:afterAutospacing="1"/>
    </w:pPr>
    <w:rPr>
      <w:lang w:eastAsia="en-GB"/>
    </w:rPr>
  </w:style>
  <w:style w:type="character" w:styleId="CommentReference">
    <w:name w:val="annotation reference"/>
    <w:basedOn w:val="DefaultParagraphFont"/>
    <w:uiPriority w:val="99"/>
    <w:semiHidden/>
    <w:rsid w:val="006738B5"/>
    <w:rPr>
      <w:rFonts w:cs="Times New Roman"/>
      <w:sz w:val="16"/>
      <w:szCs w:val="16"/>
    </w:rPr>
  </w:style>
  <w:style w:type="paragraph" w:styleId="CommentText">
    <w:name w:val="annotation text"/>
    <w:basedOn w:val="Normal"/>
    <w:link w:val="CommentTextChar"/>
    <w:uiPriority w:val="99"/>
    <w:semiHidden/>
    <w:rsid w:val="006738B5"/>
    <w:rPr>
      <w:sz w:val="20"/>
      <w:szCs w:val="20"/>
    </w:rPr>
  </w:style>
  <w:style w:type="character" w:customStyle="1" w:styleId="CommentTextChar">
    <w:name w:val="Comment Text Char"/>
    <w:basedOn w:val="DefaultParagraphFont"/>
    <w:link w:val="CommentText"/>
    <w:uiPriority w:val="99"/>
    <w:semiHidden/>
    <w:locked/>
    <w:rsid w:val="001135D3"/>
    <w:rPr>
      <w:rFonts w:cs="Times New Roman"/>
      <w:sz w:val="20"/>
      <w:szCs w:val="20"/>
      <w:lang w:eastAsia="en-US"/>
    </w:rPr>
  </w:style>
  <w:style w:type="character" w:customStyle="1" w:styleId="CharChar1">
    <w:name w:val="Char Char1"/>
    <w:basedOn w:val="DefaultParagraphFont"/>
    <w:uiPriority w:val="99"/>
    <w:rsid w:val="006738B5"/>
    <w:rPr>
      <w:rFonts w:cs="Times New Roman"/>
      <w:lang w:eastAsia="en-US"/>
    </w:rPr>
  </w:style>
  <w:style w:type="paragraph" w:styleId="CommentSubject">
    <w:name w:val="annotation subject"/>
    <w:basedOn w:val="CommentText"/>
    <w:next w:val="CommentText"/>
    <w:link w:val="CommentSubjectChar"/>
    <w:uiPriority w:val="99"/>
    <w:rsid w:val="006738B5"/>
    <w:rPr>
      <w:b/>
      <w:bCs/>
    </w:rPr>
  </w:style>
  <w:style w:type="character" w:customStyle="1" w:styleId="CommentSubjectChar">
    <w:name w:val="Comment Subject Char"/>
    <w:basedOn w:val="CommentTextChar"/>
    <w:link w:val="CommentSubject"/>
    <w:uiPriority w:val="99"/>
    <w:semiHidden/>
    <w:locked/>
    <w:rsid w:val="001135D3"/>
    <w:rPr>
      <w:rFonts w:cs="Times New Roman"/>
      <w:b/>
      <w:bCs/>
      <w:sz w:val="20"/>
      <w:szCs w:val="20"/>
      <w:lang w:eastAsia="en-US"/>
    </w:rPr>
  </w:style>
  <w:style w:type="character" w:customStyle="1" w:styleId="CharChar">
    <w:name w:val="Char Char"/>
    <w:basedOn w:val="CharChar1"/>
    <w:uiPriority w:val="99"/>
    <w:rsid w:val="006738B5"/>
    <w:rPr>
      <w:rFonts w:cs="Times New Roman"/>
      <w:b/>
      <w:bCs/>
      <w:lang w:eastAsia="en-US"/>
    </w:rPr>
  </w:style>
  <w:style w:type="character" w:customStyle="1" w:styleId="EmailStyle61">
    <w:name w:val="EmailStyle61"/>
    <w:basedOn w:val="DefaultParagraphFont"/>
    <w:uiPriority w:val="99"/>
    <w:semiHidden/>
    <w:rsid w:val="00452151"/>
    <w:rPr>
      <w:rFonts w:ascii="Arial" w:hAnsi="Arial" w:cs="Arial"/>
      <w:color w:val="auto"/>
      <w:sz w:val="20"/>
      <w:szCs w:val="20"/>
    </w:rPr>
  </w:style>
  <w:style w:type="character" w:styleId="Emphasis">
    <w:name w:val="Emphasis"/>
    <w:basedOn w:val="DefaultParagraphFont"/>
    <w:uiPriority w:val="99"/>
    <w:qFormat/>
    <w:locked/>
    <w:rsid w:val="00B85297"/>
    <w:rPr>
      <w:rFonts w:cs="Times New Roman"/>
      <w:i/>
      <w:iCs/>
    </w:rPr>
  </w:style>
  <w:style w:type="character" w:styleId="Strong">
    <w:name w:val="Strong"/>
    <w:basedOn w:val="DefaultParagraphFont"/>
    <w:uiPriority w:val="99"/>
    <w:qFormat/>
    <w:locked/>
    <w:rsid w:val="00B85297"/>
    <w:rPr>
      <w:rFonts w:cs="Times New Roman"/>
      <w:b/>
      <w:bCs/>
    </w:rPr>
  </w:style>
  <w:style w:type="paragraph" w:styleId="FootnoteText">
    <w:name w:val="footnote text"/>
    <w:basedOn w:val="Normal"/>
    <w:link w:val="FootnoteTextChar"/>
    <w:rsid w:val="008D605E"/>
  </w:style>
  <w:style w:type="character" w:customStyle="1" w:styleId="FootnoteTextChar">
    <w:name w:val="Footnote Text Char"/>
    <w:basedOn w:val="DefaultParagraphFont"/>
    <w:link w:val="FootnoteText"/>
    <w:rsid w:val="008D605E"/>
    <w:rPr>
      <w:sz w:val="24"/>
      <w:szCs w:val="24"/>
      <w:lang w:eastAsia="en-US"/>
    </w:rPr>
  </w:style>
  <w:style w:type="character" w:styleId="FootnoteReference">
    <w:name w:val="footnote reference"/>
    <w:rsid w:val="008D605E"/>
    <w:rPr>
      <w:vertAlign w:val="superscript"/>
    </w:rPr>
  </w:style>
  <w:style w:type="character" w:customStyle="1" w:styleId="StyleArial10pt">
    <w:name w:val="Style Arial 10 pt"/>
    <w:uiPriority w:val="99"/>
    <w:rsid w:val="00C73A02"/>
    <w:rPr>
      <w:rFonts w:ascii="Arial" w:hAnsi="Arial"/>
      <w:sz w:val="20"/>
    </w:rPr>
  </w:style>
  <w:style w:type="paragraph" w:customStyle="1" w:styleId="Pa11">
    <w:name w:val="Pa11"/>
    <w:basedOn w:val="Normal"/>
    <w:next w:val="Normal"/>
    <w:uiPriority w:val="99"/>
    <w:rsid w:val="003B3C74"/>
    <w:pPr>
      <w:autoSpaceDE w:val="0"/>
      <w:autoSpaceDN w:val="0"/>
      <w:adjustRightInd w:val="0"/>
      <w:spacing w:line="241" w:lineRule="atLeast"/>
    </w:pPr>
    <w:rPr>
      <w:rFonts w:ascii="Adobe Garamond Pro" w:hAnsi="Adobe Garamond Pro"/>
      <w:lang w:eastAsia="en-GB"/>
    </w:rPr>
  </w:style>
  <w:style w:type="character" w:customStyle="1" w:styleId="A5">
    <w:name w:val="A5"/>
    <w:uiPriority w:val="99"/>
    <w:rsid w:val="003B4569"/>
    <w:rPr>
      <w:rFonts w:cs="Adobe Garamond Pro"/>
      <w:color w:val="4C4C4C"/>
    </w:rPr>
  </w:style>
  <w:style w:type="paragraph" w:customStyle="1" w:styleId="Bulletspolicy">
    <w:name w:val="Bullets policy"/>
    <w:basedOn w:val="Normal"/>
    <w:uiPriority w:val="99"/>
    <w:rsid w:val="00A3335F"/>
    <w:pPr>
      <w:widowControl w:val="0"/>
      <w:tabs>
        <w:tab w:val="left" w:pos="369"/>
        <w:tab w:val="left" w:pos="567"/>
      </w:tabs>
      <w:suppressAutoHyphens/>
      <w:autoSpaceDE w:val="0"/>
      <w:autoSpaceDN w:val="0"/>
      <w:adjustRightInd w:val="0"/>
      <w:spacing w:line="300" w:lineRule="atLeast"/>
      <w:ind w:left="539" w:right="113" w:hanging="170"/>
      <w:textAlignment w:val="center"/>
    </w:pPr>
    <w:rPr>
      <w:rFonts w:ascii="FoundryFormSans-Book" w:eastAsiaTheme="minorEastAsia" w:hAnsi="FoundryFormSans-Book" w:cs="FoundryFormSans-Book"/>
      <w:color w:val="000000"/>
    </w:rPr>
  </w:style>
  <w:style w:type="paragraph" w:customStyle="1" w:styleId="Pa16">
    <w:name w:val="Pa16"/>
    <w:basedOn w:val="Normal"/>
    <w:next w:val="Normal"/>
    <w:uiPriority w:val="99"/>
    <w:rsid w:val="00F91D52"/>
    <w:pPr>
      <w:autoSpaceDE w:val="0"/>
      <w:autoSpaceDN w:val="0"/>
      <w:adjustRightInd w:val="0"/>
      <w:spacing w:line="201" w:lineRule="atLeast"/>
    </w:pPr>
    <w:rPr>
      <w:rFonts w:ascii="Adobe Garamond Pro" w:hAnsi="Adobe Garamond Pro"/>
      <w:lang w:eastAsia="en-GB"/>
    </w:rPr>
  </w:style>
  <w:style w:type="paragraph" w:customStyle="1" w:styleId="Pa13">
    <w:name w:val="Pa13"/>
    <w:basedOn w:val="Normal"/>
    <w:next w:val="Normal"/>
    <w:uiPriority w:val="99"/>
    <w:rsid w:val="00C30A28"/>
    <w:pPr>
      <w:autoSpaceDE w:val="0"/>
      <w:autoSpaceDN w:val="0"/>
      <w:adjustRightInd w:val="0"/>
      <w:spacing w:line="441" w:lineRule="atLeast"/>
    </w:pPr>
    <w:rPr>
      <w:rFonts w:ascii="Adobe Garamond Pro Bold" w:hAnsi="Adobe Garamond Pro Bold"/>
      <w:lang w:eastAsia="en-GB"/>
    </w:rPr>
  </w:style>
  <w:style w:type="paragraph" w:customStyle="1" w:styleId="Pa10">
    <w:name w:val="Pa10"/>
    <w:basedOn w:val="Normal"/>
    <w:next w:val="Normal"/>
    <w:uiPriority w:val="99"/>
    <w:rsid w:val="00C30A28"/>
    <w:pPr>
      <w:autoSpaceDE w:val="0"/>
      <w:autoSpaceDN w:val="0"/>
      <w:adjustRightInd w:val="0"/>
      <w:spacing w:line="201" w:lineRule="atLeast"/>
    </w:pPr>
    <w:rPr>
      <w:rFonts w:ascii="Adobe Garamond Pro Bold" w:hAnsi="Adobe Garamond Pro Bold"/>
      <w:lang w:eastAsia="en-GB"/>
    </w:rPr>
  </w:style>
  <w:style w:type="paragraph" w:styleId="Revision">
    <w:name w:val="Revision"/>
    <w:hidden/>
    <w:rsid w:val="00BC4DAC"/>
    <w:rPr>
      <w:sz w:val="24"/>
      <w:szCs w:val="24"/>
      <w:lang w:eastAsia="en-US"/>
    </w:rPr>
  </w:style>
  <w:style w:type="paragraph" w:customStyle="1" w:styleId="Default">
    <w:name w:val="Default"/>
    <w:rsid w:val="008E5C33"/>
    <w:pPr>
      <w:autoSpaceDE w:val="0"/>
      <w:autoSpaceDN w:val="0"/>
      <w:adjustRightInd w:val="0"/>
    </w:pPr>
    <w:rPr>
      <w:rFonts w:ascii="Adobe Garamond Pro" w:hAnsi="Adobe Garamond Pro" w:cs="Adobe Garamond Pro"/>
      <w:color w:val="000000"/>
      <w:sz w:val="24"/>
      <w:szCs w:val="24"/>
    </w:rPr>
  </w:style>
  <w:style w:type="character" w:customStyle="1" w:styleId="A8">
    <w:name w:val="A8"/>
    <w:uiPriority w:val="99"/>
    <w:rsid w:val="008E5C33"/>
    <w:rPr>
      <w:rFonts w:cs="Adobe Garamond Pro"/>
      <w:color w:val="4C4C4C"/>
    </w:rPr>
  </w:style>
  <w:style w:type="paragraph" w:customStyle="1" w:styleId="-Text">
    <w:name w:val="- Text"/>
    <w:rsid w:val="00174388"/>
    <w:pPr>
      <w:tabs>
        <w:tab w:val="left" w:pos="709"/>
      </w:tabs>
      <w:overflowPunct w:val="0"/>
      <w:autoSpaceDE w:val="0"/>
      <w:autoSpaceDN w:val="0"/>
      <w:adjustRightInd w:val="0"/>
      <w:ind w:left="709" w:hanging="709"/>
      <w:jc w:val="both"/>
      <w:textAlignment w:val="baseline"/>
    </w:pPr>
    <w:rPr>
      <w:noProof/>
      <w:sz w:val="24"/>
      <w:szCs w:val="20"/>
      <w:lang w:eastAsia="en-US"/>
    </w:rPr>
  </w:style>
  <w:style w:type="character" w:customStyle="1" w:styleId="BodyChar">
    <w:name w:val="Body Char"/>
    <w:link w:val="Body"/>
    <w:locked/>
    <w:rsid w:val="00F77563"/>
    <w:rPr>
      <w:rFonts w:ascii="Arial" w:hAnsi="Arial"/>
      <w:sz w:val="24"/>
      <w:szCs w:val="20"/>
    </w:rPr>
  </w:style>
  <w:style w:type="character" w:customStyle="1" w:styleId="Heading3Char1">
    <w:name w:val="Heading 3 Char1"/>
    <w:semiHidden/>
    <w:locked/>
    <w:rsid w:val="00F77563"/>
    <w:rPr>
      <w:rFonts w:ascii="Foundry Form Sans" w:hAnsi="Foundry Form Sans" w:cs="Arial"/>
      <w:bCs/>
      <w:sz w:val="24"/>
      <w:szCs w:val="26"/>
      <w:lang w:eastAsia="en-US"/>
    </w:rPr>
  </w:style>
  <w:style w:type="paragraph" w:styleId="EndnoteText">
    <w:name w:val="endnote text"/>
    <w:basedOn w:val="Normal"/>
    <w:link w:val="EndnoteTextChar"/>
    <w:semiHidden/>
    <w:unhideWhenUsed/>
    <w:rsid w:val="00EF19AD"/>
    <w:rPr>
      <w:sz w:val="20"/>
      <w:szCs w:val="20"/>
    </w:rPr>
  </w:style>
  <w:style w:type="character" w:customStyle="1" w:styleId="EndnoteTextChar">
    <w:name w:val="Endnote Text Char"/>
    <w:basedOn w:val="DefaultParagraphFont"/>
    <w:link w:val="EndnoteText"/>
    <w:semiHidden/>
    <w:rsid w:val="00EF19AD"/>
    <w:rPr>
      <w:sz w:val="20"/>
      <w:szCs w:val="20"/>
      <w:lang w:eastAsia="en-US"/>
    </w:rPr>
  </w:style>
  <w:style w:type="character" w:styleId="EndnoteReference">
    <w:name w:val="endnote reference"/>
    <w:basedOn w:val="DefaultParagraphFont"/>
    <w:semiHidden/>
    <w:unhideWhenUsed/>
    <w:rsid w:val="00EF1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938">
      <w:bodyDiv w:val="1"/>
      <w:marLeft w:val="0"/>
      <w:marRight w:val="0"/>
      <w:marTop w:val="0"/>
      <w:marBottom w:val="0"/>
      <w:divBdr>
        <w:top w:val="none" w:sz="0" w:space="0" w:color="auto"/>
        <w:left w:val="none" w:sz="0" w:space="0" w:color="auto"/>
        <w:bottom w:val="none" w:sz="0" w:space="0" w:color="auto"/>
        <w:right w:val="none" w:sz="0" w:space="0" w:color="auto"/>
      </w:divBdr>
    </w:div>
    <w:div w:id="160631426">
      <w:bodyDiv w:val="1"/>
      <w:marLeft w:val="0"/>
      <w:marRight w:val="0"/>
      <w:marTop w:val="0"/>
      <w:marBottom w:val="0"/>
      <w:divBdr>
        <w:top w:val="none" w:sz="0" w:space="0" w:color="auto"/>
        <w:left w:val="none" w:sz="0" w:space="0" w:color="auto"/>
        <w:bottom w:val="none" w:sz="0" w:space="0" w:color="auto"/>
        <w:right w:val="none" w:sz="0" w:space="0" w:color="auto"/>
      </w:divBdr>
      <w:divsChild>
        <w:div w:id="571739858">
          <w:marLeft w:val="0"/>
          <w:marRight w:val="0"/>
          <w:marTop w:val="0"/>
          <w:marBottom w:val="0"/>
          <w:divBdr>
            <w:top w:val="none" w:sz="0" w:space="0" w:color="auto"/>
            <w:left w:val="none" w:sz="0" w:space="0" w:color="auto"/>
            <w:bottom w:val="none" w:sz="0" w:space="0" w:color="auto"/>
            <w:right w:val="none" w:sz="0" w:space="0" w:color="auto"/>
          </w:divBdr>
          <w:divsChild>
            <w:div w:id="167673312">
              <w:marLeft w:val="0"/>
              <w:marRight w:val="0"/>
              <w:marTop w:val="0"/>
              <w:marBottom w:val="0"/>
              <w:divBdr>
                <w:top w:val="none" w:sz="0" w:space="0" w:color="auto"/>
                <w:left w:val="none" w:sz="0" w:space="0" w:color="auto"/>
                <w:bottom w:val="none" w:sz="0" w:space="0" w:color="auto"/>
                <w:right w:val="none" w:sz="0" w:space="0" w:color="auto"/>
              </w:divBdr>
              <w:divsChild>
                <w:div w:id="767893583">
                  <w:marLeft w:val="0"/>
                  <w:marRight w:val="0"/>
                  <w:marTop w:val="0"/>
                  <w:marBottom w:val="0"/>
                  <w:divBdr>
                    <w:top w:val="none" w:sz="0" w:space="0" w:color="auto"/>
                    <w:left w:val="none" w:sz="0" w:space="0" w:color="auto"/>
                    <w:bottom w:val="none" w:sz="0" w:space="0" w:color="auto"/>
                    <w:right w:val="none" w:sz="0" w:space="0" w:color="auto"/>
                  </w:divBdr>
                  <w:divsChild>
                    <w:div w:id="1674990425">
                      <w:marLeft w:val="0"/>
                      <w:marRight w:val="0"/>
                      <w:marTop w:val="0"/>
                      <w:marBottom w:val="0"/>
                      <w:divBdr>
                        <w:top w:val="none" w:sz="0" w:space="0" w:color="auto"/>
                        <w:left w:val="none" w:sz="0" w:space="0" w:color="auto"/>
                        <w:bottom w:val="none" w:sz="0" w:space="0" w:color="auto"/>
                        <w:right w:val="none" w:sz="0" w:space="0" w:color="auto"/>
                      </w:divBdr>
                      <w:divsChild>
                        <w:div w:id="279192599">
                          <w:marLeft w:val="0"/>
                          <w:marRight w:val="0"/>
                          <w:marTop w:val="0"/>
                          <w:marBottom w:val="0"/>
                          <w:divBdr>
                            <w:top w:val="none" w:sz="0" w:space="0" w:color="auto"/>
                            <w:left w:val="none" w:sz="0" w:space="0" w:color="auto"/>
                            <w:bottom w:val="none" w:sz="0" w:space="0" w:color="auto"/>
                            <w:right w:val="none" w:sz="0" w:space="0" w:color="auto"/>
                          </w:divBdr>
                          <w:divsChild>
                            <w:div w:id="633101282">
                              <w:marLeft w:val="0"/>
                              <w:marRight w:val="0"/>
                              <w:marTop w:val="0"/>
                              <w:marBottom w:val="0"/>
                              <w:divBdr>
                                <w:top w:val="none" w:sz="0" w:space="0" w:color="auto"/>
                                <w:left w:val="none" w:sz="0" w:space="0" w:color="auto"/>
                                <w:bottom w:val="none" w:sz="0" w:space="0" w:color="auto"/>
                                <w:right w:val="none" w:sz="0" w:space="0" w:color="auto"/>
                              </w:divBdr>
                              <w:divsChild>
                                <w:div w:id="7146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7114">
                          <w:marLeft w:val="0"/>
                          <w:marRight w:val="0"/>
                          <w:marTop w:val="300"/>
                          <w:marBottom w:val="300"/>
                          <w:divBdr>
                            <w:top w:val="none" w:sz="0" w:space="0" w:color="auto"/>
                            <w:left w:val="none" w:sz="0" w:space="0" w:color="auto"/>
                            <w:bottom w:val="none" w:sz="0" w:space="0" w:color="auto"/>
                            <w:right w:val="none" w:sz="0" w:space="0" w:color="auto"/>
                          </w:divBdr>
                          <w:divsChild>
                            <w:div w:id="1061905134">
                              <w:marLeft w:val="0"/>
                              <w:marRight w:val="0"/>
                              <w:marTop w:val="0"/>
                              <w:marBottom w:val="0"/>
                              <w:divBdr>
                                <w:top w:val="none" w:sz="0" w:space="0" w:color="auto"/>
                                <w:left w:val="none" w:sz="0" w:space="0" w:color="auto"/>
                                <w:bottom w:val="none" w:sz="0" w:space="0" w:color="auto"/>
                                <w:right w:val="none" w:sz="0" w:space="0" w:color="auto"/>
                              </w:divBdr>
                              <w:divsChild>
                                <w:div w:id="1003436201">
                                  <w:marLeft w:val="0"/>
                                  <w:marRight w:val="0"/>
                                  <w:marTop w:val="0"/>
                                  <w:marBottom w:val="0"/>
                                  <w:divBdr>
                                    <w:top w:val="none" w:sz="0" w:space="0" w:color="auto"/>
                                    <w:left w:val="none" w:sz="0" w:space="0" w:color="auto"/>
                                    <w:bottom w:val="none" w:sz="0" w:space="0" w:color="auto"/>
                                    <w:right w:val="none" w:sz="0" w:space="0" w:color="auto"/>
                                  </w:divBdr>
                                  <w:divsChild>
                                    <w:div w:id="1339885610">
                                      <w:marLeft w:val="0"/>
                                      <w:marRight w:val="0"/>
                                      <w:marTop w:val="0"/>
                                      <w:marBottom w:val="0"/>
                                      <w:divBdr>
                                        <w:top w:val="none" w:sz="0" w:space="0" w:color="auto"/>
                                        <w:left w:val="none" w:sz="0" w:space="0" w:color="auto"/>
                                        <w:bottom w:val="none" w:sz="0" w:space="0" w:color="auto"/>
                                        <w:right w:val="none" w:sz="0" w:space="0" w:color="auto"/>
                                      </w:divBdr>
                                      <w:divsChild>
                                        <w:div w:id="1580558182">
                                          <w:marLeft w:val="0"/>
                                          <w:marRight w:val="0"/>
                                          <w:marTop w:val="0"/>
                                          <w:marBottom w:val="0"/>
                                          <w:divBdr>
                                            <w:top w:val="none" w:sz="0" w:space="0" w:color="auto"/>
                                            <w:left w:val="none" w:sz="0" w:space="0" w:color="auto"/>
                                            <w:bottom w:val="none" w:sz="0" w:space="0" w:color="auto"/>
                                            <w:right w:val="none" w:sz="0" w:space="0" w:color="auto"/>
                                          </w:divBdr>
                                          <w:divsChild>
                                            <w:div w:id="286203652">
                                              <w:marLeft w:val="0"/>
                                              <w:marRight w:val="0"/>
                                              <w:marTop w:val="0"/>
                                              <w:marBottom w:val="0"/>
                                              <w:divBdr>
                                                <w:top w:val="none" w:sz="0" w:space="0" w:color="auto"/>
                                                <w:left w:val="none" w:sz="0" w:space="0" w:color="auto"/>
                                                <w:bottom w:val="none" w:sz="0" w:space="0" w:color="auto"/>
                                                <w:right w:val="none" w:sz="0" w:space="0" w:color="auto"/>
                                              </w:divBdr>
                                              <w:divsChild>
                                                <w:div w:id="987056771">
                                                  <w:marLeft w:val="0"/>
                                                  <w:marRight w:val="0"/>
                                                  <w:marTop w:val="0"/>
                                                  <w:marBottom w:val="0"/>
                                                  <w:divBdr>
                                                    <w:top w:val="none" w:sz="0" w:space="0" w:color="auto"/>
                                                    <w:left w:val="none" w:sz="0" w:space="0" w:color="auto"/>
                                                    <w:bottom w:val="none" w:sz="0" w:space="0" w:color="auto"/>
                                                    <w:right w:val="none" w:sz="0" w:space="0" w:color="auto"/>
                                                  </w:divBdr>
                                                  <w:divsChild>
                                                    <w:div w:id="614334631">
                                                      <w:marLeft w:val="0"/>
                                                      <w:marRight w:val="0"/>
                                                      <w:marTop w:val="0"/>
                                                      <w:marBottom w:val="0"/>
                                                      <w:divBdr>
                                                        <w:top w:val="none" w:sz="0" w:space="0" w:color="auto"/>
                                                        <w:left w:val="none" w:sz="0" w:space="0" w:color="auto"/>
                                                        <w:bottom w:val="none" w:sz="0" w:space="0" w:color="auto"/>
                                                        <w:right w:val="none" w:sz="0" w:space="0" w:color="auto"/>
                                                      </w:divBdr>
                                                      <w:divsChild>
                                                        <w:div w:id="296379487">
                                                          <w:marLeft w:val="0"/>
                                                          <w:marRight w:val="0"/>
                                                          <w:marTop w:val="0"/>
                                                          <w:marBottom w:val="0"/>
                                                          <w:divBdr>
                                                            <w:top w:val="none" w:sz="0" w:space="0" w:color="auto"/>
                                                            <w:left w:val="none" w:sz="0" w:space="0" w:color="auto"/>
                                                            <w:bottom w:val="none" w:sz="0" w:space="0" w:color="auto"/>
                                                            <w:right w:val="none" w:sz="0" w:space="0" w:color="auto"/>
                                                          </w:divBdr>
                                                        </w:div>
                                                      </w:divsChild>
                                                    </w:div>
                                                    <w:div w:id="200099646">
                                                      <w:marLeft w:val="0"/>
                                                      <w:marRight w:val="0"/>
                                                      <w:marTop w:val="0"/>
                                                      <w:marBottom w:val="0"/>
                                                      <w:divBdr>
                                                        <w:top w:val="none" w:sz="0" w:space="0" w:color="auto"/>
                                                        <w:left w:val="none" w:sz="0" w:space="0" w:color="auto"/>
                                                        <w:bottom w:val="none" w:sz="0" w:space="0" w:color="auto"/>
                                                        <w:right w:val="none" w:sz="0" w:space="0" w:color="auto"/>
                                                      </w:divBdr>
                                                      <w:divsChild>
                                                        <w:div w:id="287784331">
                                                          <w:marLeft w:val="0"/>
                                                          <w:marRight w:val="0"/>
                                                          <w:marTop w:val="0"/>
                                                          <w:marBottom w:val="0"/>
                                                          <w:divBdr>
                                                            <w:top w:val="none" w:sz="0" w:space="0" w:color="auto"/>
                                                            <w:left w:val="none" w:sz="0" w:space="0" w:color="auto"/>
                                                            <w:bottom w:val="none" w:sz="0" w:space="0" w:color="auto"/>
                                                            <w:right w:val="none" w:sz="0" w:space="0" w:color="auto"/>
                                                          </w:divBdr>
                                                          <w:divsChild>
                                                            <w:div w:id="27853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5811435">
      <w:bodyDiv w:val="1"/>
      <w:marLeft w:val="0"/>
      <w:marRight w:val="0"/>
      <w:marTop w:val="0"/>
      <w:marBottom w:val="0"/>
      <w:divBdr>
        <w:top w:val="none" w:sz="0" w:space="0" w:color="auto"/>
        <w:left w:val="none" w:sz="0" w:space="0" w:color="auto"/>
        <w:bottom w:val="none" w:sz="0" w:space="0" w:color="auto"/>
        <w:right w:val="none" w:sz="0" w:space="0" w:color="auto"/>
      </w:divBdr>
    </w:div>
    <w:div w:id="394009095">
      <w:bodyDiv w:val="1"/>
      <w:marLeft w:val="0"/>
      <w:marRight w:val="0"/>
      <w:marTop w:val="0"/>
      <w:marBottom w:val="0"/>
      <w:divBdr>
        <w:top w:val="none" w:sz="0" w:space="0" w:color="auto"/>
        <w:left w:val="none" w:sz="0" w:space="0" w:color="auto"/>
        <w:bottom w:val="none" w:sz="0" w:space="0" w:color="auto"/>
        <w:right w:val="none" w:sz="0" w:space="0" w:color="auto"/>
      </w:divBdr>
    </w:div>
    <w:div w:id="427195689">
      <w:bodyDiv w:val="1"/>
      <w:marLeft w:val="0"/>
      <w:marRight w:val="0"/>
      <w:marTop w:val="0"/>
      <w:marBottom w:val="0"/>
      <w:divBdr>
        <w:top w:val="none" w:sz="0" w:space="0" w:color="auto"/>
        <w:left w:val="none" w:sz="0" w:space="0" w:color="auto"/>
        <w:bottom w:val="none" w:sz="0" w:space="0" w:color="auto"/>
        <w:right w:val="none" w:sz="0" w:space="0" w:color="auto"/>
      </w:divBdr>
    </w:div>
    <w:div w:id="453139249">
      <w:bodyDiv w:val="1"/>
      <w:marLeft w:val="0"/>
      <w:marRight w:val="0"/>
      <w:marTop w:val="0"/>
      <w:marBottom w:val="0"/>
      <w:divBdr>
        <w:top w:val="none" w:sz="0" w:space="0" w:color="auto"/>
        <w:left w:val="none" w:sz="0" w:space="0" w:color="auto"/>
        <w:bottom w:val="none" w:sz="0" w:space="0" w:color="auto"/>
        <w:right w:val="none" w:sz="0" w:space="0" w:color="auto"/>
      </w:divBdr>
    </w:div>
    <w:div w:id="704867287">
      <w:bodyDiv w:val="1"/>
      <w:marLeft w:val="0"/>
      <w:marRight w:val="0"/>
      <w:marTop w:val="0"/>
      <w:marBottom w:val="0"/>
      <w:divBdr>
        <w:top w:val="none" w:sz="0" w:space="0" w:color="auto"/>
        <w:left w:val="none" w:sz="0" w:space="0" w:color="auto"/>
        <w:bottom w:val="none" w:sz="0" w:space="0" w:color="auto"/>
        <w:right w:val="none" w:sz="0" w:space="0" w:color="auto"/>
      </w:divBdr>
    </w:div>
    <w:div w:id="772744805">
      <w:bodyDiv w:val="1"/>
      <w:marLeft w:val="0"/>
      <w:marRight w:val="0"/>
      <w:marTop w:val="0"/>
      <w:marBottom w:val="0"/>
      <w:divBdr>
        <w:top w:val="none" w:sz="0" w:space="0" w:color="auto"/>
        <w:left w:val="none" w:sz="0" w:space="0" w:color="auto"/>
        <w:bottom w:val="none" w:sz="0" w:space="0" w:color="auto"/>
        <w:right w:val="none" w:sz="0" w:space="0" w:color="auto"/>
      </w:divBdr>
    </w:div>
    <w:div w:id="1042707025">
      <w:bodyDiv w:val="1"/>
      <w:marLeft w:val="0"/>
      <w:marRight w:val="0"/>
      <w:marTop w:val="0"/>
      <w:marBottom w:val="0"/>
      <w:divBdr>
        <w:top w:val="none" w:sz="0" w:space="0" w:color="auto"/>
        <w:left w:val="none" w:sz="0" w:space="0" w:color="auto"/>
        <w:bottom w:val="none" w:sz="0" w:space="0" w:color="auto"/>
        <w:right w:val="none" w:sz="0" w:space="0" w:color="auto"/>
      </w:divBdr>
    </w:div>
    <w:div w:id="1121417333">
      <w:bodyDiv w:val="1"/>
      <w:marLeft w:val="0"/>
      <w:marRight w:val="0"/>
      <w:marTop w:val="0"/>
      <w:marBottom w:val="0"/>
      <w:divBdr>
        <w:top w:val="none" w:sz="0" w:space="0" w:color="auto"/>
        <w:left w:val="none" w:sz="0" w:space="0" w:color="auto"/>
        <w:bottom w:val="none" w:sz="0" w:space="0" w:color="auto"/>
        <w:right w:val="none" w:sz="0" w:space="0" w:color="auto"/>
      </w:divBdr>
    </w:div>
    <w:div w:id="1184323552">
      <w:bodyDiv w:val="1"/>
      <w:marLeft w:val="0"/>
      <w:marRight w:val="0"/>
      <w:marTop w:val="0"/>
      <w:marBottom w:val="0"/>
      <w:divBdr>
        <w:top w:val="none" w:sz="0" w:space="0" w:color="auto"/>
        <w:left w:val="none" w:sz="0" w:space="0" w:color="auto"/>
        <w:bottom w:val="none" w:sz="0" w:space="0" w:color="auto"/>
        <w:right w:val="none" w:sz="0" w:space="0" w:color="auto"/>
      </w:divBdr>
    </w:div>
    <w:div w:id="1431730987">
      <w:marLeft w:val="0"/>
      <w:marRight w:val="0"/>
      <w:marTop w:val="0"/>
      <w:marBottom w:val="0"/>
      <w:divBdr>
        <w:top w:val="none" w:sz="0" w:space="0" w:color="auto"/>
        <w:left w:val="none" w:sz="0" w:space="0" w:color="auto"/>
        <w:bottom w:val="none" w:sz="0" w:space="0" w:color="auto"/>
        <w:right w:val="none" w:sz="0" w:space="0" w:color="auto"/>
      </w:divBdr>
    </w:div>
    <w:div w:id="1431730992">
      <w:marLeft w:val="0"/>
      <w:marRight w:val="0"/>
      <w:marTop w:val="0"/>
      <w:marBottom w:val="0"/>
      <w:divBdr>
        <w:top w:val="none" w:sz="0" w:space="0" w:color="auto"/>
        <w:left w:val="none" w:sz="0" w:space="0" w:color="auto"/>
        <w:bottom w:val="none" w:sz="0" w:space="0" w:color="auto"/>
        <w:right w:val="none" w:sz="0" w:space="0" w:color="auto"/>
      </w:divBdr>
      <w:divsChild>
        <w:div w:id="1431730990">
          <w:marLeft w:val="0"/>
          <w:marRight w:val="0"/>
          <w:marTop w:val="0"/>
          <w:marBottom w:val="0"/>
          <w:divBdr>
            <w:top w:val="none" w:sz="0" w:space="0" w:color="auto"/>
            <w:left w:val="none" w:sz="0" w:space="0" w:color="auto"/>
            <w:bottom w:val="none" w:sz="0" w:space="0" w:color="auto"/>
            <w:right w:val="none" w:sz="0" w:space="0" w:color="auto"/>
          </w:divBdr>
          <w:divsChild>
            <w:div w:id="1431730989">
              <w:marLeft w:val="0"/>
              <w:marRight w:val="0"/>
              <w:marTop w:val="0"/>
              <w:marBottom w:val="0"/>
              <w:divBdr>
                <w:top w:val="none" w:sz="0" w:space="0" w:color="auto"/>
                <w:left w:val="none" w:sz="0" w:space="0" w:color="auto"/>
                <w:bottom w:val="none" w:sz="0" w:space="0" w:color="auto"/>
                <w:right w:val="none" w:sz="0" w:space="0" w:color="auto"/>
              </w:divBdr>
              <w:divsChild>
                <w:div w:id="1431730988">
                  <w:marLeft w:val="0"/>
                  <w:marRight w:val="0"/>
                  <w:marTop w:val="0"/>
                  <w:marBottom w:val="0"/>
                  <w:divBdr>
                    <w:top w:val="none" w:sz="0" w:space="0" w:color="auto"/>
                    <w:left w:val="none" w:sz="0" w:space="0" w:color="auto"/>
                    <w:bottom w:val="none" w:sz="0" w:space="0" w:color="auto"/>
                    <w:right w:val="none" w:sz="0" w:space="0" w:color="auto"/>
                  </w:divBdr>
                  <w:divsChild>
                    <w:div w:id="1431730991">
                      <w:marLeft w:val="0"/>
                      <w:marRight w:val="0"/>
                      <w:marTop w:val="0"/>
                      <w:marBottom w:val="0"/>
                      <w:divBdr>
                        <w:top w:val="none" w:sz="0" w:space="0" w:color="auto"/>
                        <w:left w:val="none" w:sz="0" w:space="0" w:color="auto"/>
                        <w:bottom w:val="none" w:sz="0" w:space="0" w:color="auto"/>
                        <w:right w:val="none" w:sz="0" w:space="0" w:color="auto"/>
                      </w:divBdr>
                      <w:divsChild>
                        <w:div w:id="1431730998">
                          <w:marLeft w:val="0"/>
                          <w:marRight w:val="0"/>
                          <w:marTop w:val="0"/>
                          <w:marBottom w:val="0"/>
                          <w:divBdr>
                            <w:top w:val="none" w:sz="0" w:space="0" w:color="auto"/>
                            <w:left w:val="none" w:sz="0" w:space="0" w:color="auto"/>
                            <w:bottom w:val="single" w:sz="6" w:space="15" w:color="CCCCCC"/>
                            <w:right w:val="none" w:sz="0" w:space="0" w:color="auto"/>
                          </w:divBdr>
                          <w:divsChild>
                            <w:div w:id="1431730994">
                              <w:marLeft w:val="0"/>
                              <w:marRight w:val="0"/>
                              <w:marTop w:val="0"/>
                              <w:marBottom w:val="0"/>
                              <w:divBdr>
                                <w:top w:val="none" w:sz="0" w:space="0" w:color="auto"/>
                                <w:left w:val="none" w:sz="0" w:space="0" w:color="auto"/>
                                <w:bottom w:val="none" w:sz="0" w:space="0" w:color="auto"/>
                                <w:right w:val="none" w:sz="0" w:space="0" w:color="auto"/>
                              </w:divBdr>
                              <w:divsChild>
                                <w:div w:id="1431730999">
                                  <w:marLeft w:val="0"/>
                                  <w:marRight w:val="0"/>
                                  <w:marTop w:val="0"/>
                                  <w:marBottom w:val="0"/>
                                  <w:divBdr>
                                    <w:top w:val="none" w:sz="0" w:space="0" w:color="auto"/>
                                    <w:left w:val="none" w:sz="0" w:space="0" w:color="auto"/>
                                    <w:bottom w:val="none" w:sz="0" w:space="0" w:color="auto"/>
                                    <w:right w:val="none" w:sz="0" w:space="0" w:color="auto"/>
                                  </w:divBdr>
                                  <w:divsChild>
                                    <w:div w:id="1431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730995">
      <w:marLeft w:val="0"/>
      <w:marRight w:val="0"/>
      <w:marTop w:val="0"/>
      <w:marBottom w:val="0"/>
      <w:divBdr>
        <w:top w:val="none" w:sz="0" w:space="0" w:color="auto"/>
        <w:left w:val="none" w:sz="0" w:space="0" w:color="auto"/>
        <w:bottom w:val="none" w:sz="0" w:space="0" w:color="auto"/>
        <w:right w:val="none" w:sz="0" w:space="0" w:color="auto"/>
      </w:divBdr>
    </w:div>
    <w:div w:id="1431730996">
      <w:marLeft w:val="0"/>
      <w:marRight w:val="0"/>
      <w:marTop w:val="0"/>
      <w:marBottom w:val="0"/>
      <w:divBdr>
        <w:top w:val="none" w:sz="0" w:space="0" w:color="auto"/>
        <w:left w:val="none" w:sz="0" w:space="0" w:color="auto"/>
        <w:bottom w:val="none" w:sz="0" w:space="0" w:color="auto"/>
        <w:right w:val="none" w:sz="0" w:space="0" w:color="auto"/>
      </w:divBdr>
    </w:div>
    <w:div w:id="1431730997">
      <w:marLeft w:val="0"/>
      <w:marRight w:val="0"/>
      <w:marTop w:val="0"/>
      <w:marBottom w:val="0"/>
      <w:divBdr>
        <w:top w:val="none" w:sz="0" w:space="0" w:color="auto"/>
        <w:left w:val="none" w:sz="0" w:space="0" w:color="auto"/>
        <w:bottom w:val="none" w:sz="0" w:space="0" w:color="auto"/>
        <w:right w:val="none" w:sz="0" w:space="0" w:color="auto"/>
      </w:divBdr>
    </w:div>
    <w:div w:id="1431731000">
      <w:marLeft w:val="0"/>
      <w:marRight w:val="0"/>
      <w:marTop w:val="0"/>
      <w:marBottom w:val="0"/>
      <w:divBdr>
        <w:top w:val="none" w:sz="0" w:space="0" w:color="auto"/>
        <w:left w:val="none" w:sz="0" w:space="0" w:color="auto"/>
        <w:bottom w:val="none" w:sz="0" w:space="0" w:color="auto"/>
        <w:right w:val="none" w:sz="0" w:space="0" w:color="auto"/>
      </w:divBdr>
    </w:div>
    <w:div w:id="1431731001">
      <w:marLeft w:val="0"/>
      <w:marRight w:val="0"/>
      <w:marTop w:val="0"/>
      <w:marBottom w:val="0"/>
      <w:divBdr>
        <w:top w:val="none" w:sz="0" w:space="0" w:color="auto"/>
        <w:left w:val="none" w:sz="0" w:space="0" w:color="auto"/>
        <w:bottom w:val="none" w:sz="0" w:space="0" w:color="auto"/>
        <w:right w:val="none" w:sz="0" w:space="0" w:color="auto"/>
      </w:divBdr>
    </w:div>
    <w:div w:id="1431731002">
      <w:marLeft w:val="0"/>
      <w:marRight w:val="0"/>
      <w:marTop w:val="0"/>
      <w:marBottom w:val="0"/>
      <w:divBdr>
        <w:top w:val="none" w:sz="0" w:space="0" w:color="auto"/>
        <w:left w:val="none" w:sz="0" w:space="0" w:color="auto"/>
        <w:bottom w:val="none" w:sz="0" w:space="0" w:color="auto"/>
        <w:right w:val="none" w:sz="0" w:space="0" w:color="auto"/>
      </w:divBdr>
    </w:div>
    <w:div w:id="1431731003">
      <w:marLeft w:val="0"/>
      <w:marRight w:val="0"/>
      <w:marTop w:val="0"/>
      <w:marBottom w:val="0"/>
      <w:divBdr>
        <w:top w:val="none" w:sz="0" w:space="0" w:color="auto"/>
        <w:left w:val="none" w:sz="0" w:space="0" w:color="auto"/>
        <w:bottom w:val="none" w:sz="0" w:space="0" w:color="auto"/>
        <w:right w:val="none" w:sz="0" w:space="0" w:color="auto"/>
      </w:divBdr>
    </w:div>
    <w:div w:id="1431731004">
      <w:marLeft w:val="0"/>
      <w:marRight w:val="0"/>
      <w:marTop w:val="0"/>
      <w:marBottom w:val="0"/>
      <w:divBdr>
        <w:top w:val="none" w:sz="0" w:space="0" w:color="auto"/>
        <w:left w:val="none" w:sz="0" w:space="0" w:color="auto"/>
        <w:bottom w:val="none" w:sz="0" w:space="0" w:color="auto"/>
        <w:right w:val="none" w:sz="0" w:space="0" w:color="auto"/>
      </w:divBdr>
    </w:div>
    <w:div w:id="1431731005">
      <w:marLeft w:val="0"/>
      <w:marRight w:val="0"/>
      <w:marTop w:val="0"/>
      <w:marBottom w:val="0"/>
      <w:divBdr>
        <w:top w:val="none" w:sz="0" w:space="0" w:color="auto"/>
        <w:left w:val="none" w:sz="0" w:space="0" w:color="auto"/>
        <w:bottom w:val="none" w:sz="0" w:space="0" w:color="auto"/>
        <w:right w:val="none" w:sz="0" w:space="0" w:color="auto"/>
      </w:divBdr>
    </w:div>
    <w:div w:id="1431731006">
      <w:marLeft w:val="0"/>
      <w:marRight w:val="0"/>
      <w:marTop w:val="0"/>
      <w:marBottom w:val="0"/>
      <w:divBdr>
        <w:top w:val="none" w:sz="0" w:space="0" w:color="auto"/>
        <w:left w:val="none" w:sz="0" w:space="0" w:color="auto"/>
        <w:bottom w:val="none" w:sz="0" w:space="0" w:color="auto"/>
        <w:right w:val="none" w:sz="0" w:space="0" w:color="auto"/>
      </w:divBdr>
    </w:div>
    <w:div w:id="1572234611">
      <w:bodyDiv w:val="1"/>
      <w:marLeft w:val="0"/>
      <w:marRight w:val="0"/>
      <w:marTop w:val="0"/>
      <w:marBottom w:val="0"/>
      <w:divBdr>
        <w:top w:val="none" w:sz="0" w:space="0" w:color="auto"/>
        <w:left w:val="none" w:sz="0" w:space="0" w:color="auto"/>
        <w:bottom w:val="none" w:sz="0" w:space="0" w:color="auto"/>
        <w:right w:val="none" w:sz="0" w:space="0" w:color="auto"/>
      </w:divBdr>
    </w:div>
    <w:div w:id="1606689168">
      <w:bodyDiv w:val="1"/>
      <w:marLeft w:val="0"/>
      <w:marRight w:val="0"/>
      <w:marTop w:val="0"/>
      <w:marBottom w:val="0"/>
      <w:divBdr>
        <w:top w:val="none" w:sz="0" w:space="0" w:color="auto"/>
        <w:left w:val="none" w:sz="0" w:space="0" w:color="auto"/>
        <w:bottom w:val="none" w:sz="0" w:space="0" w:color="auto"/>
        <w:right w:val="none" w:sz="0" w:space="0" w:color="auto"/>
      </w:divBdr>
    </w:div>
    <w:div w:id="1658916811">
      <w:bodyDiv w:val="1"/>
      <w:marLeft w:val="0"/>
      <w:marRight w:val="0"/>
      <w:marTop w:val="0"/>
      <w:marBottom w:val="0"/>
      <w:divBdr>
        <w:top w:val="none" w:sz="0" w:space="0" w:color="auto"/>
        <w:left w:val="none" w:sz="0" w:space="0" w:color="auto"/>
        <w:bottom w:val="none" w:sz="0" w:space="0" w:color="auto"/>
        <w:right w:val="none" w:sz="0" w:space="0" w:color="auto"/>
      </w:divBdr>
      <w:divsChild>
        <w:div w:id="445581609">
          <w:marLeft w:val="0"/>
          <w:marRight w:val="0"/>
          <w:marTop w:val="0"/>
          <w:marBottom w:val="0"/>
          <w:divBdr>
            <w:top w:val="none" w:sz="0" w:space="0" w:color="auto"/>
            <w:left w:val="none" w:sz="0" w:space="0" w:color="auto"/>
            <w:bottom w:val="none" w:sz="0" w:space="0" w:color="auto"/>
            <w:right w:val="none" w:sz="0" w:space="0" w:color="auto"/>
          </w:divBdr>
          <w:divsChild>
            <w:div w:id="937717378">
              <w:marLeft w:val="0"/>
              <w:marRight w:val="0"/>
              <w:marTop w:val="0"/>
              <w:marBottom w:val="0"/>
              <w:divBdr>
                <w:top w:val="none" w:sz="0" w:space="0" w:color="auto"/>
                <w:left w:val="none" w:sz="0" w:space="0" w:color="auto"/>
                <w:bottom w:val="none" w:sz="0" w:space="0" w:color="auto"/>
                <w:right w:val="none" w:sz="0" w:space="0" w:color="auto"/>
              </w:divBdr>
              <w:divsChild>
                <w:div w:id="559442823">
                  <w:marLeft w:val="0"/>
                  <w:marRight w:val="0"/>
                  <w:marTop w:val="0"/>
                  <w:marBottom w:val="0"/>
                  <w:divBdr>
                    <w:top w:val="none" w:sz="0" w:space="0" w:color="auto"/>
                    <w:left w:val="none" w:sz="0" w:space="0" w:color="auto"/>
                    <w:bottom w:val="none" w:sz="0" w:space="0" w:color="auto"/>
                    <w:right w:val="none" w:sz="0" w:space="0" w:color="auto"/>
                  </w:divBdr>
                  <w:divsChild>
                    <w:div w:id="633871463">
                      <w:marLeft w:val="0"/>
                      <w:marRight w:val="0"/>
                      <w:marTop w:val="0"/>
                      <w:marBottom w:val="0"/>
                      <w:divBdr>
                        <w:top w:val="none" w:sz="0" w:space="0" w:color="auto"/>
                        <w:left w:val="none" w:sz="0" w:space="0" w:color="auto"/>
                        <w:bottom w:val="none" w:sz="0" w:space="0" w:color="auto"/>
                        <w:right w:val="none" w:sz="0" w:space="0" w:color="auto"/>
                      </w:divBdr>
                      <w:divsChild>
                        <w:div w:id="1208951534">
                          <w:marLeft w:val="0"/>
                          <w:marRight w:val="0"/>
                          <w:marTop w:val="0"/>
                          <w:marBottom w:val="0"/>
                          <w:divBdr>
                            <w:top w:val="none" w:sz="0" w:space="0" w:color="auto"/>
                            <w:left w:val="none" w:sz="0" w:space="0" w:color="auto"/>
                            <w:bottom w:val="none" w:sz="0" w:space="0" w:color="auto"/>
                            <w:right w:val="none" w:sz="0" w:space="0" w:color="auto"/>
                          </w:divBdr>
                          <w:divsChild>
                            <w:div w:id="126046145">
                              <w:marLeft w:val="0"/>
                              <w:marRight w:val="0"/>
                              <w:marTop w:val="0"/>
                              <w:marBottom w:val="0"/>
                              <w:divBdr>
                                <w:top w:val="none" w:sz="0" w:space="0" w:color="auto"/>
                                <w:left w:val="none" w:sz="0" w:space="0" w:color="auto"/>
                                <w:bottom w:val="none" w:sz="0" w:space="0" w:color="auto"/>
                                <w:right w:val="none" w:sz="0" w:space="0" w:color="auto"/>
                              </w:divBdr>
                              <w:divsChild>
                                <w:div w:id="14797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107957">
      <w:bodyDiv w:val="1"/>
      <w:marLeft w:val="0"/>
      <w:marRight w:val="0"/>
      <w:marTop w:val="0"/>
      <w:marBottom w:val="0"/>
      <w:divBdr>
        <w:top w:val="none" w:sz="0" w:space="0" w:color="auto"/>
        <w:left w:val="none" w:sz="0" w:space="0" w:color="auto"/>
        <w:bottom w:val="none" w:sz="0" w:space="0" w:color="auto"/>
        <w:right w:val="none" w:sz="0" w:space="0" w:color="auto"/>
      </w:divBdr>
    </w:div>
    <w:div w:id="1704553071">
      <w:bodyDiv w:val="1"/>
      <w:marLeft w:val="0"/>
      <w:marRight w:val="0"/>
      <w:marTop w:val="0"/>
      <w:marBottom w:val="0"/>
      <w:divBdr>
        <w:top w:val="none" w:sz="0" w:space="0" w:color="auto"/>
        <w:left w:val="none" w:sz="0" w:space="0" w:color="auto"/>
        <w:bottom w:val="none" w:sz="0" w:space="0" w:color="auto"/>
        <w:right w:val="none" w:sz="0" w:space="0" w:color="auto"/>
      </w:divBdr>
    </w:div>
    <w:div w:id="1822692056">
      <w:bodyDiv w:val="1"/>
      <w:marLeft w:val="0"/>
      <w:marRight w:val="0"/>
      <w:marTop w:val="0"/>
      <w:marBottom w:val="0"/>
      <w:divBdr>
        <w:top w:val="none" w:sz="0" w:space="0" w:color="auto"/>
        <w:left w:val="none" w:sz="0" w:space="0" w:color="auto"/>
        <w:bottom w:val="none" w:sz="0" w:space="0" w:color="auto"/>
        <w:right w:val="none" w:sz="0" w:space="0" w:color="auto"/>
      </w:divBdr>
    </w:div>
    <w:div w:id="1831828345">
      <w:bodyDiv w:val="1"/>
      <w:marLeft w:val="0"/>
      <w:marRight w:val="0"/>
      <w:marTop w:val="0"/>
      <w:marBottom w:val="0"/>
      <w:divBdr>
        <w:top w:val="none" w:sz="0" w:space="0" w:color="auto"/>
        <w:left w:val="none" w:sz="0" w:space="0" w:color="auto"/>
        <w:bottom w:val="none" w:sz="0" w:space="0" w:color="auto"/>
        <w:right w:val="none" w:sz="0" w:space="0" w:color="auto"/>
      </w:divBdr>
      <w:divsChild>
        <w:div w:id="1764954880">
          <w:marLeft w:val="0"/>
          <w:marRight w:val="0"/>
          <w:marTop w:val="0"/>
          <w:marBottom w:val="0"/>
          <w:divBdr>
            <w:top w:val="none" w:sz="0" w:space="0" w:color="auto"/>
            <w:left w:val="none" w:sz="0" w:space="0" w:color="auto"/>
            <w:bottom w:val="none" w:sz="0" w:space="0" w:color="auto"/>
            <w:right w:val="none" w:sz="0" w:space="0" w:color="auto"/>
          </w:divBdr>
          <w:divsChild>
            <w:div w:id="1411269559">
              <w:marLeft w:val="0"/>
              <w:marRight w:val="0"/>
              <w:marTop w:val="0"/>
              <w:marBottom w:val="0"/>
              <w:divBdr>
                <w:top w:val="none" w:sz="0" w:space="0" w:color="auto"/>
                <w:left w:val="none" w:sz="0" w:space="0" w:color="auto"/>
                <w:bottom w:val="none" w:sz="0" w:space="0" w:color="auto"/>
                <w:right w:val="none" w:sz="0" w:space="0" w:color="auto"/>
              </w:divBdr>
              <w:divsChild>
                <w:div w:id="1323580556">
                  <w:marLeft w:val="0"/>
                  <w:marRight w:val="0"/>
                  <w:marTop w:val="0"/>
                  <w:marBottom w:val="0"/>
                  <w:divBdr>
                    <w:top w:val="none" w:sz="0" w:space="0" w:color="auto"/>
                    <w:left w:val="none" w:sz="0" w:space="0" w:color="auto"/>
                    <w:bottom w:val="none" w:sz="0" w:space="0" w:color="auto"/>
                    <w:right w:val="none" w:sz="0" w:space="0" w:color="auto"/>
                  </w:divBdr>
                  <w:divsChild>
                    <w:div w:id="1925872003">
                      <w:marLeft w:val="0"/>
                      <w:marRight w:val="0"/>
                      <w:marTop w:val="0"/>
                      <w:marBottom w:val="0"/>
                      <w:divBdr>
                        <w:top w:val="none" w:sz="0" w:space="0" w:color="auto"/>
                        <w:left w:val="none" w:sz="0" w:space="0" w:color="auto"/>
                        <w:bottom w:val="none" w:sz="0" w:space="0" w:color="auto"/>
                        <w:right w:val="none" w:sz="0" w:space="0" w:color="auto"/>
                      </w:divBdr>
                      <w:divsChild>
                        <w:div w:id="592787846">
                          <w:marLeft w:val="0"/>
                          <w:marRight w:val="0"/>
                          <w:marTop w:val="300"/>
                          <w:marBottom w:val="300"/>
                          <w:divBdr>
                            <w:top w:val="none" w:sz="0" w:space="0" w:color="auto"/>
                            <w:left w:val="none" w:sz="0" w:space="0" w:color="auto"/>
                            <w:bottom w:val="none" w:sz="0" w:space="0" w:color="auto"/>
                            <w:right w:val="none" w:sz="0" w:space="0" w:color="auto"/>
                          </w:divBdr>
                          <w:divsChild>
                            <w:div w:id="507060304">
                              <w:marLeft w:val="0"/>
                              <w:marRight w:val="0"/>
                              <w:marTop w:val="0"/>
                              <w:marBottom w:val="0"/>
                              <w:divBdr>
                                <w:top w:val="none" w:sz="0" w:space="0" w:color="auto"/>
                                <w:left w:val="none" w:sz="0" w:space="0" w:color="auto"/>
                                <w:bottom w:val="none" w:sz="0" w:space="0" w:color="auto"/>
                                <w:right w:val="none" w:sz="0" w:space="0" w:color="auto"/>
                              </w:divBdr>
                              <w:divsChild>
                                <w:div w:id="1278875053">
                                  <w:marLeft w:val="0"/>
                                  <w:marRight w:val="0"/>
                                  <w:marTop w:val="0"/>
                                  <w:marBottom w:val="0"/>
                                  <w:divBdr>
                                    <w:top w:val="none" w:sz="0" w:space="0" w:color="auto"/>
                                    <w:left w:val="none" w:sz="0" w:space="0" w:color="auto"/>
                                    <w:bottom w:val="none" w:sz="0" w:space="0" w:color="auto"/>
                                    <w:right w:val="none" w:sz="0" w:space="0" w:color="auto"/>
                                  </w:divBdr>
                                  <w:divsChild>
                                    <w:div w:id="1502356081">
                                      <w:marLeft w:val="0"/>
                                      <w:marRight w:val="0"/>
                                      <w:marTop w:val="0"/>
                                      <w:marBottom w:val="0"/>
                                      <w:divBdr>
                                        <w:top w:val="none" w:sz="0" w:space="0" w:color="auto"/>
                                        <w:left w:val="none" w:sz="0" w:space="0" w:color="auto"/>
                                        <w:bottom w:val="none" w:sz="0" w:space="0" w:color="auto"/>
                                        <w:right w:val="none" w:sz="0" w:space="0" w:color="auto"/>
                                      </w:divBdr>
                                      <w:divsChild>
                                        <w:div w:id="705064206">
                                          <w:marLeft w:val="0"/>
                                          <w:marRight w:val="0"/>
                                          <w:marTop w:val="0"/>
                                          <w:marBottom w:val="0"/>
                                          <w:divBdr>
                                            <w:top w:val="none" w:sz="0" w:space="0" w:color="auto"/>
                                            <w:left w:val="none" w:sz="0" w:space="0" w:color="auto"/>
                                            <w:bottom w:val="none" w:sz="0" w:space="0" w:color="auto"/>
                                            <w:right w:val="none" w:sz="0" w:space="0" w:color="auto"/>
                                          </w:divBdr>
                                          <w:divsChild>
                                            <w:div w:id="890575568">
                                              <w:marLeft w:val="0"/>
                                              <w:marRight w:val="0"/>
                                              <w:marTop w:val="0"/>
                                              <w:marBottom w:val="0"/>
                                              <w:divBdr>
                                                <w:top w:val="none" w:sz="0" w:space="0" w:color="auto"/>
                                                <w:left w:val="none" w:sz="0" w:space="0" w:color="auto"/>
                                                <w:bottom w:val="none" w:sz="0" w:space="0" w:color="auto"/>
                                                <w:right w:val="none" w:sz="0" w:space="0" w:color="auto"/>
                                              </w:divBdr>
                                              <w:divsChild>
                                                <w:div w:id="347147566">
                                                  <w:marLeft w:val="0"/>
                                                  <w:marRight w:val="0"/>
                                                  <w:marTop w:val="0"/>
                                                  <w:marBottom w:val="0"/>
                                                  <w:divBdr>
                                                    <w:top w:val="none" w:sz="0" w:space="0" w:color="auto"/>
                                                    <w:left w:val="none" w:sz="0" w:space="0" w:color="auto"/>
                                                    <w:bottom w:val="none" w:sz="0" w:space="0" w:color="auto"/>
                                                    <w:right w:val="none" w:sz="0" w:space="0" w:color="auto"/>
                                                  </w:divBdr>
                                                  <w:divsChild>
                                                    <w:div w:id="2101098530">
                                                      <w:marLeft w:val="0"/>
                                                      <w:marRight w:val="0"/>
                                                      <w:marTop w:val="0"/>
                                                      <w:marBottom w:val="0"/>
                                                      <w:divBdr>
                                                        <w:top w:val="none" w:sz="0" w:space="0" w:color="auto"/>
                                                        <w:left w:val="none" w:sz="0" w:space="0" w:color="auto"/>
                                                        <w:bottom w:val="none" w:sz="0" w:space="0" w:color="auto"/>
                                                        <w:right w:val="none" w:sz="0" w:space="0" w:color="auto"/>
                                                      </w:divBdr>
                                                      <w:divsChild>
                                                        <w:div w:id="1086614218">
                                                          <w:marLeft w:val="0"/>
                                                          <w:marRight w:val="0"/>
                                                          <w:marTop w:val="0"/>
                                                          <w:marBottom w:val="0"/>
                                                          <w:divBdr>
                                                            <w:top w:val="none" w:sz="0" w:space="0" w:color="auto"/>
                                                            <w:left w:val="none" w:sz="0" w:space="0" w:color="auto"/>
                                                            <w:bottom w:val="none" w:sz="0" w:space="0" w:color="auto"/>
                                                            <w:right w:val="none" w:sz="0" w:space="0" w:color="auto"/>
                                                          </w:divBdr>
                                                          <w:divsChild>
                                                            <w:div w:id="133923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7839240">
      <w:bodyDiv w:val="1"/>
      <w:marLeft w:val="0"/>
      <w:marRight w:val="0"/>
      <w:marTop w:val="0"/>
      <w:marBottom w:val="0"/>
      <w:divBdr>
        <w:top w:val="none" w:sz="0" w:space="0" w:color="auto"/>
        <w:left w:val="none" w:sz="0" w:space="0" w:color="auto"/>
        <w:bottom w:val="none" w:sz="0" w:space="0" w:color="auto"/>
        <w:right w:val="none" w:sz="0" w:space="0" w:color="auto"/>
      </w:divBdr>
    </w:div>
    <w:div w:id="1913736345">
      <w:bodyDiv w:val="1"/>
      <w:marLeft w:val="0"/>
      <w:marRight w:val="0"/>
      <w:marTop w:val="0"/>
      <w:marBottom w:val="0"/>
      <w:divBdr>
        <w:top w:val="none" w:sz="0" w:space="0" w:color="auto"/>
        <w:left w:val="none" w:sz="0" w:space="0" w:color="auto"/>
        <w:bottom w:val="none" w:sz="0" w:space="0" w:color="auto"/>
        <w:right w:val="none" w:sz="0" w:space="0" w:color="auto"/>
      </w:divBdr>
    </w:div>
    <w:div w:id="202231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than.james@london.gov.uk" TargetMode="External"/><Relationship Id="rId13" Type="http://schemas.openxmlformats.org/officeDocument/2006/relationships/hyperlink" Target="https://www.london.gov.uk/sites/default/files/0315_draft_royal_docks_oapf_web_low_res.pdf"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ondon.gov.uk/what-we-do/planning/implementing-london-plan/opportunity-areas/city-eas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london.gov.uk/publication/equal-life-chances-all-2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ndon.gov.uk/what-we-do/housing-and-land/renting/london-living-re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ondon.gov.uk/sites/default/files/homesforlondoners-affordablehomesprogrammefundingguidance.pdf" TargetMode="External"/><Relationship Id="rId19" Type="http://schemas.openxmlformats.org/officeDocument/2006/relationships/hyperlink" Target="mailto:tfl-eproc-helpdesk@eurodyn.com" TargetMode="External"/><Relationship Id="rId4" Type="http://schemas.openxmlformats.org/officeDocument/2006/relationships/settings" Target="settings.xml"/><Relationship Id="rId9" Type="http://schemas.openxmlformats.org/officeDocument/2006/relationships/hyperlink" Target="https://www.london.gov.uk/sites/default/files/draft_affordable_housing_and_viability_spg_2016.pdf" TargetMode="External"/><Relationship Id="rId14" Type="http://schemas.openxmlformats.org/officeDocument/2006/relationships/hyperlink" Target="http://www.newham.gov.uk/Documents/Environment%20and%20planning/CoreStrategy2004-1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34261-C341-404B-8976-A5B32B29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14120</Words>
  <Characters>80488</Characters>
  <Application>Microsoft Office Word</Application>
  <DocSecurity>4</DocSecurity>
  <Lines>670</Lines>
  <Paragraphs>188</Paragraphs>
  <ScaleCrop>false</ScaleCrop>
  <HeadingPairs>
    <vt:vector size="2" baseType="variant">
      <vt:variant>
        <vt:lpstr>Title</vt:lpstr>
      </vt:variant>
      <vt:variant>
        <vt:i4>1</vt:i4>
      </vt:variant>
    </vt:vector>
  </HeadingPairs>
  <TitlesOfParts>
    <vt:vector size="1" baseType="lpstr">
      <vt:lpstr>Draft 08 05 2012 - Catford Stadium ITT.doc</vt:lpstr>
    </vt:vector>
  </TitlesOfParts>
  <Company>Greater London Authority</Company>
  <LinksUpToDate>false</LinksUpToDate>
  <CharactersWithSpaces>94420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08 05 2012 - Catford Stadium ITT.doc</dc:title>
  <dc:subject>WORK\28514892\v.2</dc:subject>
  <dc:creator>Paul Dever</dc:creator>
  <cp:keywords>43696.35</cp:keywords>
  <cp:lastModifiedBy>Azadur Rahman</cp:lastModifiedBy>
  <cp:revision>2</cp:revision>
  <cp:lastPrinted>2017-03-10T10:21:00Z</cp:lastPrinted>
  <dcterms:created xsi:type="dcterms:W3CDTF">2017-11-02T10:51:00Z</dcterms:created>
  <dcterms:modified xsi:type="dcterms:W3CDTF">2017-11-02T10:51:00Z</dcterms:modified>
  <cp:category>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Matter">
    <vt:lpwstr>CLIENT.MATTER</vt:lpwstr>
  </property>
</Properties>
</file>