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51DB5" w14:textId="76162F78" w:rsidR="00AF22A0" w:rsidRDefault="004E592D" w:rsidP="798FAC5E">
      <w:pPr>
        <w:rPr>
          <w:b/>
          <w:bCs/>
          <w:sz w:val="32"/>
          <w:szCs w:val="32"/>
        </w:rPr>
      </w:pPr>
      <w:bookmarkStart w:id="0" w:name="_Hlk138428813"/>
      <w:r w:rsidRPr="6374295A">
        <w:rPr>
          <w:b/>
          <w:bCs/>
          <w:sz w:val="32"/>
          <w:szCs w:val="32"/>
        </w:rPr>
        <w:t>F</w:t>
      </w:r>
      <w:r w:rsidR="003E0C02">
        <w:rPr>
          <w:b/>
          <w:bCs/>
          <w:sz w:val="32"/>
          <w:szCs w:val="32"/>
        </w:rPr>
        <w:t>uel Poverty Partnership</w:t>
      </w:r>
      <w:r w:rsidRPr="6374295A">
        <w:rPr>
          <w:b/>
          <w:bCs/>
          <w:sz w:val="32"/>
          <w:szCs w:val="32"/>
        </w:rPr>
        <w:t xml:space="preserve"> </w:t>
      </w:r>
      <w:r w:rsidR="50938460" w:rsidRPr="6374295A">
        <w:rPr>
          <w:b/>
          <w:bCs/>
          <w:sz w:val="32"/>
          <w:szCs w:val="32"/>
        </w:rPr>
        <w:t xml:space="preserve">Activity Tracker </w:t>
      </w:r>
    </w:p>
    <w:p w14:paraId="07A6A877" w14:textId="4A8488C3" w:rsidR="003E0C02" w:rsidRDefault="003E0C02" w:rsidP="798FAC5E">
      <w:pPr>
        <w:rPr>
          <w:b/>
          <w:bCs/>
          <w:sz w:val="32"/>
          <w:szCs w:val="32"/>
        </w:rPr>
      </w:pPr>
      <w:r>
        <w:rPr>
          <w:b/>
          <w:bCs/>
          <w:sz w:val="32"/>
          <w:szCs w:val="32"/>
        </w:rPr>
        <w:t>Updated May 2023</w:t>
      </w:r>
    </w:p>
    <w:p w14:paraId="73E44E25" w14:textId="5ACEBC0C" w:rsidR="004E592D" w:rsidRDefault="004E592D" w:rsidP="00AF22A0"/>
    <w:tbl>
      <w:tblPr>
        <w:tblStyle w:val="TableGrid"/>
        <w:tblW w:w="14029" w:type="dxa"/>
        <w:tblLook w:val="04A0" w:firstRow="1" w:lastRow="0" w:firstColumn="1" w:lastColumn="0" w:noHBand="0" w:noVBand="1"/>
      </w:tblPr>
      <w:tblGrid>
        <w:gridCol w:w="542"/>
        <w:gridCol w:w="9943"/>
        <w:gridCol w:w="3544"/>
      </w:tblGrid>
      <w:tr w:rsidR="00BE790B" w14:paraId="49A098A3" w14:textId="77777777" w:rsidTr="004B33AF">
        <w:tc>
          <w:tcPr>
            <w:tcW w:w="14029" w:type="dxa"/>
            <w:gridSpan w:val="3"/>
          </w:tcPr>
          <w:p w14:paraId="1A18EF4A" w14:textId="10A2C808" w:rsidR="00BE790B" w:rsidRDefault="00BE790B" w:rsidP="00AF22A0">
            <w:r>
              <w:t>HEALTH</w:t>
            </w:r>
          </w:p>
        </w:tc>
      </w:tr>
      <w:tr w:rsidR="00BE790B" w14:paraId="6E5FA3CC" w14:textId="08C4F6E3" w:rsidTr="00BE790B">
        <w:tc>
          <w:tcPr>
            <w:tcW w:w="542" w:type="dxa"/>
          </w:tcPr>
          <w:p w14:paraId="4F639DA5" w14:textId="0CF2F671" w:rsidR="00BE790B" w:rsidRDefault="00BE790B" w:rsidP="00AF22A0">
            <w:r>
              <w:t>No</w:t>
            </w:r>
          </w:p>
        </w:tc>
        <w:tc>
          <w:tcPr>
            <w:tcW w:w="9943" w:type="dxa"/>
          </w:tcPr>
          <w:p w14:paraId="3BA399EF" w14:textId="69CDFE5D" w:rsidR="00BE790B" w:rsidRDefault="00BE790B" w:rsidP="00AF22A0">
            <w:r>
              <w:t>What</w:t>
            </w:r>
          </w:p>
        </w:tc>
        <w:tc>
          <w:tcPr>
            <w:tcW w:w="3544" w:type="dxa"/>
          </w:tcPr>
          <w:p w14:paraId="0E553B3F" w14:textId="6F9A0F86" w:rsidR="00BE790B" w:rsidRDefault="00BE790B" w:rsidP="00AF22A0">
            <w:r>
              <w:t>Lead(s)</w:t>
            </w:r>
          </w:p>
        </w:tc>
      </w:tr>
      <w:tr w:rsidR="00BE790B" w14:paraId="288500D5" w14:textId="593FD76D" w:rsidTr="00BE790B">
        <w:tc>
          <w:tcPr>
            <w:tcW w:w="542" w:type="dxa"/>
          </w:tcPr>
          <w:p w14:paraId="661BCE1B" w14:textId="326BA7E2" w:rsidR="00BE790B" w:rsidRPr="003E0C02" w:rsidRDefault="00BE790B" w:rsidP="798FAC5E">
            <w:r w:rsidRPr="003E0C02">
              <w:t>H1</w:t>
            </w:r>
          </w:p>
        </w:tc>
        <w:tc>
          <w:tcPr>
            <w:tcW w:w="9943" w:type="dxa"/>
          </w:tcPr>
          <w:p w14:paraId="53BECB88" w14:textId="040ED54F" w:rsidR="00BE790B" w:rsidRPr="003E0C02" w:rsidRDefault="00BE790B" w:rsidP="798FAC5E">
            <w:pPr>
              <w:pStyle w:val="paragraph"/>
              <w:spacing w:before="120" w:beforeAutospacing="0" w:after="120" w:afterAutospacing="0"/>
              <w:jc w:val="both"/>
              <w:textAlignment w:val="baseline"/>
              <w:rPr>
                <w:rFonts w:ascii="Arial" w:hAnsi="Arial" w:cs="Arial"/>
                <w:sz w:val="22"/>
                <w:szCs w:val="22"/>
              </w:rPr>
            </w:pPr>
            <w:r w:rsidRPr="003E0C02">
              <w:rPr>
                <w:rFonts w:ascii="Arial" w:hAnsi="Arial" w:cs="Arial"/>
                <w:sz w:val="22"/>
                <w:szCs w:val="22"/>
              </w:rPr>
              <w:t xml:space="preserve">To produce a short briefing for health practitioners in London to help them to understand the actions that can be taken </w:t>
            </w:r>
            <w:proofErr w:type="gramStart"/>
            <w:r w:rsidRPr="003E0C02">
              <w:rPr>
                <w:rFonts w:ascii="Arial" w:hAnsi="Arial" w:cs="Arial"/>
                <w:sz w:val="22"/>
                <w:szCs w:val="22"/>
              </w:rPr>
              <w:t>in order to</w:t>
            </w:r>
            <w:proofErr w:type="gramEnd"/>
            <w:r w:rsidRPr="003E0C02">
              <w:rPr>
                <w:rFonts w:ascii="Arial" w:hAnsi="Arial" w:cs="Arial"/>
                <w:sz w:val="22"/>
                <w:szCs w:val="22"/>
              </w:rPr>
              <w:t xml:space="preserve"> help fuel poor homes this winter (including an update on the new ECO 4 scheme and links with the health sector).</w:t>
            </w:r>
          </w:p>
        </w:tc>
        <w:tc>
          <w:tcPr>
            <w:tcW w:w="3544" w:type="dxa"/>
          </w:tcPr>
          <w:p w14:paraId="5993058F" w14:textId="42F25C09" w:rsidR="00BE790B" w:rsidRPr="003E0C02" w:rsidRDefault="00BE790B" w:rsidP="798FAC5E">
            <w:r w:rsidRPr="003E0C02">
              <w:t>NHSE</w:t>
            </w:r>
          </w:p>
        </w:tc>
      </w:tr>
      <w:tr w:rsidR="00BE790B" w14:paraId="0AF724F7" w14:textId="69FA622E" w:rsidTr="00BE790B">
        <w:tc>
          <w:tcPr>
            <w:tcW w:w="542" w:type="dxa"/>
          </w:tcPr>
          <w:p w14:paraId="117DA574" w14:textId="6714651D" w:rsidR="00BE790B" w:rsidRPr="003E0C02" w:rsidRDefault="00BE790B" w:rsidP="798FAC5E">
            <w:r w:rsidRPr="003E0C02">
              <w:t>H2</w:t>
            </w:r>
          </w:p>
        </w:tc>
        <w:tc>
          <w:tcPr>
            <w:tcW w:w="9943" w:type="dxa"/>
          </w:tcPr>
          <w:p w14:paraId="1C40FDDA" w14:textId="4819E5B4" w:rsidR="00BE790B" w:rsidRPr="003E0C02" w:rsidRDefault="00BE790B" w:rsidP="798FAC5E">
            <w:pPr>
              <w:pStyle w:val="paragraph"/>
              <w:spacing w:before="120" w:beforeAutospacing="0" w:after="120" w:afterAutospacing="0"/>
              <w:jc w:val="both"/>
              <w:textAlignment w:val="baseline"/>
              <w:rPr>
                <w:rFonts w:ascii="Arial" w:hAnsi="Arial" w:cs="Arial"/>
                <w:sz w:val="22"/>
                <w:szCs w:val="22"/>
              </w:rPr>
            </w:pPr>
            <w:r w:rsidRPr="003E0C02">
              <w:rPr>
                <w:rFonts w:ascii="Arial" w:hAnsi="Arial" w:cs="Arial"/>
                <w:sz w:val="22"/>
                <w:szCs w:val="22"/>
              </w:rPr>
              <w:t>To distribute a complementary leaflet to NHS primary care networks that is aimed at patients, outlining how they can access support including from the Warmer Homes Advice Service.</w:t>
            </w:r>
          </w:p>
        </w:tc>
        <w:tc>
          <w:tcPr>
            <w:tcW w:w="3544" w:type="dxa"/>
          </w:tcPr>
          <w:p w14:paraId="04575C35" w14:textId="483BE071" w:rsidR="00BE790B" w:rsidRPr="003E0C02" w:rsidRDefault="00BE790B" w:rsidP="798FAC5E">
            <w:r w:rsidRPr="003E0C02">
              <w:t>NHSE</w:t>
            </w:r>
          </w:p>
        </w:tc>
      </w:tr>
      <w:tr w:rsidR="00BE790B" w14:paraId="5CFE3772" w14:textId="3C694149" w:rsidTr="00BE790B">
        <w:tc>
          <w:tcPr>
            <w:tcW w:w="542" w:type="dxa"/>
          </w:tcPr>
          <w:p w14:paraId="4651D984" w14:textId="1477E57A" w:rsidR="00BE790B" w:rsidRDefault="00BE790B" w:rsidP="00AF22A0">
            <w:r>
              <w:t>H3</w:t>
            </w:r>
          </w:p>
        </w:tc>
        <w:tc>
          <w:tcPr>
            <w:tcW w:w="9943" w:type="dxa"/>
          </w:tcPr>
          <w:p w14:paraId="4D128939" w14:textId="17A0314A" w:rsidR="00BE790B" w:rsidRPr="004E592D" w:rsidRDefault="00BE790B" w:rsidP="004E592D">
            <w:pPr>
              <w:pStyle w:val="paragraph"/>
              <w:spacing w:before="120" w:beforeAutospacing="0" w:after="120" w:afterAutospacing="0"/>
              <w:jc w:val="both"/>
              <w:textAlignment w:val="baseline"/>
              <w:rPr>
                <w:rFonts w:ascii="Arial" w:hAnsi="Arial" w:cs="Arial"/>
                <w:sz w:val="22"/>
                <w:szCs w:val="22"/>
              </w:rPr>
            </w:pPr>
            <w:r>
              <w:rPr>
                <w:rFonts w:ascii="Arial" w:hAnsi="Arial" w:cs="Arial"/>
                <w:sz w:val="22"/>
                <w:szCs w:val="22"/>
              </w:rPr>
              <w:t>To bring together NHS leaders to discuss these measures, and how to present them in a way that is accessible to health practitioners in London.</w:t>
            </w:r>
          </w:p>
        </w:tc>
        <w:tc>
          <w:tcPr>
            <w:tcW w:w="3544" w:type="dxa"/>
          </w:tcPr>
          <w:p w14:paraId="5B273B9A" w14:textId="77979E11" w:rsidR="00BE790B" w:rsidRDefault="00BE790B" w:rsidP="00AF22A0">
            <w:r>
              <w:t>NHSE</w:t>
            </w:r>
          </w:p>
        </w:tc>
      </w:tr>
      <w:tr w:rsidR="00BE790B" w14:paraId="2AD18CD9" w14:textId="6D0F3985" w:rsidTr="00BE790B">
        <w:tc>
          <w:tcPr>
            <w:tcW w:w="542" w:type="dxa"/>
          </w:tcPr>
          <w:p w14:paraId="7391F6D9" w14:textId="56AB27ED" w:rsidR="00BE790B" w:rsidRPr="003E0C02" w:rsidRDefault="00BE790B" w:rsidP="798FAC5E">
            <w:r w:rsidRPr="003E0C02">
              <w:t>H4</w:t>
            </w:r>
          </w:p>
        </w:tc>
        <w:tc>
          <w:tcPr>
            <w:tcW w:w="9943" w:type="dxa"/>
          </w:tcPr>
          <w:p w14:paraId="7C2B3928" w14:textId="213C9E9B" w:rsidR="00BE790B" w:rsidRPr="003E0C02" w:rsidRDefault="00BE790B" w:rsidP="798FAC5E">
            <w:pPr>
              <w:pStyle w:val="paragraph"/>
              <w:spacing w:before="120" w:beforeAutospacing="0" w:after="120" w:afterAutospacing="0"/>
              <w:jc w:val="both"/>
              <w:textAlignment w:val="baseline"/>
              <w:rPr>
                <w:rFonts w:ascii="Arial" w:hAnsi="Arial" w:cs="Arial"/>
                <w:sz w:val="22"/>
                <w:szCs w:val="22"/>
              </w:rPr>
            </w:pPr>
            <w:r w:rsidRPr="003E0C02">
              <w:rPr>
                <w:rFonts w:ascii="Arial" w:hAnsi="Arial" w:cs="Arial"/>
                <w:sz w:val="22"/>
                <w:szCs w:val="22"/>
              </w:rPr>
              <w:t xml:space="preserve">To promote the services that will be available through Energy Advice London. </w:t>
            </w:r>
          </w:p>
          <w:p w14:paraId="41B7DDB7" w14:textId="77777777" w:rsidR="00BE790B" w:rsidRPr="003E0C02" w:rsidRDefault="00BE790B" w:rsidP="798FAC5E">
            <w:pPr>
              <w:pStyle w:val="paragraph"/>
              <w:spacing w:before="120" w:beforeAutospacing="0" w:after="120" w:afterAutospacing="0"/>
              <w:jc w:val="both"/>
              <w:textAlignment w:val="baseline"/>
              <w:rPr>
                <w:rFonts w:ascii="Arial" w:hAnsi="Arial" w:cs="Arial"/>
                <w:sz w:val="22"/>
                <w:szCs w:val="22"/>
              </w:rPr>
            </w:pPr>
          </w:p>
        </w:tc>
        <w:tc>
          <w:tcPr>
            <w:tcW w:w="3544" w:type="dxa"/>
          </w:tcPr>
          <w:p w14:paraId="45C18B20" w14:textId="69C4003B" w:rsidR="00BE790B" w:rsidRPr="003E0C02" w:rsidRDefault="00BE790B" w:rsidP="798FAC5E">
            <w:r w:rsidRPr="003E0C02">
              <w:t>GLA/NHSE</w:t>
            </w:r>
          </w:p>
        </w:tc>
      </w:tr>
      <w:tr w:rsidR="00BE790B" w14:paraId="1BA88A9B" w14:textId="6C24515C" w:rsidTr="00BE790B">
        <w:tc>
          <w:tcPr>
            <w:tcW w:w="542" w:type="dxa"/>
          </w:tcPr>
          <w:p w14:paraId="4A5774B6" w14:textId="7F27882F" w:rsidR="00BE790B" w:rsidRDefault="00BE790B" w:rsidP="00AF22A0">
            <w:r>
              <w:t>H5</w:t>
            </w:r>
          </w:p>
        </w:tc>
        <w:tc>
          <w:tcPr>
            <w:tcW w:w="9943" w:type="dxa"/>
          </w:tcPr>
          <w:p w14:paraId="18255365" w14:textId="2724E0AA" w:rsidR="00BE790B" w:rsidRPr="00A051C8" w:rsidRDefault="00BE790B" w:rsidP="004E592D">
            <w:pPr>
              <w:pStyle w:val="paragraph"/>
              <w:spacing w:before="120" w:beforeAutospacing="0" w:after="120" w:afterAutospacing="0"/>
              <w:jc w:val="both"/>
              <w:textAlignment w:val="baseline"/>
              <w:rPr>
                <w:rFonts w:ascii="Arial" w:hAnsi="Arial" w:cs="Arial"/>
                <w:sz w:val="22"/>
                <w:szCs w:val="22"/>
              </w:rPr>
            </w:pPr>
            <w:r w:rsidRPr="00A051C8">
              <w:rPr>
                <w:rFonts w:ascii="Arial" w:hAnsi="Arial" w:cs="Arial"/>
                <w:sz w:val="22"/>
                <w:szCs w:val="22"/>
              </w:rPr>
              <w:t>Maintain links and develop wider understanding with the Social Prescribing Network</w:t>
            </w:r>
          </w:p>
        </w:tc>
        <w:tc>
          <w:tcPr>
            <w:tcW w:w="3544" w:type="dxa"/>
          </w:tcPr>
          <w:p w14:paraId="6AFD0508" w14:textId="6E6CB2C3" w:rsidR="00BE790B" w:rsidRDefault="00BE790B" w:rsidP="00AF22A0">
            <w:r>
              <w:t>NHSE</w:t>
            </w:r>
          </w:p>
        </w:tc>
      </w:tr>
      <w:tr w:rsidR="00BE790B" w14:paraId="48D1C702" w14:textId="7E790FB8" w:rsidTr="00BE790B">
        <w:tc>
          <w:tcPr>
            <w:tcW w:w="542" w:type="dxa"/>
          </w:tcPr>
          <w:p w14:paraId="18F92BFD" w14:textId="2AA07227" w:rsidR="00BE790B" w:rsidRDefault="00BE790B" w:rsidP="00AF22A0">
            <w:r>
              <w:t>H6</w:t>
            </w:r>
          </w:p>
        </w:tc>
        <w:tc>
          <w:tcPr>
            <w:tcW w:w="9943" w:type="dxa"/>
          </w:tcPr>
          <w:p w14:paraId="2A19526B" w14:textId="40EC798C" w:rsidR="00BE790B" w:rsidRPr="00A051C8" w:rsidRDefault="00BE790B" w:rsidP="004E592D">
            <w:pPr>
              <w:pStyle w:val="paragraph"/>
              <w:spacing w:before="120" w:beforeAutospacing="0" w:after="120" w:afterAutospacing="0"/>
              <w:jc w:val="both"/>
              <w:textAlignment w:val="baseline"/>
              <w:rPr>
                <w:rFonts w:ascii="Arial" w:hAnsi="Arial" w:cs="Arial"/>
                <w:sz w:val="22"/>
                <w:szCs w:val="22"/>
              </w:rPr>
            </w:pPr>
            <w:r>
              <w:rPr>
                <w:rFonts w:ascii="Arial" w:hAnsi="Arial" w:cs="Arial"/>
                <w:sz w:val="22"/>
                <w:szCs w:val="22"/>
              </w:rPr>
              <w:t xml:space="preserve">To evaluate the success of the communications this winter so that this can be improved on for future years. </w:t>
            </w:r>
          </w:p>
        </w:tc>
        <w:tc>
          <w:tcPr>
            <w:tcW w:w="3544" w:type="dxa"/>
          </w:tcPr>
          <w:p w14:paraId="287B8D9E" w14:textId="3723637A" w:rsidR="00BE790B" w:rsidRDefault="00BE790B" w:rsidP="00AF22A0">
            <w:r>
              <w:t>NHSE</w:t>
            </w:r>
          </w:p>
        </w:tc>
      </w:tr>
      <w:tr w:rsidR="00BE790B" w14:paraId="7CC79858" w14:textId="7716A514" w:rsidTr="00BE790B">
        <w:tc>
          <w:tcPr>
            <w:tcW w:w="542" w:type="dxa"/>
          </w:tcPr>
          <w:p w14:paraId="3A0F4040" w14:textId="68481E67" w:rsidR="00BE790B" w:rsidRDefault="00BE790B" w:rsidP="00AF22A0">
            <w:r>
              <w:t>H7</w:t>
            </w:r>
          </w:p>
        </w:tc>
        <w:tc>
          <w:tcPr>
            <w:tcW w:w="9943" w:type="dxa"/>
          </w:tcPr>
          <w:p w14:paraId="762099EF" w14:textId="6592523B" w:rsidR="00BE790B" w:rsidRPr="00A051C8" w:rsidRDefault="00BE790B" w:rsidP="004E592D">
            <w:pPr>
              <w:pStyle w:val="paragraph"/>
              <w:spacing w:before="120" w:beforeAutospacing="0" w:after="120" w:afterAutospacing="0"/>
              <w:jc w:val="both"/>
              <w:textAlignment w:val="baseline"/>
              <w:rPr>
                <w:rFonts w:ascii="Arial" w:hAnsi="Arial" w:cs="Arial"/>
                <w:sz w:val="22"/>
                <w:szCs w:val="22"/>
              </w:rPr>
            </w:pPr>
            <w:r>
              <w:rPr>
                <w:rFonts w:ascii="Arial" w:hAnsi="Arial" w:cs="Arial"/>
                <w:sz w:val="22"/>
                <w:szCs w:val="22"/>
              </w:rPr>
              <w:t>To support the Energy Systems Catapult with their “Warmth on Prescription” project in London to identify whether it is a practical solution to fuel poverty, at scale, through health practitioners in London.</w:t>
            </w:r>
          </w:p>
        </w:tc>
        <w:tc>
          <w:tcPr>
            <w:tcW w:w="3544" w:type="dxa"/>
          </w:tcPr>
          <w:p w14:paraId="5BBE58FD" w14:textId="631BCD17" w:rsidR="00BE790B" w:rsidRDefault="00BE790B" w:rsidP="00AF22A0">
            <w:r>
              <w:t>GLA/NHSE</w:t>
            </w:r>
          </w:p>
        </w:tc>
      </w:tr>
      <w:tr w:rsidR="00BE790B" w14:paraId="5D391F60" w14:textId="6D302500" w:rsidTr="00BE790B">
        <w:tc>
          <w:tcPr>
            <w:tcW w:w="542" w:type="dxa"/>
          </w:tcPr>
          <w:p w14:paraId="2B55E306" w14:textId="7F0491E3" w:rsidR="00BE790B" w:rsidRPr="003E0C02" w:rsidRDefault="00BE790B" w:rsidP="00AF22A0">
            <w:r w:rsidRPr="003E0C02">
              <w:t>H8</w:t>
            </w:r>
          </w:p>
        </w:tc>
        <w:tc>
          <w:tcPr>
            <w:tcW w:w="9943" w:type="dxa"/>
          </w:tcPr>
          <w:p w14:paraId="18F324AA" w14:textId="37907E09" w:rsidR="00BE790B" w:rsidRPr="003E0C02" w:rsidRDefault="00BE790B" w:rsidP="004E592D">
            <w:pPr>
              <w:pStyle w:val="paragraph"/>
              <w:spacing w:before="120" w:beforeAutospacing="0" w:after="120" w:afterAutospacing="0"/>
              <w:jc w:val="both"/>
              <w:textAlignment w:val="baseline"/>
              <w:rPr>
                <w:rFonts w:ascii="Arial" w:hAnsi="Arial" w:cs="Arial"/>
                <w:sz w:val="22"/>
                <w:szCs w:val="22"/>
              </w:rPr>
            </w:pPr>
            <w:r w:rsidRPr="003E0C02">
              <w:rPr>
                <w:rFonts w:ascii="Arial" w:hAnsi="Arial" w:cs="Arial"/>
                <w:sz w:val="22"/>
                <w:szCs w:val="22"/>
              </w:rPr>
              <w:t>To further develop and promote a single referral point for health and social care professionals in London</w:t>
            </w:r>
          </w:p>
        </w:tc>
        <w:tc>
          <w:tcPr>
            <w:tcW w:w="3544" w:type="dxa"/>
          </w:tcPr>
          <w:p w14:paraId="42D24C2C" w14:textId="57CF8232" w:rsidR="00BE790B" w:rsidRPr="003E0C02" w:rsidRDefault="00BE790B" w:rsidP="00AF22A0">
            <w:r w:rsidRPr="003E0C02">
              <w:t>GLA/NHSE</w:t>
            </w:r>
          </w:p>
        </w:tc>
      </w:tr>
      <w:tr w:rsidR="00BE790B" w14:paraId="6D7DE06B" w14:textId="4306B994" w:rsidTr="00BE790B">
        <w:tc>
          <w:tcPr>
            <w:tcW w:w="542" w:type="dxa"/>
          </w:tcPr>
          <w:p w14:paraId="103DE21A" w14:textId="458C44AC" w:rsidR="00BE790B" w:rsidRPr="003E0C02" w:rsidRDefault="00BE790B" w:rsidP="00AF22A0">
            <w:r w:rsidRPr="003E0C02">
              <w:t>H9</w:t>
            </w:r>
          </w:p>
        </w:tc>
        <w:tc>
          <w:tcPr>
            <w:tcW w:w="9943" w:type="dxa"/>
          </w:tcPr>
          <w:p w14:paraId="3117B180" w14:textId="47A74687" w:rsidR="00BE790B" w:rsidRPr="003E0C02" w:rsidRDefault="00BE790B" w:rsidP="004E592D">
            <w:pPr>
              <w:pStyle w:val="paragraph"/>
              <w:spacing w:before="120" w:beforeAutospacing="0" w:after="120" w:afterAutospacing="0"/>
              <w:jc w:val="both"/>
              <w:textAlignment w:val="baseline"/>
              <w:rPr>
                <w:rFonts w:ascii="Arial" w:hAnsi="Arial" w:cs="Arial"/>
                <w:sz w:val="22"/>
                <w:szCs w:val="22"/>
              </w:rPr>
            </w:pPr>
            <w:r w:rsidRPr="003E0C02">
              <w:rPr>
                <w:rFonts w:ascii="Arial" w:hAnsi="Arial" w:cs="Arial"/>
                <w:sz w:val="22"/>
                <w:szCs w:val="22"/>
              </w:rPr>
              <w:t>To advocate for cold and damp home assessments to be a systematic part of all discharge plans</w:t>
            </w:r>
          </w:p>
        </w:tc>
        <w:tc>
          <w:tcPr>
            <w:tcW w:w="3544" w:type="dxa"/>
          </w:tcPr>
          <w:p w14:paraId="7501475D" w14:textId="65BE0998" w:rsidR="00BE790B" w:rsidRPr="003E0C02" w:rsidRDefault="00BE790B" w:rsidP="00AF22A0">
            <w:r w:rsidRPr="003E0C02">
              <w:t>GLA</w:t>
            </w:r>
          </w:p>
        </w:tc>
      </w:tr>
    </w:tbl>
    <w:p w14:paraId="48110C93" w14:textId="51B8369F" w:rsidR="004E592D" w:rsidRDefault="004E592D" w:rsidP="00AF22A0"/>
    <w:tbl>
      <w:tblPr>
        <w:tblStyle w:val="TableGrid"/>
        <w:tblW w:w="14029" w:type="dxa"/>
        <w:tblLook w:val="04A0" w:firstRow="1" w:lastRow="0" w:firstColumn="1" w:lastColumn="0" w:noHBand="0" w:noVBand="1"/>
      </w:tblPr>
      <w:tblGrid>
        <w:gridCol w:w="614"/>
        <w:gridCol w:w="9871"/>
        <w:gridCol w:w="3544"/>
      </w:tblGrid>
      <w:tr w:rsidR="00BE790B" w14:paraId="76E9EA12" w14:textId="77777777" w:rsidTr="00854171">
        <w:tc>
          <w:tcPr>
            <w:tcW w:w="14029" w:type="dxa"/>
            <w:gridSpan w:val="3"/>
          </w:tcPr>
          <w:p w14:paraId="1C1F46C0" w14:textId="6269402A" w:rsidR="00BE790B" w:rsidRDefault="00BE790B" w:rsidP="798FAC5E">
            <w:r>
              <w:lastRenderedPageBreak/>
              <w:t>FAIR DECARBONISATION OF HEAT</w:t>
            </w:r>
          </w:p>
        </w:tc>
      </w:tr>
      <w:tr w:rsidR="00BE790B" w14:paraId="79F2B7E6" w14:textId="77777777" w:rsidTr="00BE790B">
        <w:tc>
          <w:tcPr>
            <w:tcW w:w="614" w:type="dxa"/>
          </w:tcPr>
          <w:p w14:paraId="19BDAE4A" w14:textId="667D2CCF" w:rsidR="00BE790B" w:rsidRDefault="00BE790B" w:rsidP="798FAC5E">
            <w:r>
              <w:t>No</w:t>
            </w:r>
          </w:p>
        </w:tc>
        <w:tc>
          <w:tcPr>
            <w:tcW w:w="9871" w:type="dxa"/>
          </w:tcPr>
          <w:p w14:paraId="704A6F99" w14:textId="6A95EF2A" w:rsidR="00BE790B" w:rsidRDefault="00BE790B" w:rsidP="798FAC5E">
            <w:pPr>
              <w:rPr>
                <w:rFonts w:ascii="Arial" w:hAnsi="Arial" w:cs="Arial"/>
                <w:sz w:val="22"/>
                <w:szCs w:val="22"/>
              </w:rPr>
            </w:pPr>
            <w:r w:rsidRPr="798FAC5E">
              <w:rPr>
                <w:rFonts w:ascii="Arial" w:hAnsi="Arial" w:cs="Arial"/>
                <w:sz w:val="22"/>
                <w:szCs w:val="22"/>
              </w:rPr>
              <w:t>What</w:t>
            </w:r>
          </w:p>
        </w:tc>
        <w:tc>
          <w:tcPr>
            <w:tcW w:w="3544" w:type="dxa"/>
          </w:tcPr>
          <w:p w14:paraId="7E2B257D" w14:textId="453A6179" w:rsidR="00BE790B" w:rsidRDefault="00BE790B" w:rsidP="798FAC5E">
            <w:r>
              <w:t>Lead(s)</w:t>
            </w:r>
          </w:p>
        </w:tc>
      </w:tr>
      <w:tr w:rsidR="00BE790B" w14:paraId="0572460D" w14:textId="77777777" w:rsidTr="00BE790B">
        <w:trPr>
          <w:trHeight w:val="3036"/>
        </w:trPr>
        <w:tc>
          <w:tcPr>
            <w:tcW w:w="614" w:type="dxa"/>
          </w:tcPr>
          <w:p w14:paraId="32C27BF7" w14:textId="322E4D65" w:rsidR="00BE790B" w:rsidRPr="003E0C02" w:rsidRDefault="00BE790B" w:rsidP="798FAC5E">
            <w:r w:rsidRPr="003E0C02">
              <w:t>D1</w:t>
            </w:r>
          </w:p>
          <w:p w14:paraId="5C966450" w14:textId="1C085E69" w:rsidR="00BE790B" w:rsidRPr="003E0C02" w:rsidRDefault="00BE790B" w:rsidP="570F823D"/>
        </w:tc>
        <w:tc>
          <w:tcPr>
            <w:tcW w:w="9871" w:type="dxa"/>
          </w:tcPr>
          <w:p w14:paraId="6A1A927D" w14:textId="296E527F" w:rsidR="00BE790B" w:rsidRPr="003E0C02" w:rsidRDefault="00BE790B" w:rsidP="798FAC5E">
            <w:pPr>
              <w:rPr>
                <w:rFonts w:ascii="Arial" w:hAnsi="Arial" w:cs="Arial"/>
                <w:sz w:val="22"/>
                <w:szCs w:val="22"/>
              </w:rPr>
            </w:pPr>
            <w:r w:rsidRPr="003E0C02">
              <w:rPr>
                <w:rFonts w:ascii="Arial" w:hAnsi="Arial" w:cs="Arial"/>
                <w:sz w:val="22"/>
                <w:szCs w:val="22"/>
              </w:rPr>
              <w:t>To produce a short briefing for new councillors in the GLA area to help them to understand what support there is in London to help fuel poor households to decarbonise their homes. This would go out alongside the cost-of-living briefing. This includes the Warmer Homes, Warmers Homes Advice Service and Energy Advice London.</w:t>
            </w:r>
          </w:p>
          <w:p w14:paraId="4D21CFEE" w14:textId="18001572" w:rsidR="00BE790B" w:rsidRPr="003E0C02" w:rsidRDefault="00BE790B" w:rsidP="570F823D">
            <w:pPr>
              <w:rPr>
                <w:rFonts w:ascii="Arial" w:hAnsi="Arial" w:cs="Arial"/>
                <w:sz w:val="22"/>
                <w:szCs w:val="22"/>
              </w:rPr>
            </w:pPr>
          </w:p>
          <w:p w14:paraId="2067E3B1" w14:textId="7A294345" w:rsidR="00BE790B" w:rsidRPr="003E0C02" w:rsidRDefault="00BE790B" w:rsidP="570F823D">
            <w:pPr>
              <w:rPr>
                <w:rFonts w:ascii="Arial" w:hAnsi="Arial" w:cs="Arial"/>
                <w:sz w:val="22"/>
                <w:szCs w:val="22"/>
              </w:rPr>
            </w:pPr>
            <w:r w:rsidRPr="003E0C02">
              <w:rPr>
                <w:rFonts w:ascii="Arial" w:hAnsi="Arial" w:cs="Arial"/>
                <w:sz w:val="22"/>
                <w:szCs w:val="22"/>
              </w:rPr>
              <w:t xml:space="preserve">This will include an appendix of no/low-cost actions/advice that can be taken by fuel poor households to reduce their carbon usage this winter, without losing comfort. This would ultimately reduce bills as well as carbon. </w:t>
            </w:r>
          </w:p>
        </w:tc>
        <w:tc>
          <w:tcPr>
            <w:tcW w:w="3544" w:type="dxa"/>
          </w:tcPr>
          <w:p w14:paraId="1872A47F" w14:textId="2ED09206" w:rsidR="00BE790B" w:rsidRPr="003E0C02" w:rsidRDefault="00BE790B" w:rsidP="798FAC5E">
            <w:r w:rsidRPr="003E0C02">
              <w:t>LC</w:t>
            </w:r>
          </w:p>
          <w:p w14:paraId="26513C57" w14:textId="45DEDC76" w:rsidR="00BE790B" w:rsidRPr="003E0C02" w:rsidRDefault="00BE790B" w:rsidP="570F823D"/>
        </w:tc>
      </w:tr>
      <w:tr w:rsidR="00BE790B" w14:paraId="141B9BBC" w14:textId="77777777" w:rsidTr="00BE790B">
        <w:tc>
          <w:tcPr>
            <w:tcW w:w="614" w:type="dxa"/>
          </w:tcPr>
          <w:p w14:paraId="596CD14F" w14:textId="04DEDEE2" w:rsidR="00BE790B" w:rsidRDefault="00BE790B" w:rsidP="004E592D">
            <w:r>
              <w:t>D2</w:t>
            </w:r>
          </w:p>
        </w:tc>
        <w:tc>
          <w:tcPr>
            <w:tcW w:w="9871" w:type="dxa"/>
          </w:tcPr>
          <w:p w14:paraId="3EA6ABA0" w14:textId="726F1F94" w:rsidR="00BE790B" w:rsidRDefault="00BE790B" w:rsidP="570F823D">
            <w:pPr>
              <w:pStyle w:val="paragraph"/>
              <w:spacing w:before="120" w:beforeAutospacing="0" w:after="120" w:afterAutospacing="0"/>
              <w:jc w:val="both"/>
              <w:textAlignment w:val="baseline"/>
              <w:rPr>
                <w:rFonts w:ascii="Arial" w:hAnsi="Arial" w:cs="Arial"/>
                <w:sz w:val="22"/>
                <w:szCs w:val="22"/>
              </w:rPr>
            </w:pPr>
            <w:r w:rsidRPr="570F823D">
              <w:rPr>
                <w:rFonts w:ascii="Arial" w:hAnsi="Arial" w:cs="Arial"/>
                <w:sz w:val="22"/>
                <w:szCs w:val="22"/>
              </w:rPr>
              <w:t>To facilitate cooperation between the GLA and London boroughs to work together to achieve a fair and affordable transition to net zero through the decarbonisation of fuel poor homes as a priority.</w:t>
            </w:r>
          </w:p>
        </w:tc>
        <w:tc>
          <w:tcPr>
            <w:tcW w:w="3544" w:type="dxa"/>
          </w:tcPr>
          <w:p w14:paraId="1B12F07E" w14:textId="5410BE8B" w:rsidR="00BE790B" w:rsidRDefault="00BE790B" w:rsidP="004E592D">
            <w:r>
              <w:t>LC/GLA</w:t>
            </w:r>
          </w:p>
        </w:tc>
      </w:tr>
      <w:tr w:rsidR="00BE790B" w14:paraId="6377EBEA" w14:textId="77777777" w:rsidTr="00BE790B">
        <w:tc>
          <w:tcPr>
            <w:tcW w:w="614" w:type="dxa"/>
          </w:tcPr>
          <w:p w14:paraId="28358BA9" w14:textId="146F00A0" w:rsidR="00BE790B" w:rsidRDefault="00BE790B" w:rsidP="004E592D">
            <w:r>
              <w:t>D3</w:t>
            </w:r>
          </w:p>
        </w:tc>
        <w:tc>
          <w:tcPr>
            <w:tcW w:w="9871" w:type="dxa"/>
          </w:tcPr>
          <w:p w14:paraId="293BABB6" w14:textId="216AB649" w:rsidR="00BE790B" w:rsidRDefault="00BE790B" w:rsidP="004E592D">
            <w:pPr>
              <w:rPr>
                <w:rFonts w:ascii="Arial" w:hAnsi="Arial" w:cs="Arial"/>
                <w:sz w:val="22"/>
                <w:szCs w:val="22"/>
              </w:rPr>
            </w:pPr>
            <w:r>
              <w:rPr>
                <w:rFonts w:ascii="Arial" w:hAnsi="Arial" w:cs="Arial"/>
                <w:sz w:val="22"/>
                <w:szCs w:val="22"/>
              </w:rPr>
              <w:t xml:space="preserve">To, as a group, successfully advocate for more spending on decarbonising heating in London so that local authorities can fund the changes to housing that are needed. </w:t>
            </w:r>
          </w:p>
        </w:tc>
        <w:tc>
          <w:tcPr>
            <w:tcW w:w="3544" w:type="dxa"/>
          </w:tcPr>
          <w:p w14:paraId="71372C5F" w14:textId="66283E78" w:rsidR="00BE790B" w:rsidRDefault="00BE790B" w:rsidP="004E592D">
            <w:r>
              <w:t>LC/GLA</w:t>
            </w:r>
          </w:p>
        </w:tc>
      </w:tr>
      <w:tr w:rsidR="00BE790B" w14:paraId="783A2EEA" w14:textId="77777777" w:rsidTr="00BE790B">
        <w:tc>
          <w:tcPr>
            <w:tcW w:w="614" w:type="dxa"/>
          </w:tcPr>
          <w:p w14:paraId="0F67141F" w14:textId="03B03D59" w:rsidR="00BE790B" w:rsidRPr="00C74915" w:rsidRDefault="00BE790B" w:rsidP="570F823D">
            <w:pPr>
              <w:rPr>
                <w:color w:val="000000" w:themeColor="text1"/>
              </w:rPr>
            </w:pPr>
            <w:r w:rsidRPr="570F823D">
              <w:rPr>
                <w:color w:val="000000" w:themeColor="text1"/>
              </w:rPr>
              <w:t>D4</w:t>
            </w:r>
          </w:p>
        </w:tc>
        <w:tc>
          <w:tcPr>
            <w:tcW w:w="9871" w:type="dxa"/>
          </w:tcPr>
          <w:p w14:paraId="007BA12A" w14:textId="133D71E1" w:rsidR="00BE790B" w:rsidRPr="00C74915" w:rsidRDefault="00BE790B" w:rsidP="570F823D">
            <w:pPr>
              <w:rPr>
                <w:rFonts w:ascii="Arial" w:hAnsi="Arial" w:cs="Arial"/>
                <w:color w:val="000000" w:themeColor="text1"/>
                <w:sz w:val="22"/>
                <w:szCs w:val="22"/>
              </w:rPr>
            </w:pPr>
            <w:r w:rsidRPr="570F823D">
              <w:rPr>
                <w:rFonts w:ascii="Arial" w:hAnsi="Arial" w:cs="Arial"/>
                <w:color w:val="000000" w:themeColor="text1"/>
                <w:sz w:val="22"/>
                <w:szCs w:val="22"/>
              </w:rPr>
              <w:t xml:space="preserve">To inform GLA position regarding use of Warmer Homes funding for gas boiler replacements </w:t>
            </w:r>
          </w:p>
        </w:tc>
        <w:tc>
          <w:tcPr>
            <w:tcW w:w="3544" w:type="dxa"/>
          </w:tcPr>
          <w:p w14:paraId="21E268B4" w14:textId="1180B08E" w:rsidR="00BE790B" w:rsidRPr="00C74915" w:rsidRDefault="00BE790B" w:rsidP="570F823D">
            <w:pPr>
              <w:rPr>
                <w:color w:val="000000" w:themeColor="text1"/>
              </w:rPr>
            </w:pPr>
            <w:r w:rsidRPr="570F823D">
              <w:rPr>
                <w:color w:val="000000" w:themeColor="text1"/>
              </w:rPr>
              <w:t>GLA</w:t>
            </w:r>
          </w:p>
        </w:tc>
      </w:tr>
      <w:tr w:rsidR="00BE790B" w14:paraId="18E64176" w14:textId="77777777" w:rsidTr="00BE790B">
        <w:tc>
          <w:tcPr>
            <w:tcW w:w="614" w:type="dxa"/>
          </w:tcPr>
          <w:p w14:paraId="3B6773C4" w14:textId="4C00B2DD" w:rsidR="00BE790B" w:rsidRPr="570F823D" w:rsidRDefault="00BE790B" w:rsidP="570F823D">
            <w:pPr>
              <w:rPr>
                <w:color w:val="000000" w:themeColor="text1"/>
              </w:rPr>
            </w:pPr>
            <w:r>
              <w:rPr>
                <w:color w:val="000000" w:themeColor="text1"/>
              </w:rPr>
              <w:t>D5</w:t>
            </w:r>
          </w:p>
        </w:tc>
        <w:tc>
          <w:tcPr>
            <w:tcW w:w="9871" w:type="dxa"/>
          </w:tcPr>
          <w:p w14:paraId="0AD107D7" w14:textId="070EC233" w:rsidR="00BE790B" w:rsidRPr="570F823D" w:rsidRDefault="00BE790B" w:rsidP="570F823D">
            <w:pPr>
              <w:rPr>
                <w:rFonts w:ascii="Arial" w:hAnsi="Arial" w:cs="Arial"/>
                <w:color w:val="000000" w:themeColor="text1"/>
                <w:sz w:val="22"/>
                <w:szCs w:val="22"/>
              </w:rPr>
            </w:pPr>
            <w:r>
              <w:rPr>
                <w:rFonts w:ascii="Arial" w:hAnsi="Arial" w:cs="Arial"/>
                <w:color w:val="000000" w:themeColor="text1"/>
                <w:sz w:val="22"/>
                <w:szCs w:val="22"/>
              </w:rPr>
              <w:t>To create a short position paper on short term tweaks to improve the delivery of ECO4 which can be shared with the larger group</w:t>
            </w:r>
          </w:p>
        </w:tc>
        <w:tc>
          <w:tcPr>
            <w:tcW w:w="3544" w:type="dxa"/>
          </w:tcPr>
          <w:p w14:paraId="10266A39" w14:textId="4AB63C42" w:rsidR="00BE790B" w:rsidRPr="570F823D" w:rsidRDefault="00BE790B" w:rsidP="570F823D">
            <w:pPr>
              <w:rPr>
                <w:color w:val="000000" w:themeColor="text1"/>
              </w:rPr>
            </w:pPr>
            <w:r>
              <w:rPr>
                <w:color w:val="000000" w:themeColor="text1"/>
              </w:rPr>
              <w:t>NEA</w:t>
            </w:r>
          </w:p>
        </w:tc>
      </w:tr>
      <w:tr w:rsidR="00BE790B" w14:paraId="39704C56" w14:textId="77777777" w:rsidTr="00BE790B">
        <w:tc>
          <w:tcPr>
            <w:tcW w:w="614" w:type="dxa"/>
          </w:tcPr>
          <w:p w14:paraId="7DAA090B" w14:textId="2414E4C1" w:rsidR="00BE790B" w:rsidRPr="570F823D" w:rsidRDefault="00BE790B" w:rsidP="570F823D">
            <w:pPr>
              <w:rPr>
                <w:color w:val="000000" w:themeColor="text1"/>
              </w:rPr>
            </w:pPr>
            <w:r>
              <w:rPr>
                <w:color w:val="000000" w:themeColor="text1"/>
              </w:rPr>
              <w:t>D6</w:t>
            </w:r>
          </w:p>
        </w:tc>
        <w:tc>
          <w:tcPr>
            <w:tcW w:w="9871" w:type="dxa"/>
          </w:tcPr>
          <w:p w14:paraId="7F29D970" w14:textId="505C66E9" w:rsidR="00BE790B" w:rsidRPr="570F823D" w:rsidRDefault="00BE790B" w:rsidP="570F823D">
            <w:pPr>
              <w:rPr>
                <w:rFonts w:ascii="Arial" w:hAnsi="Arial" w:cs="Arial"/>
                <w:color w:val="000000" w:themeColor="text1"/>
                <w:sz w:val="22"/>
                <w:szCs w:val="22"/>
              </w:rPr>
            </w:pPr>
            <w:r>
              <w:rPr>
                <w:rFonts w:ascii="Arial" w:hAnsi="Arial" w:cs="Arial"/>
                <w:color w:val="000000" w:themeColor="text1"/>
                <w:sz w:val="22"/>
                <w:szCs w:val="22"/>
              </w:rPr>
              <w:t>To liaise with DESNZ to collect case studies from Government teams where heat pump uptake is being driven by local authorities</w:t>
            </w:r>
          </w:p>
        </w:tc>
        <w:tc>
          <w:tcPr>
            <w:tcW w:w="3544" w:type="dxa"/>
          </w:tcPr>
          <w:p w14:paraId="03879401" w14:textId="3E189F8D" w:rsidR="00BE790B" w:rsidRPr="570F823D" w:rsidRDefault="00BE790B" w:rsidP="570F823D">
            <w:pPr>
              <w:rPr>
                <w:color w:val="000000" w:themeColor="text1"/>
              </w:rPr>
            </w:pPr>
            <w:r>
              <w:rPr>
                <w:color w:val="000000" w:themeColor="text1"/>
              </w:rPr>
              <w:t>NEA/GLA</w:t>
            </w:r>
          </w:p>
        </w:tc>
      </w:tr>
    </w:tbl>
    <w:p w14:paraId="231451D2" w14:textId="4E01B754" w:rsidR="004E592D" w:rsidRDefault="004E592D" w:rsidP="00AF22A0"/>
    <w:tbl>
      <w:tblPr>
        <w:tblStyle w:val="TableGrid"/>
        <w:tblW w:w="14029" w:type="dxa"/>
        <w:tblLook w:val="04A0" w:firstRow="1" w:lastRow="0" w:firstColumn="1" w:lastColumn="0" w:noHBand="0" w:noVBand="1"/>
      </w:tblPr>
      <w:tblGrid>
        <w:gridCol w:w="556"/>
        <w:gridCol w:w="9929"/>
        <w:gridCol w:w="3544"/>
      </w:tblGrid>
      <w:tr w:rsidR="00BE790B" w14:paraId="0D5F37B6" w14:textId="77777777" w:rsidTr="000229DC">
        <w:tc>
          <w:tcPr>
            <w:tcW w:w="14029" w:type="dxa"/>
            <w:gridSpan w:val="3"/>
          </w:tcPr>
          <w:p w14:paraId="0FDF8788" w14:textId="1587BE15" w:rsidR="00BE790B" w:rsidRDefault="00BE790B" w:rsidP="798FAC5E">
            <w:r>
              <w:t>PRIVATE RENTED SECTOR</w:t>
            </w:r>
          </w:p>
        </w:tc>
      </w:tr>
      <w:tr w:rsidR="00BE790B" w14:paraId="74D4774F" w14:textId="77777777" w:rsidTr="00BE790B">
        <w:tc>
          <w:tcPr>
            <w:tcW w:w="556" w:type="dxa"/>
          </w:tcPr>
          <w:p w14:paraId="2019CFBC" w14:textId="5CA70ECF" w:rsidR="00BE790B" w:rsidRDefault="00BE790B" w:rsidP="798FAC5E">
            <w:r>
              <w:t>No</w:t>
            </w:r>
          </w:p>
        </w:tc>
        <w:tc>
          <w:tcPr>
            <w:tcW w:w="9929" w:type="dxa"/>
          </w:tcPr>
          <w:p w14:paraId="00F27AFC" w14:textId="3DB0FBD6" w:rsidR="00BE790B" w:rsidRDefault="00BE790B" w:rsidP="798FAC5E">
            <w:pPr>
              <w:rPr>
                <w:rFonts w:ascii="Arial" w:eastAsiaTheme="minorEastAsia" w:hAnsi="Arial" w:cs="Arial"/>
                <w:sz w:val="22"/>
                <w:szCs w:val="22"/>
                <w:lang w:eastAsia="en-GB"/>
              </w:rPr>
            </w:pPr>
            <w:r w:rsidRPr="798FAC5E">
              <w:rPr>
                <w:rFonts w:ascii="Arial" w:eastAsiaTheme="minorEastAsia" w:hAnsi="Arial" w:cs="Arial"/>
                <w:sz w:val="22"/>
                <w:szCs w:val="22"/>
                <w:lang w:eastAsia="en-GB"/>
              </w:rPr>
              <w:t>What</w:t>
            </w:r>
          </w:p>
        </w:tc>
        <w:tc>
          <w:tcPr>
            <w:tcW w:w="3544" w:type="dxa"/>
          </w:tcPr>
          <w:p w14:paraId="6FA3368C" w14:textId="3DD938B5" w:rsidR="00BE790B" w:rsidRDefault="00BE790B" w:rsidP="798FAC5E">
            <w:r>
              <w:t>Lead(s)</w:t>
            </w:r>
          </w:p>
        </w:tc>
      </w:tr>
      <w:tr w:rsidR="00BE790B" w14:paraId="3B843C2E" w14:textId="77777777" w:rsidTr="00BE790B">
        <w:tc>
          <w:tcPr>
            <w:tcW w:w="556" w:type="dxa"/>
          </w:tcPr>
          <w:p w14:paraId="68714871" w14:textId="196AB23E" w:rsidR="00BE790B" w:rsidRPr="003E0C02" w:rsidRDefault="00BE790B" w:rsidP="798FAC5E">
            <w:r w:rsidRPr="003E0C02">
              <w:t>P1</w:t>
            </w:r>
          </w:p>
        </w:tc>
        <w:tc>
          <w:tcPr>
            <w:tcW w:w="9929" w:type="dxa"/>
          </w:tcPr>
          <w:p w14:paraId="5CF508B7" w14:textId="349B6FB1" w:rsidR="00BE790B" w:rsidRPr="003E0C02" w:rsidRDefault="00BE790B" w:rsidP="798FAC5E">
            <w:pPr>
              <w:rPr>
                <w:rFonts w:ascii="Arial" w:eastAsiaTheme="minorEastAsia" w:hAnsi="Arial" w:cs="Arial"/>
                <w:sz w:val="22"/>
                <w:szCs w:val="22"/>
                <w:lang w:eastAsia="en-GB"/>
              </w:rPr>
            </w:pPr>
            <w:r w:rsidRPr="003E0C02">
              <w:rPr>
                <w:rFonts w:ascii="Arial" w:eastAsiaTheme="minorEastAsia" w:hAnsi="Arial" w:cs="Arial"/>
                <w:sz w:val="22"/>
                <w:szCs w:val="22"/>
                <w:lang w:eastAsia="en-GB"/>
              </w:rPr>
              <w:t>GLA to disseminate eligibility information for Warmer Homes Service to group so they promote</w:t>
            </w:r>
          </w:p>
        </w:tc>
        <w:tc>
          <w:tcPr>
            <w:tcW w:w="3544" w:type="dxa"/>
          </w:tcPr>
          <w:p w14:paraId="3F5C4360" w14:textId="4ECB5207" w:rsidR="00BE790B" w:rsidRPr="003E0C02" w:rsidRDefault="00BE790B" w:rsidP="798FAC5E">
            <w:r w:rsidRPr="003E0C02">
              <w:t>GLA</w:t>
            </w:r>
          </w:p>
        </w:tc>
      </w:tr>
      <w:tr w:rsidR="00BE790B" w14:paraId="0F77E817" w14:textId="77777777" w:rsidTr="00BE790B">
        <w:tc>
          <w:tcPr>
            <w:tcW w:w="556" w:type="dxa"/>
          </w:tcPr>
          <w:p w14:paraId="5B058454" w14:textId="3B66B8C7" w:rsidR="00BE790B" w:rsidRDefault="00BE790B" w:rsidP="00AF22A0">
            <w:r>
              <w:t>P2</w:t>
            </w:r>
          </w:p>
        </w:tc>
        <w:tc>
          <w:tcPr>
            <w:tcW w:w="9929" w:type="dxa"/>
          </w:tcPr>
          <w:p w14:paraId="7DB27FA0" w14:textId="365D5FC6" w:rsidR="00BE790B" w:rsidRDefault="00BE790B" w:rsidP="00AF22A0">
            <w:r w:rsidRPr="570F823D">
              <w:rPr>
                <w:rFonts w:ascii="Arial" w:hAnsi="Arial" w:cs="Arial"/>
                <w:sz w:val="22"/>
                <w:szCs w:val="22"/>
              </w:rPr>
              <w:t xml:space="preserve">To identify case studies of where PRS MEES upgrades have been successful for both tenant and landlords on </w:t>
            </w:r>
            <w:proofErr w:type="gramStart"/>
            <w:r w:rsidRPr="570F823D">
              <w:rPr>
                <w:rFonts w:ascii="Arial" w:hAnsi="Arial" w:cs="Arial"/>
                <w:sz w:val="22"/>
                <w:szCs w:val="22"/>
              </w:rPr>
              <w:t>London, and</w:t>
            </w:r>
            <w:proofErr w:type="gramEnd"/>
            <w:r w:rsidRPr="570F823D">
              <w:rPr>
                <w:rFonts w:ascii="Arial" w:hAnsi="Arial" w:cs="Arial"/>
                <w:sz w:val="22"/>
                <w:szCs w:val="22"/>
              </w:rPr>
              <w:t xml:space="preserve"> integrate into their “fair and affordable transition to net zero” case study programme. This will look to include examples of where rent increases have been avoided, and where energy costs reduced, particularly where this has been achieved </w:t>
            </w:r>
            <w:proofErr w:type="gramStart"/>
            <w:r w:rsidRPr="570F823D">
              <w:rPr>
                <w:rFonts w:ascii="Arial" w:hAnsi="Arial" w:cs="Arial"/>
                <w:sz w:val="22"/>
                <w:szCs w:val="22"/>
              </w:rPr>
              <w:t>through the use of</w:t>
            </w:r>
            <w:proofErr w:type="gramEnd"/>
            <w:r w:rsidRPr="570F823D">
              <w:rPr>
                <w:rFonts w:ascii="Arial" w:hAnsi="Arial" w:cs="Arial"/>
                <w:sz w:val="22"/>
                <w:szCs w:val="22"/>
              </w:rPr>
              <w:t xml:space="preserve"> MOUs</w:t>
            </w:r>
          </w:p>
        </w:tc>
        <w:tc>
          <w:tcPr>
            <w:tcW w:w="3544" w:type="dxa"/>
          </w:tcPr>
          <w:p w14:paraId="43D719A8" w14:textId="65570441" w:rsidR="00BE790B" w:rsidRDefault="00BE790B" w:rsidP="00AF22A0">
            <w:r>
              <w:t>NEA</w:t>
            </w:r>
          </w:p>
        </w:tc>
      </w:tr>
      <w:tr w:rsidR="00BE790B" w14:paraId="1E256E55" w14:textId="77777777" w:rsidTr="00BE790B">
        <w:trPr>
          <w:trHeight w:val="1265"/>
        </w:trPr>
        <w:tc>
          <w:tcPr>
            <w:tcW w:w="556" w:type="dxa"/>
          </w:tcPr>
          <w:p w14:paraId="2EA086FA" w14:textId="77777777" w:rsidR="00BE790B" w:rsidRDefault="00BE790B" w:rsidP="00AF22A0">
            <w:r>
              <w:lastRenderedPageBreak/>
              <w:t>P3</w:t>
            </w:r>
          </w:p>
          <w:p w14:paraId="609CE50D" w14:textId="4333967F" w:rsidR="00BE790B" w:rsidRDefault="00BE790B" w:rsidP="00AF22A0"/>
        </w:tc>
        <w:tc>
          <w:tcPr>
            <w:tcW w:w="9929" w:type="dxa"/>
          </w:tcPr>
          <w:p w14:paraId="7E0C0008" w14:textId="26798B12" w:rsidR="00BE790B" w:rsidRDefault="00BE790B" w:rsidP="00595480">
            <w:pPr>
              <w:rPr>
                <w:rFonts w:ascii="Arial" w:hAnsi="Arial" w:cs="Arial"/>
                <w:sz w:val="22"/>
                <w:szCs w:val="22"/>
              </w:rPr>
            </w:pPr>
            <w:r w:rsidRPr="570F823D">
              <w:rPr>
                <w:rFonts w:ascii="Arial" w:hAnsi="Arial" w:cs="Arial"/>
                <w:sz w:val="22"/>
                <w:szCs w:val="22"/>
              </w:rPr>
              <w:t>To bring energy officers in boroughs together in a workshop to share examples on rights and responsibilities and enforcement. BEIS to be invited to disseminate the PRS MEES enforcement toolkit and update on the compliance database.</w:t>
            </w:r>
          </w:p>
        </w:tc>
        <w:tc>
          <w:tcPr>
            <w:tcW w:w="3544" w:type="dxa"/>
          </w:tcPr>
          <w:p w14:paraId="2D6A2AB8" w14:textId="7B412EBF" w:rsidR="00BE790B" w:rsidRDefault="00BE790B" w:rsidP="00AF22A0">
            <w:r>
              <w:t>GLA/NEA/BEIS</w:t>
            </w:r>
          </w:p>
        </w:tc>
      </w:tr>
      <w:tr w:rsidR="00BE790B" w14:paraId="4DE55426" w14:textId="77777777" w:rsidTr="00BE790B">
        <w:tc>
          <w:tcPr>
            <w:tcW w:w="556" w:type="dxa"/>
          </w:tcPr>
          <w:p w14:paraId="75AB3903" w14:textId="75885EB0" w:rsidR="00BE790B" w:rsidRPr="00106B30" w:rsidRDefault="00BE790B" w:rsidP="00AF22A0">
            <w:r w:rsidRPr="00106B30">
              <w:t>P4</w:t>
            </w:r>
          </w:p>
        </w:tc>
        <w:tc>
          <w:tcPr>
            <w:tcW w:w="9929" w:type="dxa"/>
          </w:tcPr>
          <w:p w14:paraId="20915350" w14:textId="107C59C0" w:rsidR="00BE790B" w:rsidRPr="00106B30" w:rsidRDefault="00BE790B" w:rsidP="00AF22A0">
            <w:pPr>
              <w:rPr>
                <w:rFonts w:ascii="Arial" w:hAnsi="Arial" w:cs="Arial"/>
                <w:sz w:val="22"/>
                <w:szCs w:val="22"/>
              </w:rPr>
            </w:pPr>
            <w:r w:rsidRPr="00106B30">
              <w:rPr>
                <w:rFonts w:ascii="Arial" w:hAnsi="Arial" w:cs="Arial"/>
                <w:sz w:val="22"/>
                <w:szCs w:val="22"/>
              </w:rPr>
              <w:t>To better help landlords to meet MEES through:</w:t>
            </w:r>
          </w:p>
          <w:p w14:paraId="39C75B8F" w14:textId="77777777" w:rsidR="00BE790B" w:rsidRPr="00106B30" w:rsidRDefault="00BE790B" w:rsidP="00AF22A0">
            <w:pPr>
              <w:pStyle w:val="ListParagraph"/>
              <w:numPr>
                <w:ilvl w:val="0"/>
                <w:numId w:val="2"/>
              </w:numPr>
              <w:rPr>
                <w:rFonts w:ascii="Arial" w:hAnsi="Arial" w:cs="Arial"/>
                <w:sz w:val="22"/>
                <w:szCs w:val="22"/>
              </w:rPr>
            </w:pPr>
            <w:r w:rsidRPr="00106B30">
              <w:rPr>
                <w:rFonts w:ascii="Arial" w:hAnsi="Arial" w:cs="Arial"/>
                <w:sz w:val="22"/>
                <w:szCs w:val="22"/>
              </w:rPr>
              <w:t>Raising awareness of energy efficiency and expectations around improvements with landlords</w:t>
            </w:r>
          </w:p>
          <w:p w14:paraId="44B7316F" w14:textId="7459F514" w:rsidR="00BE790B" w:rsidRPr="00106B30" w:rsidRDefault="00BE790B" w:rsidP="00AF22A0">
            <w:pPr>
              <w:pStyle w:val="ListParagraph"/>
              <w:numPr>
                <w:ilvl w:val="0"/>
                <w:numId w:val="2"/>
              </w:numPr>
              <w:rPr>
                <w:rFonts w:ascii="Arial" w:hAnsi="Arial" w:cs="Arial"/>
                <w:sz w:val="22"/>
                <w:szCs w:val="22"/>
              </w:rPr>
            </w:pPr>
            <w:r w:rsidRPr="00106B30">
              <w:rPr>
                <w:rFonts w:ascii="Arial" w:hAnsi="Arial" w:cs="Arial"/>
                <w:sz w:val="22"/>
                <w:szCs w:val="22"/>
              </w:rPr>
              <w:t>Exploring the possibility of offering technical support to private landlords in retrofitting</w:t>
            </w:r>
          </w:p>
        </w:tc>
        <w:tc>
          <w:tcPr>
            <w:tcW w:w="3544" w:type="dxa"/>
          </w:tcPr>
          <w:p w14:paraId="42F04737" w14:textId="7E8D3A43" w:rsidR="00BE790B" w:rsidRPr="00106B30" w:rsidRDefault="00BE790B" w:rsidP="00AF22A0">
            <w:r w:rsidRPr="00106B30">
              <w:t>GLA</w:t>
            </w:r>
          </w:p>
        </w:tc>
      </w:tr>
      <w:tr w:rsidR="00BE790B" w14:paraId="7D361859" w14:textId="77777777" w:rsidTr="00BE790B">
        <w:tc>
          <w:tcPr>
            <w:tcW w:w="556" w:type="dxa"/>
          </w:tcPr>
          <w:p w14:paraId="37EB2804" w14:textId="64606F8E" w:rsidR="00BE790B" w:rsidRPr="00106B30" w:rsidRDefault="00BE790B" w:rsidP="00AF22A0">
            <w:r w:rsidRPr="00106B30">
              <w:t>P5</w:t>
            </w:r>
          </w:p>
        </w:tc>
        <w:tc>
          <w:tcPr>
            <w:tcW w:w="9929" w:type="dxa"/>
          </w:tcPr>
          <w:p w14:paraId="536AE02B" w14:textId="064F623A" w:rsidR="00BE790B" w:rsidRPr="00106B30" w:rsidRDefault="00BE790B" w:rsidP="00AF22A0">
            <w:pPr>
              <w:rPr>
                <w:rFonts w:ascii="Arial" w:hAnsi="Arial" w:cs="Arial"/>
                <w:sz w:val="22"/>
                <w:szCs w:val="22"/>
              </w:rPr>
            </w:pPr>
            <w:r w:rsidRPr="00106B30">
              <w:rPr>
                <w:rFonts w:ascii="Arial" w:hAnsi="Arial" w:cs="Arial"/>
                <w:sz w:val="22"/>
                <w:szCs w:val="22"/>
              </w:rPr>
              <w:t>To lobby for the Mayor to have power to approve selective licensing schemes in London and for these to have energy efficiency standards as a matter of course</w:t>
            </w:r>
          </w:p>
        </w:tc>
        <w:tc>
          <w:tcPr>
            <w:tcW w:w="3544" w:type="dxa"/>
          </w:tcPr>
          <w:p w14:paraId="4626ACBC" w14:textId="5536F68D" w:rsidR="00BE790B" w:rsidRPr="00106B30" w:rsidRDefault="00BE790B" w:rsidP="00AF22A0">
            <w:r w:rsidRPr="00106B30">
              <w:t>GLA</w:t>
            </w:r>
          </w:p>
        </w:tc>
      </w:tr>
      <w:tr w:rsidR="00BE790B" w14:paraId="25ED796A" w14:textId="77777777" w:rsidTr="00BE790B">
        <w:tc>
          <w:tcPr>
            <w:tcW w:w="556" w:type="dxa"/>
          </w:tcPr>
          <w:p w14:paraId="4CF1CB4E" w14:textId="685B124C" w:rsidR="00BE790B" w:rsidRPr="00106B30" w:rsidRDefault="00BE790B" w:rsidP="798FAC5E">
            <w:r w:rsidRPr="00106B30">
              <w:t>P6</w:t>
            </w:r>
          </w:p>
        </w:tc>
        <w:tc>
          <w:tcPr>
            <w:tcW w:w="9929" w:type="dxa"/>
          </w:tcPr>
          <w:p w14:paraId="672668A7" w14:textId="0959441B" w:rsidR="00BE790B" w:rsidRPr="00106B30" w:rsidRDefault="00BE790B" w:rsidP="798FAC5E">
            <w:pPr>
              <w:rPr>
                <w:rFonts w:ascii="Arial" w:hAnsi="Arial" w:cs="Arial"/>
                <w:sz w:val="22"/>
                <w:szCs w:val="22"/>
              </w:rPr>
            </w:pPr>
            <w:r w:rsidRPr="00106B30">
              <w:rPr>
                <w:rFonts w:ascii="Arial" w:hAnsi="Arial" w:cs="Arial"/>
                <w:sz w:val="22"/>
                <w:szCs w:val="22"/>
              </w:rPr>
              <w:t>To lobby Government to respond to the consultation on the MEES trajectory and to implement their proposals</w:t>
            </w:r>
          </w:p>
        </w:tc>
        <w:tc>
          <w:tcPr>
            <w:tcW w:w="3544" w:type="dxa"/>
          </w:tcPr>
          <w:p w14:paraId="355EFFED" w14:textId="013B9D04" w:rsidR="00BE790B" w:rsidRPr="00106B30" w:rsidRDefault="00BE790B" w:rsidP="798FAC5E">
            <w:r w:rsidRPr="00106B30">
              <w:t>GLA/GR</w:t>
            </w:r>
          </w:p>
        </w:tc>
      </w:tr>
      <w:tr w:rsidR="00BE790B" w14:paraId="692784E1" w14:textId="77777777" w:rsidTr="00BE790B">
        <w:tc>
          <w:tcPr>
            <w:tcW w:w="556" w:type="dxa"/>
          </w:tcPr>
          <w:p w14:paraId="6EAA31A7" w14:textId="2BA4B4D0" w:rsidR="00BE790B" w:rsidRPr="00106B30" w:rsidRDefault="00BE790B" w:rsidP="798FAC5E">
            <w:r w:rsidRPr="00106B30">
              <w:t>P7</w:t>
            </w:r>
          </w:p>
        </w:tc>
        <w:tc>
          <w:tcPr>
            <w:tcW w:w="9929" w:type="dxa"/>
          </w:tcPr>
          <w:p w14:paraId="123FC81C" w14:textId="60EED2B2" w:rsidR="00BE790B" w:rsidRPr="00106B30" w:rsidRDefault="00BE790B" w:rsidP="798FAC5E">
            <w:pPr>
              <w:rPr>
                <w:rFonts w:ascii="Arial" w:hAnsi="Arial" w:cs="Arial"/>
                <w:sz w:val="22"/>
                <w:szCs w:val="22"/>
              </w:rPr>
            </w:pPr>
            <w:r w:rsidRPr="00106B30">
              <w:rPr>
                <w:rFonts w:ascii="Arial" w:hAnsi="Arial" w:cs="Arial"/>
                <w:sz w:val="22"/>
                <w:szCs w:val="22"/>
              </w:rPr>
              <w:t>NEA to share briefing created with E3G on PRS MEES with LFPP, and all to distribute accordingly.</w:t>
            </w:r>
          </w:p>
        </w:tc>
        <w:tc>
          <w:tcPr>
            <w:tcW w:w="3544" w:type="dxa"/>
          </w:tcPr>
          <w:p w14:paraId="33EC9823" w14:textId="630E349B" w:rsidR="00BE790B" w:rsidRPr="00106B30" w:rsidRDefault="00BE790B" w:rsidP="798FAC5E">
            <w:r w:rsidRPr="00106B30">
              <w:t>NEA</w:t>
            </w:r>
          </w:p>
        </w:tc>
      </w:tr>
    </w:tbl>
    <w:p w14:paraId="32E2E057" w14:textId="7CCAD42B" w:rsidR="00C74915" w:rsidRDefault="00C74915" w:rsidP="00AF22A0"/>
    <w:tbl>
      <w:tblPr>
        <w:tblStyle w:val="TableGrid"/>
        <w:tblW w:w="14029" w:type="dxa"/>
        <w:tblLook w:val="04A0" w:firstRow="1" w:lastRow="0" w:firstColumn="1" w:lastColumn="0" w:noHBand="0" w:noVBand="1"/>
      </w:tblPr>
      <w:tblGrid>
        <w:gridCol w:w="714"/>
        <w:gridCol w:w="9771"/>
        <w:gridCol w:w="3544"/>
      </w:tblGrid>
      <w:tr w:rsidR="00BE790B" w14:paraId="6D5BF591" w14:textId="77777777" w:rsidTr="00AC2635">
        <w:tc>
          <w:tcPr>
            <w:tcW w:w="14029" w:type="dxa"/>
            <w:gridSpan w:val="3"/>
          </w:tcPr>
          <w:p w14:paraId="549EDB9D" w14:textId="29DE1B70" w:rsidR="00BE790B" w:rsidRDefault="00BE790B" w:rsidP="00DC554D">
            <w:r>
              <w:t>COST OF LIVING</w:t>
            </w:r>
          </w:p>
        </w:tc>
      </w:tr>
      <w:tr w:rsidR="00BE790B" w14:paraId="1520366F" w14:textId="77777777" w:rsidTr="00BE790B">
        <w:tc>
          <w:tcPr>
            <w:tcW w:w="714" w:type="dxa"/>
            <w:hideMark/>
          </w:tcPr>
          <w:p w14:paraId="3117D36F" w14:textId="77777777" w:rsidR="00BE790B" w:rsidRDefault="00BE790B" w:rsidP="00DC554D">
            <w:r>
              <w:t>No</w:t>
            </w:r>
          </w:p>
        </w:tc>
        <w:tc>
          <w:tcPr>
            <w:tcW w:w="9771" w:type="dxa"/>
            <w:hideMark/>
          </w:tcPr>
          <w:p w14:paraId="7A170A49" w14:textId="77777777" w:rsidR="00BE790B" w:rsidRDefault="00BE790B" w:rsidP="00DC554D">
            <w:pPr>
              <w:jc w:val="both"/>
              <w:rPr>
                <w:rFonts w:ascii="Arial" w:hAnsi="Arial" w:cs="Arial"/>
                <w:sz w:val="22"/>
                <w:szCs w:val="22"/>
                <w:lang w:eastAsia="en-GB"/>
              </w:rPr>
            </w:pPr>
            <w:r>
              <w:rPr>
                <w:rFonts w:ascii="Arial" w:hAnsi="Arial" w:cs="Arial"/>
                <w:sz w:val="22"/>
                <w:szCs w:val="22"/>
                <w:lang w:eastAsia="en-GB"/>
              </w:rPr>
              <w:t>What</w:t>
            </w:r>
          </w:p>
        </w:tc>
        <w:tc>
          <w:tcPr>
            <w:tcW w:w="3544" w:type="dxa"/>
            <w:hideMark/>
          </w:tcPr>
          <w:p w14:paraId="60F27EDD" w14:textId="77777777" w:rsidR="00BE790B" w:rsidRDefault="00BE790B" w:rsidP="00DC554D">
            <w:r>
              <w:t>Lead(s)</w:t>
            </w:r>
          </w:p>
        </w:tc>
      </w:tr>
      <w:tr w:rsidR="00BE790B" w14:paraId="01DE2F66" w14:textId="77777777" w:rsidTr="00BE790B">
        <w:tc>
          <w:tcPr>
            <w:tcW w:w="714" w:type="dxa"/>
            <w:hideMark/>
          </w:tcPr>
          <w:p w14:paraId="0FD4F2AE" w14:textId="77777777" w:rsidR="00BE790B" w:rsidRDefault="00BE790B" w:rsidP="00DC554D">
            <w:r>
              <w:t>C1</w:t>
            </w:r>
          </w:p>
        </w:tc>
        <w:tc>
          <w:tcPr>
            <w:tcW w:w="9771" w:type="dxa"/>
            <w:hideMark/>
          </w:tcPr>
          <w:p w14:paraId="776EB315" w14:textId="77777777" w:rsidR="00BE790B" w:rsidRDefault="00BE790B" w:rsidP="00DC554D">
            <w:pPr>
              <w:spacing w:before="120" w:after="120"/>
              <w:jc w:val="both"/>
              <w:textAlignment w:val="baseline"/>
              <w:rPr>
                <w:rFonts w:ascii="Arial" w:hAnsi="Arial" w:cs="Arial"/>
                <w:sz w:val="22"/>
                <w:szCs w:val="22"/>
                <w:lang w:eastAsia="en-GB"/>
              </w:rPr>
            </w:pPr>
            <w:r>
              <w:rPr>
                <w:rFonts w:ascii="Arial" w:hAnsi="Arial" w:cs="Arial"/>
                <w:sz w:val="22"/>
                <w:szCs w:val="22"/>
                <w:lang w:eastAsia="en-GB"/>
              </w:rPr>
              <w:t xml:space="preserve">Ensuring that resources, including the Mayor’s Cost of Living Hub, Ofgem’s ‘Energy Advice for Households’ </w:t>
            </w:r>
            <w:hyperlink r:id="rId11" w:history="1">
              <w:r>
                <w:rPr>
                  <w:rStyle w:val="Hyperlink"/>
                  <w:rFonts w:ascii="Arial" w:hAnsi="Arial" w:cs="Arial"/>
                  <w:sz w:val="22"/>
                  <w:szCs w:val="22"/>
                  <w:lang w:eastAsia="en-GB"/>
                </w:rPr>
                <w:t>document</w:t>
              </w:r>
            </w:hyperlink>
            <w:r>
              <w:rPr>
                <w:rFonts w:ascii="Arial" w:hAnsi="Arial" w:cs="Arial"/>
                <w:sz w:val="22"/>
                <w:szCs w:val="22"/>
                <w:lang w:eastAsia="en-GB"/>
              </w:rPr>
              <w:t xml:space="preserve"> and NEA’s ‘Home Energy Checklist’ are disseminated widely and made accessible for different audiences (particularly for those who do not speak English as their primary language or cannot access digital resources)</w:t>
            </w:r>
          </w:p>
        </w:tc>
        <w:tc>
          <w:tcPr>
            <w:tcW w:w="3544" w:type="dxa"/>
            <w:hideMark/>
          </w:tcPr>
          <w:p w14:paraId="6CD91D78" w14:textId="77777777" w:rsidR="00BE790B" w:rsidRDefault="00BE790B" w:rsidP="00DC554D">
            <w:r>
              <w:t>GLA/NEA/Ofgem</w:t>
            </w:r>
          </w:p>
        </w:tc>
      </w:tr>
      <w:tr w:rsidR="00BE790B" w14:paraId="226A3633" w14:textId="77777777" w:rsidTr="00BE790B">
        <w:tc>
          <w:tcPr>
            <w:tcW w:w="714" w:type="dxa"/>
          </w:tcPr>
          <w:p w14:paraId="2FD5E831" w14:textId="34A74457" w:rsidR="00BE790B" w:rsidRDefault="00BE790B" w:rsidP="00DC554D">
            <w:r>
              <w:t>C2</w:t>
            </w:r>
          </w:p>
        </w:tc>
        <w:tc>
          <w:tcPr>
            <w:tcW w:w="9771" w:type="dxa"/>
          </w:tcPr>
          <w:p w14:paraId="3C39706D" w14:textId="06301223" w:rsidR="00BE790B" w:rsidRPr="00E738EC" w:rsidRDefault="00BE790B" w:rsidP="00DC554D">
            <w:pPr>
              <w:spacing w:before="120" w:after="120"/>
              <w:jc w:val="both"/>
              <w:textAlignment w:val="baseline"/>
              <w:rPr>
                <w:rFonts w:ascii="Arial" w:hAnsi="Arial" w:cs="Arial"/>
                <w:sz w:val="22"/>
                <w:szCs w:val="22"/>
                <w:lang w:eastAsia="en-GB"/>
              </w:rPr>
            </w:pPr>
            <w:r>
              <w:rPr>
                <w:rFonts w:ascii="Arial" w:hAnsi="Arial" w:cs="Arial"/>
                <w:sz w:val="22"/>
                <w:szCs w:val="22"/>
                <w:lang w:eastAsia="en-GB"/>
              </w:rPr>
              <w:t>Providing energy/fuel poverty training for Warm Hubs across London with a focus on working through faith group networks</w:t>
            </w:r>
            <w:r w:rsidRPr="00E738EC">
              <w:rPr>
                <w:rFonts w:ascii="Arial" w:hAnsi="Arial" w:cs="Arial"/>
                <w:sz w:val="22"/>
                <w:szCs w:val="22"/>
                <w:lang w:eastAsia="en-GB"/>
              </w:rPr>
              <w:t xml:space="preserve"> </w:t>
            </w:r>
          </w:p>
        </w:tc>
        <w:tc>
          <w:tcPr>
            <w:tcW w:w="3544" w:type="dxa"/>
          </w:tcPr>
          <w:p w14:paraId="029ACA29" w14:textId="0B4DB458" w:rsidR="00BE790B" w:rsidRDefault="00BE790B" w:rsidP="00DC554D">
            <w:r>
              <w:t>NEA</w:t>
            </w:r>
          </w:p>
        </w:tc>
      </w:tr>
      <w:tr w:rsidR="00BE790B" w14:paraId="6DBD007B" w14:textId="77777777" w:rsidTr="00BE790B">
        <w:tc>
          <w:tcPr>
            <w:tcW w:w="714" w:type="dxa"/>
          </w:tcPr>
          <w:p w14:paraId="1208F5DC" w14:textId="520AEF85" w:rsidR="00BE790B" w:rsidRDefault="00BE790B" w:rsidP="00DC554D">
            <w:r>
              <w:t>C3</w:t>
            </w:r>
          </w:p>
        </w:tc>
        <w:tc>
          <w:tcPr>
            <w:tcW w:w="9771" w:type="dxa"/>
          </w:tcPr>
          <w:p w14:paraId="7CCCB8E8" w14:textId="347091BC" w:rsidR="00BE790B" w:rsidRPr="00E738EC" w:rsidRDefault="00BE790B" w:rsidP="00DC554D">
            <w:pPr>
              <w:rPr>
                <w:rFonts w:ascii="Arial" w:hAnsi="Arial" w:cs="Arial"/>
                <w:sz w:val="22"/>
                <w:szCs w:val="22"/>
              </w:rPr>
            </w:pPr>
            <w:r w:rsidRPr="005752E7">
              <w:rPr>
                <w:rFonts w:ascii="Arial" w:hAnsi="Arial" w:cs="Arial"/>
                <w:sz w:val="22"/>
                <w:szCs w:val="22"/>
              </w:rPr>
              <w:t xml:space="preserve">Targeting vulnerable groups with information on support. The following groups were identified as a priority: older Londoners, disabled Londoners, single parents, young </w:t>
            </w:r>
            <w:proofErr w:type="gramStart"/>
            <w:r w:rsidRPr="005752E7">
              <w:rPr>
                <w:rFonts w:ascii="Arial" w:hAnsi="Arial" w:cs="Arial"/>
                <w:sz w:val="22"/>
                <w:szCs w:val="22"/>
              </w:rPr>
              <w:t>carers</w:t>
            </w:r>
            <w:proofErr w:type="gramEnd"/>
            <w:r w:rsidRPr="005752E7">
              <w:rPr>
                <w:rFonts w:ascii="Arial" w:hAnsi="Arial" w:cs="Arial"/>
                <w:sz w:val="22"/>
                <w:szCs w:val="22"/>
              </w:rPr>
              <w:t xml:space="preserve"> and refugees who will need support and have accessibility /digital inclusion needs for receiving energy advice info.</w:t>
            </w:r>
          </w:p>
        </w:tc>
        <w:tc>
          <w:tcPr>
            <w:tcW w:w="3544" w:type="dxa"/>
          </w:tcPr>
          <w:p w14:paraId="54DEA121" w14:textId="36AD36EF" w:rsidR="00BE790B" w:rsidRDefault="00BE790B" w:rsidP="00DC554D">
            <w:r>
              <w:t>NEA/GLA</w:t>
            </w:r>
          </w:p>
        </w:tc>
      </w:tr>
      <w:tr w:rsidR="00BE790B" w14:paraId="77B52C6F" w14:textId="77777777" w:rsidTr="00BE790B">
        <w:tc>
          <w:tcPr>
            <w:tcW w:w="714" w:type="dxa"/>
          </w:tcPr>
          <w:p w14:paraId="205C6ACE" w14:textId="6EC9060F" w:rsidR="00BE790B" w:rsidRPr="003E0C02" w:rsidRDefault="00BE790B" w:rsidP="00DC554D">
            <w:r w:rsidRPr="003E0C02">
              <w:t>C4</w:t>
            </w:r>
          </w:p>
        </w:tc>
        <w:tc>
          <w:tcPr>
            <w:tcW w:w="9771" w:type="dxa"/>
          </w:tcPr>
          <w:p w14:paraId="147A1537" w14:textId="6B00FE8D" w:rsidR="00BE790B" w:rsidRPr="003E0C02" w:rsidRDefault="00BE790B" w:rsidP="00DC554D">
            <w:pPr>
              <w:spacing w:before="120" w:after="120"/>
              <w:jc w:val="both"/>
              <w:textAlignment w:val="baseline"/>
              <w:rPr>
                <w:rFonts w:ascii="Arial" w:hAnsi="Arial" w:cs="Arial"/>
                <w:sz w:val="22"/>
                <w:szCs w:val="22"/>
                <w:lang w:eastAsia="en-GB"/>
              </w:rPr>
            </w:pPr>
            <w:r w:rsidRPr="003E0C02">
              <w:rPr>
                <w:rFonts w:ascii="Arial" w:hAnsi="Arial" w:cs="Arial"/>
                <w:sz w:val="22"/>
                <w:szCs w:val="22"/>
                <w:lang w:eastAsia="en-GB"/>
              </w:rPr>
              <w:t xml:space="preserve">GLA comms campaign ‘fairer London’ including Energy Advice London launching in November, group to promote and push NEA fuel poverty awareness day. </w:t>
            </w:r>
          </w:p>
        </w:tc>
        <w:tc>
          <w:tcPr>
            <w:tcW w:w="3544" w:type="dxa"/>
          </w:tcPr>
          <w:p w14:paraId="2A8C912F" w14:textId="4752F787" w:rsidR="00BE790B" w:rsidRPr="003E0C02" w:rsidRDefault="00BE790B" w:rsidP="00DC554D">
            <w:r w:rsidRPr="003E0C02">
              <w:t>GLA</w:t>
            </w:r>
          </w:p>
        </w:tc>
      </w:tr>
      <w:tr w:rsidR="00BE790B" w14:paraId="3ED83A2E" w14:textId="77777777" w:rsidTr="00BE790B">
        <w:tc>
          <w:tcPr>
            <w:tcW w:w="714" w:type="dxa"/>
          </w:tcPr>
          <w:p w14:paraId="64309D1E" w14:textId="0B522FD0" w:rsidR="00BE790B" w:rsidRDefault="00BE790B" w:rsidP="00DC554D">
            <w:r>
              <w:t>C5</w:t>
            </w:r>
          </w:p>
        </w:tc>
        <w:tc>
          <w:tcPr>
            <w:tcW w:w="9771" w:type="dxa"/>
          </w:tcPr>
          <w:p w14:paraId="38087239" w14:textId="1D1445B0" w:rsidR="00BE790B" w:rsidRPr="006838B9" w:rsidRDefault="00BE790B" w:rsidP="00DC554D">
            <w:pPr>
              <w:spacing w:before="120" w:after="120"/>
              <w:jc w:val="both"/>
              <w:textAlignment w:val="baseline"/>
              <w:rPr>
                <w:rFonts w:ascii="Arial" w:hAnsi="Arial" w:cs="Arial"/>
                <w:sz w:val="22"/>
                <w:szCs w:val="22"/>
                <w:lang w:eastAsia="en-GB"/>
              </w:rPr>
            </w:pPr>
            <w:r w:rsidRPr="006838B9">
              <w:rPr>
                <w:rFonts w:ascii="Arial" w:hAnsi="Arial" w:cs="Arial"/>
                <w:sz w:val="22"/>
                <w:szCs w:val="22"/>
                <w:lang w:eastAsia="en-GB"/>
              </w:rPr>
              <w:t>NEA to circulate National Self Disconnection Action Plan and ensure tailored to London.</w:t>
            </w:r>
          </w:p>
        </w:tc>
        <w:tc>
          <w:tcPr>
            <w:tcW w:w="3544" w:type="dxa"/>
          </w:tcPr>
          <w:p w14:paraId="3712C4E2" w14:textId="6BEEFC62" w:rsidR="00BE790B" w:rsidRDefault="00BE790B" w:rsidP="00DC554D">
            <w:r>
              <w:t>NEA</w:t>
            </w:r>
          </w:p>
        </w:tc>
      </w:tr>
      <w:tr w:rsidR="00BE790B" w14:paraId="7D7D57E8" w14:textId="77777777" w:rsidTr="00BE790B">
        <w:tc>
          <w:tcPr>
            <w:tcW w:w="714" w:type="dxa"/>
          </w:tcPr>
          <w:p w14:paraId="4FC91343" w14:textId="0DE51666" w:rsidR="00BE790B" w:rsidRDefault="00BE790B" w:rsidP="00DC554D">
            <w:r>
              <w:lastRenderedPageBreak/>
              <w:t>C6</w:t>
            </w:r>
          </w:p>
        </w:tc>
        <w:tc>
          <w:tcPr>
            <w:tcW w:w="9771" w:type="dxa"/>
          </w:tcPr>
          <w:p w14:paraId="6FF4D4B1" w14:textId="1715B6E4" w:rsidR="00BE790B" w:rsidRPr="006838B9" w:rsidRDefault="00BE790B" w:rsidP="00DC554D">
            <w:pPr>
              <w:spacing w:before="120" w:after="120"/>
              <w:jc w:val="both"/>
              <w:textAlignment w:val="baseline"/>
              <w:rPr>
                <w:rFonts w:ascii="Arial" w:hAnsi="Arial" w:cs="Arial"/>
                <w:sz w:val="22"/>
                <w:szCs w:val="22"/>
                <w:lang w:eastAsia="en-GB"/>
              </w:rPr>
            </w:pPr>
            <w:r>
              <w:rPr>
                <w:rFonts w:ascii="Arial" w:hAnsi="Arial" w:cs="Arial"/>
                <w:sz w:val="22"/>
                <w:szCs w:val="22"/>
                <w:lang w:eastAsia="en-GB"/>
              </w:rPr>
              <w:t>Identifying geographical spread of off-grid households across London Boroughs to raise awareness and target HUG funding</w:t>
            </w:r>
          </w:p>
        </w:tc>
        <w:tc>
          <w:tcPr>
            <w:tcW w:w="3544" w:type="dxa"/>
          </w:tcPr>
          <w:p w14:paraId="1E9084F6" w14:textId="433D31E8" w:rsidR="00BE790B" w:rsidRDefault="00BE790B" w:rsidP="00DC554D">
            <w:r>
              <w:t>NEA/GLA</w:t>
            </w:r>
          </w:p>
        </w:tc>
      </w:tr>
      <w:tr w:rsidR="00BE790B" w14:paraId="6E4DCA21" w14:textId="77777777" w:rsidTr="00BE790B">
        <w:tc>
          <w:tcPr>
            <w:tcW w:w="714" w:type="dxa"/>
          </w:tcPr>
          <w:p w14:paraId="04E48861" w14:textId="55AFDC1B" w:rsidR="00BE790B" w:rsidRDefault="00BE790B" w:rsidP="00DC554D">
            <w:r>
              <w:t>C7</w:t>
            </w:r>
          </w:p>
        </w:tc>
        <w:tc>
          <w:tcPr>
            <w:tcW w:w="9771" w:type="dxa"/>
          </w:tcPr>
          <w:p w14:paraId="4E50AFF4" w14:textId="4F3BD2AE" w:rsidR="00BE790B" w:rsidRDefault="00BE790B" w:rsidP="00DC554D">
            <w:pPr>
              <w:spacing w:before="120" w:after="120"/>
              <w:jc w:val="both"/>
              <w:textAlignment w:val="baseline"/>
              <w:rPr>
                <w:rFonts w:ascii="Arial" w:hAnsi="Arial" w:cs="Arial"/>
                <w:sz w:val="22"/>
                <w:szCs w:val="22"/>
                <w:lang w:eastAsia="en-GB"/>
              </w:rPr>
            </w:pPr>
            <w:r>
              <w:rPr>
                <w:rFonts w:ascii="Arial" w:hAnsi="Arial" w:cs="Arial"/>
                <w:sz w:val="22"/>
                <w:szCs w:val="22"/>
                <w:lang w:eastAsia="en-GB"/>
              </w:rPr>
              <w:t>Event to bring together groups working on inclusivity across London and highlight the work of the partnership</w:t>
            </w:r>
          </w:p>
        </w:tc>
        <w:tc>
          <w:tcPr>
            <w:tcW w:w="3544" w:type="dxa"/>
          </w:tcPr>
          <w:p w14:paraId="087AFEC2" w14:textId="3918B6B4" w:rsidR="00BE790B" w:rsidRDefault="00BE790B" w:rsidP="00DC554D">
            <w:r>
              <w:t>NEA</w:t>
            </w:r>
          </w:p>
        </w:tc>
      </w:tr>
      <w:tr w:rsidR="00BE790B" w14:paraId="43B40A71" w14:textId="77777777" w:rsidTr="00BE790B">
        <w:tc>
          <w:tcPr>
            <w:tcW w:w="714" w:type="dxa"/>
          </w:tcPr>
          <w:p w14:paraId="2D3BADB6" w14:textId="69660A65" w:rsidR="00BE790B" w:rsidRDefault="00BE790B" w:rsidP="00DC554D">
            <w:r>
              <w:t>C8</w:t>
            </w:r>
          </w:p>
        </w:tc>
        <w:tc>
          <w:tcPr>
            <w:tcW w:w="9771" w:type="dxa"/>
          </w:tcPr>
          <w:p w14:paraId="6583F6DB" w14:textId="0B492B5F" w:rsidR="00BE790B" w:rsidRDefault="00BE790B" w:rsidP="00DC554D">
            <w:pPr>
              <w:spacing w:before="120" w:after="120"/>
              <w:jc w:val="both"/>
              <w:textAlignment w:val="baseline"/>
              <w:rPr>
                <w:rFonts w:ascii="Arial" w:hAnsi="Arial" w:cs="Arial"/>
                <w:sz w:val="22"/>
                <w:szCs w:val="22"/>
                <w:lang w:eastAsia="en-GB"/>
              </w:rPr>
            </w:pPr>
            <w:r>
              <w:rPr>
                <w:rFonts w:ascii="Arial" w:hAnsi="Arial" w:cs="Arial"/>
                <w:sz w:val="22"/>
                <w:szCs w:val="22"/>
                <w:lang w:eastAsia="en-GB"/>
              </w:rPr>
              <w:t>Members to use their phone line waiting tones to raise awareness of EBSS Voucher scheme</w:t>
            </w:r>
          </w:p>
        </w:tc>
        <w:tc>
          <w:tcPr>
            <w:tcW w:w="3544" w:type="dxa"/>
          </w:tcPr>
          <w:p w14:paraId="12A2244D" w14:textId="6EBAF764" w:rsidR="00BE790B" w:rsidRDefault="00BE790B" w:rsidP="00DC554D">
            <w:r>
              <w:t>All</w:t>
            </w:r>
          </w:p>
        </w:tc>
      </w:tr>
      <w:tr w:rsidR="00BE790B" w14:paraId="42BE75B9" w14:textId="77777777" w:rsidTr="00BE790B">
        <w:tc>
          <w:tcPr>
            <w:tcW w:w="714" w:type="dxa"/>
          </w:tcPr>
          <w:p w14:paraId="1C6F4A3C" w14:textId="200D599E" w:rsidR="00BE790B" w:rsidRDefault="00BE790B" w:rsidP="00DC554D">
            <w:r>
              <w:t>C9</w:t>
            </w:r>
          </w:p>
        </w:tc>
        <w:tc>
          <w:tcPr>
            <w:tcW w:w="9771" w:type="dxa"/>
          </w:tcPr>
          <w:p w14:paraId="747FA853" w14:textId="68855562" w:rsidR="00BE790B" w:rsidRDefault="00BE790B" w:rsidP="00DC554D">
            <w:pPr>
              <w:spacing w:before="120" w:after="120"/>
              <w:jc w:val="both"/>
              <w:textAlignment w:val="baseline"/>
              <w:rPr>
                <w:rFonts w:ascii="Arial" w:hAnsi="Arial" w:cs="Arial"/>
                <w:sz w:val="22"/>
                <w:szCs w:val="22"/>
                <w:lang w:eastAsia="en-GB"/>
              </w:rPr>
            </w:pPr>
            <w:r>
              <w:rPr>
                <w:rFonts w:ascii="Arial" w:hAnsi="Arial" w:cs="Arial"/>
                <w:sz w:val="22"/>
                <w:szCs w:val="22"/>
                <w:lang w:eastAsia="en-GB"/>
              </w:rPr>
              <w:t>Campaign to ensure that Londoners are aware of new rights gained from new Prepay Install Code of Practice</w:t>
            </w:r>
          </w:p>
        </w:tc>
        <w:tc>
          <w:tcPr>
            <w:tcW w:w="3544" w:type="dxa"/>
          </w:tcPr>
          <w:p w14:paraId="606971C2" w14:textId="31C7C8E8" w:rsidR="00BE790B" w:rsidRDefault="00BE790B" w:rsidP="00DC554D">
            <w:r>
              <w:t>NEA/Ofgem</w:t>
            </w:r>
          </w:p>
        </w:tc>
      </w:tr>
    </w:tbl>
    <w:p w14:paraId="0C3A73E1" w14:textId="77777777" w:rsidR="0003063A" w:rsidRDefault="0003063A" w:rsidP="00AF22A0"/>
    <w:p w14:paraId="2815C9B8" w14:textId="77777777" w:rsidR="00E21BA6" w:rsidRDefault="00E21BA6" w:rsidP="00AF22A0"/>
    <w:tbl>
      <w:tblPr>
        <w:tblStyle w:val="TableGrid"/>
        <w:tblW w:w="14029" w:type="dxa"/>
        <w:tblLook w:val="04A0" w:firstRow="1" w:lastRow="0" w:firstColumn="1" w:lastColumn="0" w:noHBand="0" w:noVBand="1"/>
      </w:tblPr>
      <w:tblGrid>
        <w:gridCol w:w="614"/>
        <w:gridCol w:w="9871"/>
        <w:gridCol w:w="3544"/>
      </w:tblGrid>
      <w:tr w:rsidR="00BE790B" w14:paraId="6D08F201" w14:textId="77777777" w:rsidTr="002F1125">
        <w:tc>
          <w:tcPr>
            <w:tcW w:w="14029" w:type="dxa"/>
            <w:gridSpan w:val="3"/>
          </w:tcPr>
          <w:p w14:paraId="5577B934" w14:textId="720C7125" w:rsidR="00BE790B" w:rsidRDefault="00BE790B" w:rsidP="00F203DE">
            <w:r>
              <w:t>CROSS-CUTTING</w:t>
            </w:r>
          </w:p>
        </w:tc>
      </w:tr>
      <w:tr w:rsidR="00BE790B" w14:paraId="2B243850" w14:textId="77777777" w:rsidTr="00BE790B">
        <w:tc>
          <w:tcPr>
            <w:tcW w:w="614" w:type="dxa"/>
          </w:tcPr>
          <w:p w14:paraId="33E6BE47" w14:textId="77777777" w:rsidR="00BE790B" w:rsidRDefault="00BE790B" w:rsidP="00F203DE">
            <w:r>
              <w:t>No</w:t>
            </w:r>
          </w:p>
        </w:tc>
        <w:tc>
          <w:tcPr>
            <w:tcW w:w="9871" w:type="dxa"/>
          </w:tcPr>
          <w:p w14:paraId="361E89C7" w14:textId="77777777" w:rsidR="00BE790B" w:rsidRDefault="00BE790B" w:rsidP="00F203DE">
            <w:pPr>
              <w:jc w:val="both"/>
              <w:rPr>
                <w:rFonts w:ascii="Arial" w:hAnsi="Arial" w:cs="Arial"/>
                <w:sz w:val="22"/>
                <w:szCs w:val="22"/>
                <w:lang w:eastAsia="en-GB"/>
              </w:rPr>
            </w:pPr>
            <w:r w:rsidRPr="798FAC5E">
              <w:rPr>
                <w:rFonts w:ascii="Arial" w:hAnsi="Arial" w:cs="Arial"/>
                <w:sz w:val="22"/>
                <w:szCs w:val="22"/>
                <w:lang w:eastAsia="en-GB"/>
              </w:rPr>
              <w:t>What</w:t>
            </w:r>
          </w:p>
        </w:tc>
        <w:tc>
          <w:tcPr>
            <w:tcW w:w="3544" w:type="dxa"/>
          </w:tcPr>
          <w:p w14:paraId="4C9864EB" w14:textId="77777777" w:rsidR="00BE790B" w:rsidRDefault="00BE790B" w:rsidP="00F203DE">
            <w:r>
              <w:t>Lead(s)</w:t>
            </w:r>
          </w:p>
        </w:tc>
      </w:tr>
      <w:tr w:rsidR="00BE790B" w14:paraId="07FACC47" w14:textId="77777777" w:rsidTr="00BE790B">
        <w:tc>
          <w:tcPr>
            <w:tcW w:w="614" w:type="dxa"/>
          </w:tcPr>
          <w:p w14:paraId="4C01F0CD" w14:textId="0FB5A28D" w:rsidR="00BE790B" w:rsidRDefault="00BE790B" w:rsidP="00F203DE">
            <w:r>
              <w:t>X1</w:t>
            </w:r>
          </w:p>
        </w:tc>
        <w:tc>
          <w:tcPr>
            <w:tcW w:w="9871" w:type="dxa"/>
          </w:tcPr>
          <w:p w14:paraId="017FD7E5" w14:textId="77777777" w:rsidR="00BE790B" w:rsidRPr="006838B9" w:rsidRDefault="00BE790B" w:rsidP="00F203DE">
            <w:pPr>
              <w:spacing w:before="120" w:after="120"/>
              <w:jc w:val="both"/>
              <w:textAlignment w:val="baseline"/>
              <w:rPr>
                <w:rFonts w:ascii="Arial" w:hAnsi="Arial" w:cs="Arial"/>
                <w:sz w:val="22"/>
                <w:szCs w:val="22"/>
                <w:lang w:eastAsia="en-GB"/>
              </w:rPr>
            </w:pPr>
            <w:r>
              <w:rPr>
                <w:rFonts w:ascii="Arial" w:hAnsi="Arial" w:cs="Arial"/>
                <w:sz w:val="22"/>
                <w:szCs w:val="22"/>
                <w:lang w:eastAsia="en-GB"/>
              </w:rPr>
              <w:t xml:space="preserve">Cross partnership letter to government setting out policy risks and what the LFPP wants UK Govt to act on. </w:t>
            </w:r>
          </w:p>
        </w:tc>
        <w:tc>
          <w:tcPr>
            <w:tcW w:w="3544" w:type="dxa"/>
          </w:tcPr>
          <w:p w14:paraId="208A237E" w14:textId="77777777" w:rsidR="00BE790B" w:rsidRDefault="00BE790B" w:rsidP="00F203DE">
            <w:r>
              <w:t>GLA/NEA</w:t>
            </w:r>
          </w:p>
        </w:tc>
      </w:tr>
      <w:tr w:rsidR="00BE790B" w14:paraId="6222941B" w14:textId="77777777" w:rsidTr="00BE790B">
        <w:tc>
          <w:tcPr>
            <w:tcW w:w="614" w:type="dxa"/>
          </w:tcPr>
          <w:p w14:paraId="2E28A554" w14:textId="4AC89EC6" w:rsidR="00BE790B" w:rsidRDefault="00BE790B" w:rsidP="00F203DE">
            <w:r>
              <w:t>X2</w:t>
            </w:r>
          </w:p>
        </w:tc>
        <w:tc>
          <w:tcPr>
            <w:tcW w:w="9871" w:type="dxa"/>
          </w:tcPr>
          <w:p w14:paraId="685B416F" w14:textId="77777777" w:rsidR="00BE790B" w:rsidRPr="006838B9" w:rsidRDefault="00BE790B" w:rsidP="00F203DE">
            <w:pPr>
              <w:spacing w:before="120" w:after="120"/>
              <w:jc w:val="both"/>
              <w:textAlignment w:val="baseline"/>
              <w:rPr>
                <w:rFonts w:ascii="Arial" w:hAnsi="Arial" w:cs="Arial"/>
                <w:sz w:val="22"/>
                <w:szCs w:val="22"/>
                <w:lang w:eastAsia="en-GB"/>
              </w:rPr>
            </w:pPr>
            <w:r>
              <w:rPr>
                <w:rFonts w:ascii="Arial" w:hAnsi="Arial" w:cs="Arial"/>
                <w:sz w:val="22"/>
                <w:szCs w:val="22"/>
                <w:lang w:eastAsia="en-GB"/>
              </w:rPr>
              <w:t>To create a 2-page document on what support is available from Government that the whole partnership can refer to</w:t>
            </w:r>
          </w:p>
        </w:tc>
        <w:tc>
          <w:tcPr>
            <w:tcW w:w="3544" w:type="dxa"/>
          </w:tcPr>
          <w:p w14:paraId="0FEA28D4" w14:textId="170FB4DE" w:rsidR="00BE790B" w:rsidRDefault="00BE790B" w:rsidP="00F203DE">
            <w:r>
              <w:t>GLA/NEA</w:t>
            </w:r>
          </w:p>
        </w:tc>
      </w:tr>
      <w:bookmarkEnd w:id="0"/>
    </w:tbl>
    <w:p w14:paraId="67A1FA08" w14:textId="77777777" w:rsidR="00E21BA6" w:rsidRPr="00AF22A0" w:rsidRDefault="00E21BA6" w:rsidP="00AF22A0"/>
    <w:sectPr w:rsidR="00E21BA6" w:rsidRPr="00AF22A0" w:rsidSect="004E592D">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FC09D" w14:textId="77777777" w:rsidR="00B24E3C" w:rsidRDefault="00B24E3C" w:rsidP="006838B9">
      <w:r>
        <w:separator/>
      </w:r>
    </w:p>
  </w:endnote>
  <w:endnote w:type="continuationSeparator" w:id="0">
    <w:p w14:paraId="039D0D66" w14:textId="77777777" w:rsidR="00B24E3C" w:rsidRDefault="00B24E3C" w:rsidP="006838B9">
      <w:r>
        <w:continuationSeparator/>
      </w:r>
    </w:p>
  </w:endnote>
  <w:endnote w:type="continuationNotice" w:id="1">
    <w:p w14:paraId="153A8F80" w14:textId="77777777" w:rsidR="00B24E3C" w:rsidRDefault="00B24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642467"/>
      <w:docPartObj>
        <w:docPartGallery w:val="Page Numbers (Bottom of Page)"/>
        <w:docPartUnique/>
      </w:docPartObj>
    </w:sdtPr>
    <w:sdtEndPr>
      <w:rPr>
        <w:noProof/>
      </w:rPr>
    </w:sdtEndPr>
    <w:sdtContent>
      <w:p w14:paraId="4148D5F4" w14:textId="44D198C3" w:rsidR="006838B9" w:rsidRDefault="006838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DE9424" w14:textId="77777777" w:rsidR="006838B9" w:rsidRDefault="00683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7AA98" w14:textId="77777777" w:rsidR="00B24E3C" w:rsidRDefault="00B24E3C" w:rsidP="006838B9">
      <w:r>
        <w:separator/>
      </w:r>
    </w:p>
  </w:footnote>
  <w:footnote w:type="continuationSeparator" w:id="0">
    <w:p w14:paraId="221F05F1" w14:textId="77777777" w:rsidR="00B24E3C" w:rsidRDefault="00B24E3C" w:rsidP="006838B9">
      <w:r>
        <w:continuationSeparator/>
      </w:r>
    </w:p>
  </w:footnote>
  <w:footnote w:type="continuationNotice" w:id="1">
    <w:p w14:paraId="28CA21F9" w14:textId="77777777" w:rsidR="00B24E3C" w:rsidRDefault="00B24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798FAC5E" w14:paraId="6A423B5B" w14:textId="77777777" w:rsidTr="798FAC5E">
      <w:tc>
        <w:tcPr>
          <w:tcW w:w="4650" w:type="dxa"/>
        </w:tcPr>
        <w:p w14:paraId="4E6C65FF" w14:textId="51464AEB" w:rsidR="798FAC5E" w:rsidRDefault="798FAC5E" w:rsidP="798FAC5E">
          <w:pPr>
            <w:pStyle w:val="Header"/>
            <w:ind w:left="-115"/>
          </w:pPr>
        </w:p>
      </w:tc>
      <w:tc>
        <w:tcPr>
          <w:tcW w:w="4650" w:type="dxa"/>
        </w:tcPr>
        <w:p w14:paraId="22B7D1A6" w14:textId="0182CB08" w:rsidR="798FAC5E" w:rsidRDefault="798FAC5E" w:rsidP="798FAC5E">
          <w:pPr>
            <w:pStyle w:val="Header"/>
            <w:jc w:val="center"/>
          </w:pPr>
        </w:p>
      </w:tc>
      <w:tc>
        <w:tcPr>
          <w:tcW w:w="4650" w:type="dxa"/>
        </w:tcPr>
        <w:p w14:paraId="1CF9CCEA" w14:textId="3C396E92" w:rsidR="798FAC5E" w:rsidRDefault="798FAC5E" w:rsidP="798FAC5E">
          <w:pPr>
            <w:pStyle w:val="Header"/>
            <w:ind w:right="-115"/>
            <w:jc w:val="right"/>
          </w:pPr>
        </w:p>
      </w:tc>
    </w:tr>
  </w:tbl>
  <w:p w14:paraId="553CB769" w14:textId="4AAFE486" w:rsidR="798FAC5E" w:rsidRDefault="798FAC5E" w:rsidP="798FA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F360C"/>
    <w:multiLevelType w:val="hybridMultilevel"/>
    <w:tmpl w:val="37A4D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2D110F"/>
    <w:multiLevelType w:val="hybridMultilevel"/>
    <w:tmpl w:val="59D6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7498196">
    <w:abstractNumId w:val="1"/>
  </w:num>
  <w:num w:numId="2" w16cid:durableId="1617370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92D"/>
    <w:rsid w:val="00002986"/>
    <w:rsid w:val="000136B9"/>
    <w:rsid w:val="000221EE"/>
    <w:rsid w:val="0003063A"/>
    <w:rsid w:val="000979B3"/>
    <w:rsid w:val="00106B30"/>
    <w:rsid w:val="001C7AF2"/>
    <w:rsid w:val="001E0814"/>
    <w:rsid w:val="00236034"/>
    <w:rsid w:val="002810F4"/>
    <w:rsid w:val="002E66FC"/>
    <w:rsid w:val="00307CA4"/>
    <w:rsid w:val="003164F7"/>
    <w:rsid w:val="0035694F"/>
    <w:rsid w:val="00362D7F"/>
    <w:rsid w:val="00385E50"/>
    <w:rsid w:val="003E0C02"/>
    <w:rsid w:val="003E4C2B"/>
    <w:rsid w:val="00401E29"/>
    <w:rsid w:val="0042127D"/>
    <w:rsid w:val="0043617C"/>
    <w:rsid w:val="00481646"/>
    <w:rsid w:val="004E592D"/>
    <w:rsid w:val="00524258"/>
    <w:rsid w:val="00541E52"/>
    <w:rsid w:val="005752E7"/>
    <w:rsid w:val="00595480"/>
    <w:rsid w:val="005A036D"/>
    <w:rsid w:val="005A60B4"/>
    <w:rsid w:val="005F1396"/>
    <w:rsid w:val="006838B9"/>
    <w:rsid w:val="00752489"/>
    <w:rsid w:val="007E646D"/>
    <w:rsid w:val="007F5963"/>
    <w:rsid w:val="008143AC"/>
    <w:rsid w:val="008A10BE"/>
    <w:rsid w:val="008B2C45"/>
    <w:rsid w:val="008B68E0"/>
    <w:rsid w:val="008D26A1"/>
    <w:rsid w:val="00970F78"/>
    <w:rsid w:val="00982CE4"/>
    <w:rsid w:val="009A4485"/>
    <w:rsid w:val="009B2CA3"/>
    <w:rsid w:val="009D37BB"/>
    <w:rsid w:val="00A63DEF"/>
    <w:rsid w:val="00AA701F"/>
    <w:rsid w:val="00AF22A0"/>
    <w:rsid w:val="00B24E3C"/>
    <w:rsid w:val="00B2710A"/>
    <w:rsid w:val="00B34BD6"/>
    <w:rsid w:val="00B6650D"/>
    <w:rsid w:val="00B94ABE"/>
    <w:rsid w:val="00BE790B"/>
    <w:rsid w:val="00BF279C"/>
    <w:rsid w:val="00C03755"/>
    <w:rsid w:val="00C116B5"/>
    <w:rsid w:val="00C37198"/>
    <w:rsid w:val="00C3797A"/>
    <w:rsid w:val="00C74915"/>
    <w:rsid w:val="00CE1C52"/>
    <w:rsid w:val="00D3217F"/>
    <w:rsid w:val="00D34C7C"/>
    <w:rsid w:val="00D43831"/>
    <w:rsid w:val="00D522C8"/>
    <w:rsid w:val="00D543C2"/>
    <w:rsid w:val="00D70014"/>
    <w:rsid w:val="00DA7FE5"/>
    <w:rsid w:val="00DC554D"/>
    <w:rsid w:val="00DE3892"/>
    <w:rsid w:val="00E12C09"/>
    <w:rsid w:val="00E21BA6"/>
    <w:rsid w:val="00E23320"/>
    <w:rsid w:val="00E276B1"/>
    <w:rsid w:val="00E27B36"/>
    <w:rsid w:val="00E60F04"/>
    <w:rsid w:val="00E738EC"/>
    <w:rsid w:val="00E80E46"/>
    <w:rsid w:val="00EF6293"/>
    <w:rsid w:val="00F12F42"/>
    <w:rsid w:val="00F24738"/>
    <w:rsid w:val="00F4114B"/>
    <w:rsid w:val="00F73B6F"/>
    <w:rsid w:val="00F86507"/>
    <w:rsid w:val="00FB1C0A"/>
    <w:rsid w:val="00FC5302"/>
    <w:rsid w:val="02C830A1"/>
    <w:rsid w:val="030F8570"/>
    <w:rsid w:val="033F3456"/>
    <w:rsid w:val="03547C5F"/>
    <w:rsid w:val="0427C0E7"/>
    <w:rsid w:val="04A20785"/>
    <w:rsid w:val="067BDE69"/>
    <w:rsid w:val="0BB88D29"/>
    <w:rsid w:val="0C1B0C30"/>
    <w:rsid w:val="0D92C8B4"/>
    <w:rsid w:val="0EAB042B"/>
    <w:rsid w:val="0F8E5595"/>
    <w:rsid w:val="1084DB0F"/>
    <w:rsid w:val="10A9B935"/>
    <w:rsid w:val="1113F2F1"/>
    <w:rsid w:val="11239A31"/>
    <w:rsid w:val="1376ED6A"/>
    <w:rsid w:val="139BCB90"/>
    <w:rsid w:val="13BBE459"/>
    <w:rsid w:val="1668FFC5"/>
    <w:rsid w:val="185B266E"/>
    <w:rsid w:val="1963644D"/>
    <w:rsid w:val="1B44F5E6"/>
    <w:rsid w:val="1BF42691"/>
    <w:rsid w:val="1C385337"/>
    <w:rsid w:val="1CD6ADB2"/>
    <w:rsid w:val="1D58E0DB"/>
    <w:rsid w:val="1E74447B"/>
    <w:rsid w:val="1EB87121"/>
    <w:rsid w:val="1F32B7BF"/>
    <w:rsid w:val="2328344D"/>
    <w:rsid w:val="2771EA63"/>
    <w:rsid w:val="27F41D8C"/>
    <w:rsid w:val="28305DA7"/>
    <w:rsid w:val="287D4121"/>
    <w:rsid w:val="28F787BF"/>
    <w:rsid w:val="29CDF470"/>
    <w:rsid w:val="2A571805"/>
    <w:rsid w:val="2A63FCBE"/>
    <w:rsid w:val="2D492A60"/>
    <w:rsid w:val="2E4C9493"/>
    <w:rsid w:val="2E96B586"/>
    <w:rsid w:val="2FF1E123"/>
    <w:rsid w:val="30E4DEBB"/>
    <w:rsid w:val="3109BCE1"/>
    <w:rsid w:val="31638514"/>
    <w:rsid w:val="32EB8050"/>
    <w:rsid w:val="34C22F0B"/>
    <w:rsid w:val="353C75A9"/>
    <w:rsid w:val="369C05EF"/>
    <w:rsid w:val="36C90371"/>
    <w:rsid w:val="38B7AB99"/>
    <w:rsid w:val="39BB15CC"/>
    <w:rsid w:val="3A000CBB"/>
    <w:rsid w:val="3B94ECB0"/>
    <w:rsid w:val="3C783E1A"/>
    <w:rsid w:val="3CBD3509"/>
    <w:rsid w:val="3D8394D8"/>
    <w:rsid w:val="3F5D6BBC"/>
    <w:rsid w:val="3FA262AB"/>
    <w:rsid w:val="3FD7B25A"/>
    <w:rsid w:val="43CD2EE8"/>
    <w:rsid w:val="4514C5C1"/>
    <w:rsid w:val="47D1EE0F"/>
    <w:rsid w:val="4E7F9ABD"/>
    <w:rsid w:val="4F80A710"/>
    <w:rsid w:val="50938460"/>
    <w:rsid w:val="50A82520"/>
    <w:rsid w:val="51C388C0"/>
    <w:rsid w:val="544C904F"/>
    <w:rsid w:val="56233F0A"/>
    <w:rsid w:val="563D9657"/>
    <w:rsid w:val="570F823D"/>
    <w:rsid w:val="574DE543"/>
    <w:rsid w:val="58144512"/>
    <w:rsid w:val="58414294"/>
    <w:rsid w:val="5D0D2BD3"/>
    <w:rsid w:val="5D3209F9"/>
    <w:rsid w:val="5EE702B7"/>
    <w:rsid w:val="600BABDC"/>
    <w:rsid w:val="614FF17D"/>
    <w:rsid w:val="62A79538"/>
    <w:rsid w:val="6374295A"/>
    <w:rsid w:val="671F44EF"/>
    <w:rsid w:val="6BEB2E2E"/>
    <w:rsid w:val="6D94DF67"/>
    <w:rsid w:val="6E98499A"/>
    <w:rsid w:val="6F4B8918"/>
    <w:rsid w:val="6FF7D9E0"/>
    <w:rsid w:val="7024D762"/>
    <w:rsid w:val="710828CC"/>
    <w:rsid w:val="724AAB79"/>
    <w:rsid w:val="733BC7E3"/>
    <w:rsid w:val="7422BE0E"/>
    <w:rsid w:val="747094B4"/>
    <w:rsid w:val="779B5DD5"/>
    <w:rsid w:val="785D199A"/>
    <w:rsid w:val="798FAC5E"/>
    <w:rsid w:val="79BCA9E0"/>
    <w:rsid w:val="7B665B19"/>
    <w:rsid w:val="7CB70E68"/>
    <w:rsid w:val="7E88931F"/>
    <w:rsid w:val="7FD61E45"/>
    <w:rsid w:val="7FD879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4910"/>
  <w15:chartTrackingRefBased/>
  <w15:docId w15:val="{01DFF270-FAF1-47BF-B54D-F8D07282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table" w:styleId="TableGrid">
    <w:name w:val="Table Grid"/>
    <w:basedOn w:val="TableNormal"/>
    <w:rsid w:val="004E5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E592D"/>
    <w:pPr>
      <w:spacing w:before="100" w:beforeAutospacing="1" w:after="100" w:afterAutospacing="1"/>
    </w:pPr>
    <w:rPr>
      <w:rFonts w:ascii="Times New Roman" w:hAnsi="Times New Roman"/>
      <w:lang w:eastAsia="en-GB"/>
    </w:rPr>
  </w:style>
  <w:style w:type="paragraph" w:styleId="ListParagraph">
    <w:name w:val="List Paragraph"/>
    <w:aliases w:val="Numbered Para 1,Dot pt,No Spacing1,List Paragraph Char Char Char,Indicator Text,List Paragraph1,Bullet 1,Bullet Points,MAIN CONTENT,List Paragraph12,F5 List Paragraph,Bullet point,List Paragraph11,List Paragraph2,Normal numbered"/>
    <w:basedOn w:val="Normal"/>
    <w:link w:val="ListParagraphChar"/>
    <w:uiPriority w:val="34"/>
    <w:qFormat/>
    <w:rsid w:val="005752E7"/>
    <w:pPr>
      <w:ind w:left="720"/>
      <w:contextualSpacing/>
    </w:pPr>
    <w:rPr>
      <w:rFonts w:ascii="Times New Roman" w:eastAsiaTheme="minorHAnsi" w:hAnsi="Times New Roman"/>
      <w:lang w:eastAsia="en-GB"/>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
    <w:link w:val="ListParagraph"/>
    <w:uiPriority w:val="34"/>
    <w:qFormat/>
    <w:locked/>
    <w:rsid w:val="005752E7"/>
    <w:rPr>
      <w:rFonts w:eastAsiaTheme="minorHAnsi"/>
      <w:sz w:val="24"/>
      <w:szCs w:val="24"/>
    </w:rPr>
  </w:style>
  <w:style w:type="paragraph" w:styleId="Header">
    <w:name w:val="header"/>
    <w:basedOn w:val="Normal"/>
    <w:link w:val="HeaderChar"/>
    <w:unhideWhenUsed/>
    <w:rsid w:val="006838B9"/>
    <w:pPr>
      <w:tabs>
        <w:tab w:val="center" w:pos="4513"/>
        <w:tab w:val="right" w:pos="9026"/>
      </w:tabs>
    </w:pPr>
  </w:style>
  <w:style w:type="character" w:customStyle="1" w:styleId="HeaderChar">
    <w:name w:val="Header Char"/>
    <w:basedOn w:val="DefaultParagraphFont"/>
    <w:link w:val="Header"/>
    <w:rsid w:val="006838B9"/>
    <w:rPr>
      <w:rFonts w:ascii="Foundry Form Sans" w:hAnsi="Foundry Form Sans"/>
      <w:sz w:val="24"/>
      <w:szCs w:val="24"/>
      <w:lang w:eastAsia="en-US"/>
    </w:rPr>
  </w:style>
  <w:style w:type="paragraph" w:styleId="Footer">
    <w:name w:val="footer"/>
    <w:basedOn w:val="Normal"/>
    <w:link w:val="FooterChar"/>
    <w:uiPriority w:val="99"/>
    <w:unhideWhenUsed/>
    <w:rsid w:val="006838B9"/>
    <w:pPr>
      <w:tabs>
        <w:tab w:val="center" w:pos="4513"/>
        <w:tab w:val="right" w:pos="9026"/>
      </w:tabs>
    </w:pPr>
  </w:style>
  <w:style w:type="character" w:customStyle="1" w:styleId="FooterChar">
    <w:name w:val="Footer Char"/>
    <w:basedOn w:val="DefaultParagraphFont"/>
    <w:link w:val="Footer"/>
    <w:uiPriority w:val="99"/>
    <w:rsid w:val="006838B9"/>
    <w:rPr>
      <w:rFonts w:ascii="Foundry Form Sans" w:hAnsi="Foundry Form Sans"/>
      <w:sz w:val="24"/>
      <w:szCs w:val="24"/>
      <w:lang w:eastAsia="en-US"/>
    </w:rPr>
  </w:style>
  <w:style w:type="character" w:styleId="CommentReference">
    <w:name w:val="annotation reference"/>
    <w:basedOn w:val="DefaultParagraphFont"/>
    <w:semiHidden/>
    <w:unhideWhenUsed/>
    <w:rsid w:val="00481646"/>
    <w:rPr>
      <w:sz w:val="16"/>
      <w:szCs w:val="16"/>
    </w:rPr>
  </w:style>
  <w:style w:type="paragraph" w:styleId="CommentText">
    <w:name w:val="annotation text"/>
    <w:basedOn w:val="Normal"/>
    <w:link w:val="CommentTextChar"/>
    <w:unhideWhenUsed/>
    <w:rsid w:val="00481646"/>
    <w:rPr>
      <w:sz w:val="20"/>
      <w:szCs w:val="20"/>
    </w:rPr>
  </w:style>
  <w:style w:type="character" w:customStyle="1" w:styleId="CommentTextChar">
    <w:name w:val="Comment Text Char"/>
    <w:basedOn w:val="DefaultParagraphFont"/>
    <w:link w:val="CommentText"/>
    <w:rsid w:val="00481646"/>
    <w:rPr>
      <w:rFonts w:ascii="Foundry Form Sans" w:hAnsi="Foundry Form Sans"/>
      <w:lang w:eastAsia="en-US"/>
    </w:rPr>
  </w:style>
  <w:style w:type="paragraph" w:styleId="CommentSubject">
    <w:name w:val="annotation subject"/>
    <w:basedOn w:val="CommentText"/>
    <w:next w:val="CommentText"/>
    <w:link w:val="CommentSubjectChar"/>
    <w:semiHidden/>
    <w:unhideWhenUsed/>
    <w:rsid w:val="00481646"/>
    <w:rPr>
      <w:b/>
      <w:bCs/>
    </w:rPr>
  </w:style>
  <w:style w:type="character" w:customStyle="1" w:styleId="CommentSubjectChar">
    <w:name w:val="Comment Subject Char"/>
    <w:basedOn w:val="CommentTextChar"/>
    <w:link w:val="CommentSubject"/>
    <w:semiHidden/>
    <w:rsid w:val="00481646"/>
    <w:rPr>
      <w:rFonts w:ascii="Foundry Form Sans" w:hAnsi="Foundry Form Sans"/>
      <w:b/>
      <w:bCs/>
      <w:lang w:eastAsia="en-US"/>
    </w:rPr>
  </w:style>
  <w:style w:type="character" w:styleId="Hyperlink">
    <w:name w:val="Hyperlink"/>
    <w:basedOn w:val="DefaultParagraphFont"/>
    <w:uiPriority w:val="99"/>
    <w:semiHidden/>
    <w:unhideWhenUsed/>
    <w:rsid w:val="00DC55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09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gem.gov.uk/publications/energy-domestic-consumer-advice-autumnwinter-202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97750F3637949A1E16316F12DC29B" ma:contentTypeVersion="16" ma:contentTypeDescription="Create a new document." ma:contentTypeScope="" ma:versionID="b887d7491db8729ab50fa66a441736c7">
  <xsd:schema xmlns:xsd="http://www.w3.org/2001/XMLSchema" xmlns:xs="http://www.w3.org/2001/XMLSchema" xmlns:p="http://schemas.microsoft.com/office/2006/metadata/properties" xmlns:ns2="9897313d-68ed-4c81-b5df-c697b4841d8f" xmlns:ns3="6969ec02-7f78-4814-b28f-bff90ae4978b" targetNamespace="http://schemas.microsoft.com/office/2006/metadata/properties" ma:root="true" ma:fieldsID="f27b315f642c0ad56ba0fd746c7d0261" ns2:_="" ns3:_="">
    <xsd:import namespace="9897313d-68ed-4c81-b5df-c697b4841d8f"/>
    <xsd:import namespace="6969ec02-7f78-4814-b28f-bff90ae497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7313d-68ed-4c81-b5df-c697b4841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69ec02-7f78-4814-b28f-bff90ae497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0ec3d5-5033-43e9-be99-e357436c5da6}" ma:internalName="TaxCatchAll" ma:showField="CatchAllData" ma:web="6969ec02-7f78-4814-b28f-bff90ae49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97313d-68ed-4c81-b5df-c697b4841d8f">
      <Terms xmlns="http://schemas.microsoft.com/office/infopath/2007/PartnerControls"/>
    </lcf76f155ced4ddcb4097134ff3c332f>
    <TaxCatchAll xmlns="6969ec02-7f78-4814-b28f-bff90ae4978b" xsi:nil="true"/>
    <SharedWithUsers xmlns="6969ec02-7f78-4814-b28f-bff90ae4978b">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1C05E-AE58-4F1E-A9BE-C1CAA8547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7313d-68ed-4c81-b5df-c697b4841d8f"/>
    <ds:schemaRef ds:uri="6969ec02-7f78-4814-b28f-bff90ae49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BC12E-6D43-486A-873F-D081AED17C73}">
  <ds:schemaRefs>
    <ds:schemaRef ds:uri="http://schemas.microsoft.com/sharepoint/v3/contenttype/forms"/>
  </ds:schemaRefs>
</ds:datastoreItem>
</file>

<file path=customXml/itemProps3.xml><?xml version="1.0" encoding="utf-8"?>
<ds:datastoreItem xmlns:ds="http://schemas.openxmlformats.org/officeDocument/2006/customXml" ds:itemID="{1910CFB3-3B87-43F5-9A9A-8101DFC1C49C}">
  <ds:schemaRefs>
    <ds:schemaRef ds:uri="http://schemas.microsoft.com/office/2006/metadata/properties"/>
    <ds:schemaRef ds:uri="http://schemas.microsoft.com/office/infopath/2007/PartnerControls"/>
    <ds:schemaRef ds:uri="dcf52107-ed1c-465b-a329-2aedf0e66872"/>
    <ds:schemaRef ds:uri="6124597f-d260-4d7b-84bb-2376508cbf06"/>
    <ds:schemaRef ds:uri="9897313d-68ed-4c81-b5df-c697b4841d8f"/>
    <ds:schemaRef ds:uri="6969ec02-7f78-4814-b28f-bff90ae4978b"/>
  </ds:schemaRefs>
</ds:datastoreItem>
</file>

<file path=customXml/itemProps4.xml><?xml version="1.0" encoding="utf-8"?>
<ds:datastoreItem xmlns:ds="http://schemas.openxmlformats.org/officeDocument/2006/customXml" ds:itemID="{3E6B771B-07F3-4B97-B159-3C6D2295E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964</Words>
  <Characters>5150</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Kolm-Murray</dc:creator>
  <cp:keywords/>
  <dc:description/>
  <cp:lastModifiedBy>Ruth Phillips</cp:lastModifiedBy>
  <cp:revision>2</cp:revision>
  <dcterms:created xsi:type="dcterms:W3CDTF">2023-07-04T07:01:00Z</dcterms:created>
  <dcterms:modified xsi:type="dcterms:W3CDTF">2023-07-04T07:01:00Z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0x010100D9697750F3637949A1E16316F12DC29B</vt:lpwstr>
  </property>
  <property fmtid="{D5CDD505-2E9C-101B-9397-08002B2CF9AE}" pid="3" name="MediaServiceImageTags">
    <vt:lpwstr/>
  </property>
  <property fmtid="{D5CDD505-2E9C-101B-9397-08002B2CF9AE}" pid="4" name="Order">
    <vt:r8>319400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