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0" w:type="dxa"/>
        <w:tblInd w:w="108" w:type="dxa"/>
        <w:tblLook w:val="0000" w:firstRow="0" w:lastRow="0" w:firstColumn="0" w:lastColumn="0" w:noHBand="0" w:noVBand="0"/>
      </w:tblPr>
      <w:tblGrid>
        <w:gridCol w:w="10200"/>
      </w:tblGrid>
      <w:tr w:rsidR="00916BC4" w:rsidRPr="00866CB4" w14:paraId="04B0CA96" w14:textId="77777777" w:rsidTr="00226075">
        <w:trPr>
          <w:cantSplit/>
          <w:trHeight w:val="570"/>
        </w:trPr>
        <w:tc>
          <w:tcPr>
            <w:tcW w:w="10200" w:type="dxa"/>
            <w:tcBorders>
              <w:bottom w:val="single" w:sz="4" w:space="0" w:color="auto"/>
            </w:tcBorders>
          </w:tcPr>
          <w:p w14:paraId="3F463D77" w14:textId="77777777" w:rsidR="00916BC4" w:rsidRPr="00866CB4" w:rsidRDefault="00FE4825" w:rsidP="00D749FA">
            <w:pPr>
              <w:pStyle w:val="Header"/>
              <w:tabs>
                <w:tab w:val="clear" w:pos="4320"/>
                <w:tab w:val="clear" w:pos="8640"/>
              </w:tabs>
              <w:ind w:left="0" w:firstLine="0"/>
              <w:rPr>
                <w:rFonts w:ascii="Foundry Form Sans" w:hAnsi="Foundry Form Sans" w:cs="Arial"/>
                <w:szCs w:val="24"/>
              </w:rPr>
            </w:pPr>
            <w:r>
              <w:rPr>
                <w:rFonts w:ascii="Foundry Form Sans" w:hAnsi="Foundry Form Sans" w:cs="Arial"/>
                <w:noProof/>
                <w:szCs w:val="24"/>
                <w:lang w:eastAsia="en-GB"/>
              </w:rPr>
              <w:drawing>
                <wp:inline distT="0" distB="0" distL="0" distR="0" wp14:anchorId="3C21CB3E" wp14:editId="777EE56C">
                  <wp:extent cx="3599688" cy="19812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LondonAuthority_grey_rgb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9688" cy="198120"/>
                          </a:xfrm>
                          <a:prstGeom prst="rect">
                            <a:avLst/>
                          </a:prstGeom>
                        </pic:spPr>
                      </pic:pic>
                    </a:graphicData>
                  </a:graphic>
                </wp:inline>
              </w:drawing>
            </w:r>
          </w:p>
        </w:tc>
      </w:tr>
      <w:tr w:rsidR="00916BC4" w:rsidRPr="00866CB4" w14:paraId="1A1F08B1" w14:textId="77777777" w:rsidTr="003945EF">
        <w:trPr>
          <w:cantSplit/>
        </w:trPr>
        <w:tc>
          <w:tcPr>
            <w:tcW w:w="10200" w:type="dxa"/>
            <w:tcBorders>
              <w:top w:val="single" w:sz="4" w:space="0" w:color="auto"/>
              <w:left w:val="single" w:sz="4" w:space="0" w:color="auto"/>
              <w:bottom w:val="single" w:sz="4" w:space="0" w:color="auto"/>
              <w:right w:val="single" w:sz="4" w:space="0" w:color="auto"/>
            </w:tcBorders>
            <w:shd w:val="clear" w:color="auto" w:fill="auto"/>
          </w:tcPr>
          <w:p w14:paraId="0D58937E" w14:textId="49B6358E" w:rsidR="00226075" w:rsidRPr="00866CB4" w:rsidRDefault="00916BC4" w:rsidP="00D749FA">
            <w:pPr>
              <w:pStyle w:val="Header"/>
              <w:tabs>
                <w:tab w:val="clear" w:pos="4320"/>
                <w:tab w:val="clear" w:pos="8640"/>
              </w:tabs>
              <w:spacing w:before="200" w:after="200"/>
              <w:ind w:left="0" w:firstLine="0"/>
              <w:rPr>
                <w:rFonts w:ascii="Foundry Form Sans" w:hAnsi="Foundry Form Sans" w:cs="Arial"/>
                <w:b/>
                <w:szCs w:val="24"/>
              </w:rPr>
            </w:pPr>
            <w:r w:rsidRPr="00866CB4">
              <w:rPr>
                <w:rFonts w:ascii="Foundry Form Sans" w:hAnsi="Foundry Form Sans" w:cs="Arial"/>
                <w:b/>
                <w:szCs w:val="24"/>
              </w:rPr>
              <w:t xml:space="preserve">REQUEST FOR </w:t>
            </w:r>
            <w:r w:rsidR="009545FE">
              <w:rPr>
                <w:rFonts w:ascii="Foundry Form Sans" w:hAnsi="Foundry Form Sans" w:cs="Arial"/>
                <w:b/>
                <w:szCs w:val="24"/>
              </w:rPr>
              <w:t>MAYORAL</w:t>
            </w:r>
            <w:r w:rsidRPr="00866CB4">
              <w:rPr>
                <w:rFonts w:ascii="Foundry Form Sans" w:hAnsi="Foundry Form Sans" w:cs="Arial"/>
                <w:b/>
                <w:szCs w:val="24"/>
              </w:rPr>
              <w:t xml:space="preserve"> DECISION – M</w:t>
            </w:r>
            <w:r w:rsidR="002928EC">
              <w:rPr>
                <w:rFonts w:ascii="Foundry Form Sans" w:hAnsi="Foundry Form Sans" w:cs="Arial"/>
                <w:b/>
                <w:szCs w:val="24"/>
              </w:rPr>
              <w:t>D2</w:t>
            </w:r>
            <w:r w:rsidR="004A23B9">
              <w:rPr>
                <w:rFonts w:ascii="Foundry Form Sans" w:hAnsi="Foundry Form Sans" w:cs="Arial"/>
                <w:b/>
                <w:szCs w:val="24"/>
              </w:rPr>
              <w:t>858</w:t>
            </w:r>
          </w:p>
        </w:tc>
      </w:tr>
    </w:tbl>
    <w:p w14:paraId="339D1F74" w14:textId="77777777" w:rsidR="00916BC4" w:rsidRPr="00FA068A" w:rsidRDefault="00916BC4" w:rsidP="00D749FA">
      <w:pPr>
        <w:rPr>
          <w:rFonts w:cs="Arial"/>
          <w:sz w:val="2"/>
          <w:szCs w:val="2"/>
        </w:rPr>
      </w:pPr>
    </w:p>
    <w:tbl>
      <w:tblPr>
        <w:tblW w:w="10200" w:type="dxa"/>
        <w:tblInd w:w="108" w:type="dxa"/>
        <w:tblBorders>
          <w:top w:val="single" w:sz="4" w:space="0" w:color="auto"/>
          <w:left w:val="single" w:sz="4" w:space="0" w:color="auto"/>
          <w:bottom w:val="single" w:sz="4" w:space="0" w:color="auto"/>
          <w:right w:val="single" w:sz="4" w:space="0" w:color="auto"/>
        </w:tblBorders>
        <w:shd w:val="clear" w:color="auto" w:fill="DDD9C3"/>
        <w:tblLook w:val="0000" w:firstRow="0" w:lastRow="0" w:firstColumn="0" w:lastColumn="0" w:noHBand="0" w:noVBand="0"/>
      </w:tblPr>
      <w:tblGrid>
        <w:gridCol w:w="10200"/>
      </w:tblGrid>
      <w:tr w:rsidR="00561072" w:rsidRPr="00866CB4" w14:paraId="1A162A83" w14:textId="77777777" w:rsidTr="00603715">
        <w:trPr>
          <w:trHeight w:val="595"/>
        </w:trPr>
        <w:tc>
          <w:tcPr>
            <w:tcW w:w="10200" w:type="dxa"/>
            <w:shd w:val="clear" w:color="auto" w:fill="DDD9C3"/>
          </w:tcPr>
          <w:p w14:paraId="2DCC84FA" w14:textId="40DB6214" w:rsidR="00561072" w:rsidRPr="00866CB4" w:rsidRDefault="00561072" w:rsidP="00D749FA">
            <w:pPr>
              <w:pStyle w:val="Header"/>
              <w:tabs>
                <w:tab w:val="clear" w:pos="4320"/>
                <w:tab w:val="clear" w:pos="8640"/>
              </w:tabs>
              <w:spacing w:before="200" w:after="200"/>
              <w:ind w:left="0" w:firstLine="0"/>
              <w:rPr>
                <w:rFonts w:ascii="Foundry Form Sans" w:hAnsi="Foundry Form Sans" w:cs="Arial"/>
                <w:b/>
                <w:bCs/>
                <w:szCs w:val="24"/>
              </w:rPr>
            </w:pPr>
            <w:r w:rsidRPr="00866CB4">
              <w:rPr>
                <w:rFonts w:ascii="Foundry Form Sans" w:hAnsi="Foundry Form Sans" w:cs="Arial"/>
                <w:b/>
                <w:bCs/>
                <w:szCs w:val="24"/>
              </w:rPr>
              <w:t xml:space="preserve">Title: </w:t>
            </w:r>
            <w:bookmarkStart w:id="0" w:name="_Hlk78194978"/>
            <w:proofErr w:type="spellStart"/>
            <w:r w:rsidR="00BE69F1">
              <w:rPr>
                <w:rFonts w:ascii="Foundry Form Sans" w:hAnsi="Foundry Form Sans" w:cs="Arial"/>
                <w:b/>
                <w:bCs/>
                <w:szCs w:val="24"/>
              </w:rPr>
              <w:t>EastPlus</w:t>
            </w:r>
            <w:proofErr w:type="spellEnd"/>
            <w:r w:rsidR="00BE69F1">
              <w:rPr>
                <w:rFonts w:ascii="Foundry Form Sans" w:hAnsi="Foundry Form Sans" w:cs="Arial"/>
                <w:b/>
                <w:bCs/>
                <w:szCs w:val="24"/>
              </w:rPr>
              <w:t xml:space="preserve"> – sale of </w:t>
            </w:r>
            <w:proofErr w:type="spellStart"/>
            <w:r w:rsidR="00BE69F1">
              <w:rPr>
                <w:rFonts w:ascii="Foundry Form Sans" w:hAnsi="Foundry Form Sans" w:cs="Arial"/>
                <w:b/>
                <w:bCs/>
                <w:szCs w:val="24"/>
              </w:rPr>
              <w:t>EastPlus</w:t>
            </w:r>
            <w:proofErr w:type="spellEnd"/>
            <w:r w:rsidR="00BE69F1">
              <w:rPr>
                <w:rFonts w:ascii="Foundry Form Sans" w:hAnsi="Foundry Form Sans" w:cs="Arial"/>
                <w:b/>
                <w:bCs/>
                <w:szCs w:val="24"/>
              </w:rPr>
              <w:t xml:space="preserve"> Plot 45, Ferry Lane, Rainham</w:t>
            </w:r>
            <w:bookmarkEnd w:id="0"/>
          </w:p>
        </w:tc>
      </w:tr>
    </w:tbl>
    <w:p w14:paraId="5F69A633" w14:textId="77777777" w:rsidR="00916BC4" w:rsidRPr="00FA068A" w:rsidRDefault="00916BC4" w:rsidP="00D749FA">
      <w:pPr>
        <w:rPr>
          <w:rFonts w:cs="Arial"/>
          <w:sz w:val="2"/>
          <w:szCs w:val="2"/>
        </w:rPr>
      </w:pPr>
    </w:p>
    <w:tbl>
      <w:tblPr>
        <w:tblW w:w="102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00"/>
      </w:tblGrid>
      <w:tr w:rsidR="00916BC4" w:rsidRPr="00866CB4" w14:paraId="1C85B443" w14:textId="77777777">
        <w:trPr>
          <w:trHeight w:val="1716"/>
        </w:trPr>
        <w:tc>
          <w:tcPr>
            <w:tcW w:w="10200" w:type="dxa"/>
          </w:tcPr>
          <w:p w14:paraId="7319DEB9" w14:textId="4C5FAA97" w:rsidR="00916BC4" w:rsidRDefault="00916BC4" w:rsidP="00D749FA">
            <w:pPr>
              <w:pStyle w:val="Header"/>
              <w:tabs>
                <w:tab w:val="clear" w:pos="4320"/>
                <w:tab w:val="clear" w:pos="8640"/>
              </w:tabs>
              <w:ind w:left="0" w:firstLine="0"/>
              <w:rPr>
                <w:rFonts w:ascii="Foundry Form Sans" w:hAnsi="Foundry Form Sans" w:cs="Arial"/>
                <w:b/>
                <w:bCs/>
                <w:szCs w:val="24"/>
              </w:rPr>
            </w:pPr>
            <w:r w:rsidRPr="00866CB4">
              <w:rPr>
                <w:rFonts w:ascii="Foundry Form Sans" w:hAnsi="Foundry Form Sans" w:cs="Arial"/>
                <w:b/>
                <w:bCs/>
                <w:szCs w:val="24"/>
              </w:rPr>
              <w:t xml:space="preserve">Executive </w:t>
            </w:r>
            <w:r w:rsidR="00C166A0">
              <w:rPr>
                <w:rFonts w:ascii="Foundry Form Sans" w:hAnsi="Foundry Form Sans" w:cs="Arial"/>
                <w:b/>
                <w:bCs/>
                <w:szCs w:val="24"/>
              </w:rPr>
              <w:t>s</w:t>
            </w:r>
            <w:r w:rsidR="00C166A0" w:rsidRPr="00866CB4">
              <w:rPr>
                <w:rFonts w:ascii="Foundry Form Sans" w:hAnsi="Foundry Form Sans" w:cs="Arial"/>
                <w:b/>
                <w:bCs/>
                <w:szCs w:val="24"/>
              </w:rPr>
              <w:t>ummary</w:t>
            </w:r>
            <w:r w:rsidRPr="00866CB4">
              <w:rPr>
                <w:rFonts w:ascii="Foundry Form Sans" w:hAnsi="Foundry Form Sans" w:cs="Arial"/>
                <w:b/>
                <w:bCs/>
                <w:szCs w:val="24"/>
              </w:rPr>
              <w:t xml:space="preserve">: </w:t>
            </w:r>
          </w:p>
          <w:p w14:paraId="286C7F79" w14:textId="77777777" w:rsidR="004A5154" w:rsidRPr="00866CB4" w:rsidRDefault="004A5154" w:rsidP="001303B7">
            <w:pPr>
              <w:pStyle w:val="Header"/>
              <w:tabs>
                <w:tab w:val="clear" w:pos="4320"/>
                <w:tab w:val="clear" w:pos="8640"/>
              </w:tabs>
              <w:ind w:left="0" w:firstLine="0"/>
              <w:rPr>
                <w:rFonts w:ascii="Foundry Form Sans" w:hAnsi="Foundry Form Sans" w:cs="Arial"/>
                <w:b/>
                <w:bCs/>
                <w:szCs w:val="24"/>
              </w:rPr>
            </w:pPr>
          </w:p>
          <w:p w14:paraId="4A9280BC" w14:textId="68E01595" w:rsidR="00603715" w:rsidRDefault="00603EA2" w:rsidP="00D749FA">
            <w:pPr>
              <w:pStyle w:val="Header"/>
              <w:tabs>
                <w:tab w:val="clear" w:pos="4320"/>
                <w:tab w:val="clear" w:pos="8640"/>
              </w:tabs>
              <w:ind w:left="0" w:firstLine="0"/>
              <w:rPr>
                <w:rFonts w:ascii="Foundry Form Sans" w:hAnsi="Foundry Form Sans" w:cs="Arial"/>
                <w:bCs/>
                <w:szCs w:val="24"/>
              </w:rPr>
            </w:pPr>
            <w:r>
              <w:rPr>
                <w:rFonts w:ascii="Foundry Form Sans" w:hAnsi="Foundry Form Sans" w:cs="Arial"/>
                <w:bCs/>
                <w:szCs w:val="24"/>
              </w:rPr>
              <w:t xml:space="preserve">This Mayoral Decision (MD) seeks approval for </w:t>
            </w:r>
            <w:r w:rsidR="00AA5A40">
              <w:rPr>
                <w:rFonts w:ascii="Foundry Form Sans" w:hAnsi="Foundry Form Sans" w:cs="Arial"/>
                <w:bCs/>
                <w:szCs w:val="24"/>
              </w:rPr>
              <w:t xml:space="preserve">GLA Land and Property Limited (GLAP) </w:t>
            </w:r>
            <w:r>
              <w:rPr>
                <w:rFonts w:ascii="Foundry Form Sans" w:hAnsi="Foundry Form Sans" w:cs="Arial"/>
                <w:bCs/>
                <w:szCs w:val="24"/>
              </w:rPr>
              <w:t>to progress</w:t>
            </w:r>
            <w:r w:rsidR="00AA5A40">
              <w:rPr>
                <w:rFonts w:ascii="Foundry Form Sans" w:hAnsi="Foundry Form Sans" w:cs="Arial"/>
                <w:bCs/>
                <w:szCs w:val="24"/>
              </w:rPr>
              <w:t xml:space="preserve"> the freehold sale of a plot of vacant industrial land in the </w:t>
            </w:r>
            <w:proofErr w:type="spellStart"/>
            <w:r w:rsidR="00AA5A40">
              <w:rPr>
                <w:rFonts w:ascii="Foundry Form Sans" w:hAnsi="Foundry Form Sans" w:cs="Arial"/>
                <w:bCs/>
                <w:szCs w:val="24"/>
              </w:rPr>
              <w:t>EastPlus</w:t>
            </w:r>
            <w:proofErr w:type="spellEnd"/>
            <w:r w:rsidR="00AA5A40">
              <w:rPr>
                <w:rFonts w:ascii="Foundry Form Sans" w:hAnsi="Foundry Form Sans" w:cs="Arial"/>
                <w:bCs/>
                <w:szCs w:val="24"/>
              </w:rPr>
              <w:t xml:space="preserve"> property portfolio to The Capital Dairy Company (Holdings) Limited. The disposal will enable the development of new industrial premises in Ferry Lane, Rainham</w:t>
            </w:r>
            <w:r w:rsidR="00AE5A5B">
              <w:rPr>
                <w:rFonts w:ascii="Foundry Form Sans" w:hAnsi="Foundry Form Sans" w:cs="Arial"/>
                <w:bCs/>
                <w:szCs w:val="24"/>
              </w:rPr>
              <w:t>,</w:t>
            </w:r>
            <w:r w:rsidR="00AA5A40">
              <w:rPr>
                <w:rFonts w:ascii="Foundry Form Sans" w:hAnsi="Foundry Form Sans" w:cs="Arial"/>
                <w:bCs/>
                <w:szCs w:val="24"/>
              </w:rPr>
              <w:t xml:space="preserve"> in </w:t>
            </w:r>
            <w:r w:rsidR="00C2609B">
              <w:rPr>
                <w:rFonts w:ascii="Foundry Form Sans" w:hAnsi="Foundry Form Sans" w:cs="Arial"/>
                <w:bCs/>
                <w:szCs w:val="24"/>
              </w:rPr>
              <w:t>e</w:t>
            </w:r>
            <w:r w:rsidR="00AA5A40">
              <w:rPr>
                <w:rFonts w:ascii="Foundry Form Sans" w:hAnsi="Foundry Form Sans" w:cs="Arial"/>
                <w:bCs/>
                <w:szCs w:val="24"/>
              </w:rPr>
              <w:t>ast London</w:t>
            </w:r>
            <w:r w:rsidR="00AE5A5B">
              <w:rPr>
                <w:rFonts w:ascii="Foundry Form Sans" w:hAnsi="Foundry Form Sans" w:cs="Arial"/>
                <w:bCs/>
                <w:szCs w:val="24"/>
              </w:rPr>
              <w:t xml:space="preserve">. This </w:t>
            </w:r>
            <w:r w:rsidR="00F31D65">
              <w:rPr>
                <w:rFonts w:ascii="Foundry Form Sans" w:hAnsi="Foundry Form Sans" w:cs="Arial"/>
                <w:bCs/>
                <w:szCs w:val="24"/>
              </w:rPr>
              <w:t>will</w:t>
            </w:r>
            <w:r w:rsidR="00D749FA">
              <w:rPr>
                <w:rFonts w:ascii="Foundry Form Sans" w:hAnsi="Foundry Form Sans" w:cs="Arial"/>
                <w:bCs/>
                <w:szCs w:val="24"/>
              </w:rPr>
              <w:t xml:space="preserve"> </w:t>
            </w:r>
            <w:r w:rsidR="00F31D65">
              <w:rPr>
                <w:rFonts w:ascii="Foundry Form Sans" w:hAnsi="Foundry Form Sans" w:cs="Arial"/>
                <w:bCs/>
                <w:szCs w:val="24"/>
              </w:rPr>
              <w:t xml:space="preserve">contribute to the regeneration of the local area and complement another local dairy that GLAP has helped to deliver on a nearby former </w:t>
            </w:r>
            <w:proofErr w:type="spellStart"/>
            <w:r w:rsidR="00F31D65">
              <w:rPr>
                <w:rFonts w:ascii="Foundry Form Sans" w:hAnsi="Foundry Form Sans" w:cs="Arial"/>
                <w:bCs/>
                <w:szCs w:val="24"/>
              </w:rPr>
              <w:t>EastPlus</w:t>
            </w:r>
            <w:proofErr w:type="spellEnd"/>
            <w:r w:rsidR="00F31D65">
              <w:rPr>
                <w:rFonts w:ascii="Foundry Form Sans" w:hAnsi="Foundry Form Sans" w:cs="Arial"/>
                <w:bCs/>
                <w:szCs w:val="24"/>
              </w:rPr>
              <w:t xml:space="preserve"> plot.</w:t>
            </w:r>
          </w:p>
          <w:p w14:paraId="2BB60246" w14:textId="77777777" w:rsidR="004A5154" w:rsidRPr="004D3AB2" w:rsidRDefault="004A5154" w:rsidP="001303B7">
            <w:pPr>
              <w:pStyle w:val="Header"/>
              <w:tabs>
                <w:tab w:val="clear" w:pos="4320"/>
                <w:tab w:val="clear" w:pos="8640"/>
              </w:tabs>
              <w:ind w:left="0" w:firstLine="0"/>
              <w:rPr>
                <w:rFonts w:ascii="Foundry Form Sans" w:hAnsi="Foundry Form Sans" w:cs="Arial"/>
                <w:b/>
                <w:bCs/>
                <w:i/>
                <w:sz w:val="18"/>
                <w:szCs w:val="18"/>
              </w:rPr>
            </w:pPr>
          </w:p>
          <w:p w14:paraId="7161884E" w14:textId="01822A0F" w:rsidR="006F60FF" w:rsidRPr="00866CB4" w:rsidRDefault="00FD3EE0" w:rsidP="001303B7">
            <w:pPr>
              <w:pStyle w:val="Header"/>
              <w:tabs>
                <w:tab w:val="clear" w:pos="4320"/>
                <w:tab w:val="clear" w:pos="8640"/>
              </w:tabs>
              <w:ind w:left="0" w:firstLine="0"/>
              <w:rPr>
                <w:rFonts w:ascii="Foundry Form Sans" w:hAnsi="Foundry Form Sans" w:cs="Arial"/>
                <w:bCs/>
                <w:szCs w:val="24"/>
              </w:rPr>
            </w:pPr>
            <w:r>
              <w:rPr>
                <w:rFonts w:ascii="Foundry Form Sans" w:hAnsi="Foundry Form Sans" w:cs="Arial"/>
                <w:bCs/>
                <w:szCs w:val="24"/>
              </w:rPr>
              <w:t xml:space="preserve">This MD </w:t>
            </w:r>
            <w:r w:rsidR="00AA5A40">
              <w:rPr>
                <w:rFonts w:ascii="Foundry Form Sans" w:hAnsi="Foundry Form Sans" w:cs="Arial"/>
                <w:bCs/>
                <w:szCs w:val="24"/>
              </w:rPr>
              <w:t xml:space="preserve">also seeks approval </w:t>
            </w:r>
            <w:r>
              <w:rPr>
                <w:rFonts w:ascii="Foundry Form Sans" w:hAnsi="Foundry Form Sans" w:cs="Arial"/>
                <w:bCs/>
                <w:szCs w:val="24"/>
              </w:rPr>
              <w:t xml:space="preserve">for GLAP </w:t>
            </w:r>
            <w:r w:rsidR="00AA5A40">
              <w:rPr>
                <w:rFonts w:ascii="Foundry Form Sans" w:hAnsi="Foundry Form Sans" w:cs="Arial"/>
                <w:bCs/>
                <w:szCs w:val="24"/>
              </w:rPr>
              <w:t xml:space="preserve">to transfer </w:t>
            </w:r>
            <w:r w:rsidR="00510A73">
              <w:rPr>
                <w:rFonts w:ascii="Foundry Form Sans" w:hAnsi="Foundry Form Sans" w:cs="Arial"/>
                <w:bCs/>
                <w:szCs w:val="24"/>
              </w:rPr>
              <w:t>a small piece of land off Halyard Street, Dagenham Dock</w:t>
            </w:r>
            <w:r w:rsidR="003132A1">
              <w:rPr>
                <w:rFonts w:ascii="Foundry Form Sans" w:hAnsi="Foundry Form Sans" w:cs="Arial"/>
                <w:bCs/>
                <w:szCs w:val="24"/>
              </w:rPr>
              <w:t>,</w:t>
            </w:r>
            <w:r w:rsidR="00510A73">
              <w:rPr>
                <w:rFonts w:ascii="Foundry Form Sans" w:hAnsi="Foundry Form Sans" w:cs="Arial"/>
                <w:bCs/>
                <w:szCs w:val="24"/>
              </w:rPr>
              <w:t xml:space="preserve"> to the same company to make space in the d</w:t>
            </w:r>
            <w:r w:rsidR="005D472A">
              <w:rPr>
                <w:rFonts w:ascii="Foundry Form Sans" w:hAnsi="Foundry Form Sans" w:cs="Arial"/>
                <w:bCs/>
                <w:szCs w:val="24"/>
              </w:rPr>
              <w:t>ai</w:t>
            </w:r>
            <w:r w:rsidR="00510A73">
              <w:rPr>
                <w:rFonts w:ascii="Foundry Form Sans" w:hAnsi="Foundry Form Sans" w:cs="Arial"/>
                <w:bCs/>
                <w:szCs w:val="24"/>
              </w:rPr>
              <w:t xml:space="preserve">ry yard for </w:t>
            </w:r>
            <w:r w:rsidR="00BF3E8A">
              <w:rPr>
                <w:rFonts w:ascii="Foundry Form Sans" w:hAnsi="Foundry Form Sans" w:cs="Arial"/>
                <w:bCs/>
                <w:szCs w:val="24"/>
              </w:rPr>
              <w:t xml:space="preserve">maintenance </w:t>
            </w:r>
            <w:r w:rsidR="00510A73">
              <w:rPr>
                <w:rFonts w:ascii="Foundry Form Sans" w:hAnsi="Foundry Form Sans" w:cs="Arial"/>
                <w:bCs/>
                <w:szCs w:val="24"/>
              </w:rPr>
              <w:t xml:space="preserve">access to an electrical substation </w:t>
            </w:r>
            <w:r w:rsidR="00BF3E8A">
              <w:rPr>
                <w:rFonts w:ascii="Foundry Form Sans" w:hAnsi="Foundry Form Sans" w:cs="Arial"/>
                <w:bCs/>
                <w:szCs w:val="24"/>
              </w:rPr>
              <w:t xml:space="preserve">that also serves other GLAP-owned land in the </w:t>
            </w:r>
            <w:proofErr w:type="spellStart"/>
            <w:r w:rsidR="00BF3E8A">
              <w:rPr>
                <w:rFonts w:ascii="Foundry Form Sans" w:hAnsi="Foundry Form Sans" w:cs="Arial"/>
                <w:bCs/>
                <w:szCs w:val="24"/>
              </w:rPr>
              <w:t>EastPlus</w:t>
            </w:r>
            <w:proofErr w:type="spellEnd"/>
            <w:r w:rsidR="00BF3E8A">
              <w:rPr>
                <w:rFonts w:ascii="Foundry Form Sans" w:hAnsi="Foundry Form Sans" w:cs="Arial"/>
                <w:bCs/>
                <w:szCs w:val="24"/>
              </w:rPr>
              <w:t xml:space="preserve"> portfolio.</w:t>
            </w:r>
          </w:p>
          <w:p w14:paraId="45B71AA3" w14:textId="77777777" w:rsidR="006F60FF" w:rsidRPr="00866CB4" w:rsidRDefault="006F60FF" w:rsidP="001303B7">
            <w:pPr>
              <w:pStyle w:val="Header"/>
              <w:tabs>
                <w:tab w:val="clear" w:pos="4320"/>
                <w:tab w:val="clear" w:pos="8640"/>
              </w:tabs>
              <w:ind w:left="0" w:firstLine="0"/>
              <w:rPr>
                <w:rFonts w:ascii="Foundry Form Sans" w:hAnsi="Foundry Form Sans" w:cs="Arial"/>
                <w:bCs/>
                <w:szCs w:val="24"/>
              </w:rPr>
            </w:pPr>
          </w:p>
        </w:tc>
      </w:tr>
    </w:tbl>
    <w:p w14:paraId="50612809" w14:textId="77777777" w:rsidR="00916BC4" w:rsidRPr="004D3AB2" w:rsidRDefault="00916BC4" w:rsidP="00D749FA">
      <w:pPr>
        <w:rPr>
          <w:rFonts w:cs="Arial"/>
          <w:sz w:val="12"/>
          <w:szCs w:val="12"/>
        </w:rPr>
      </w:pPr>
    </w:p>
    <w:tbl>
      <w:tblPr>
        <w:tblW w:w="102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00"/>
      </w:tblGrid>
      <w:tr w:rsidR="00916BC4" w:rsidRPr="00866CB4" w14:paraId="2708AB23" w14:textId="77777777">
        <w:trPr>
          <w:trHeight w:val="3969"/>
        </w:trPr>
        <w:tc>
          <w:tcPr>
            <w:tcW w:w="10200" w:type="dxa"/>
          </w:tcPr>
          <w:p w14:paraId="23D418EE" w14:textId="77777777" w:rsidR="004A5154" w:rsidRDefault="00916BC4" w:rsidP="00D749FA">
            <w:pPr>
              <w:pStyle w:val="Header"/>
              <w:tabs>
                <w:tab w:val="clear" w:pos="4320"/>
                <w:tab w:val="clear" w:pos="8640"/>
                <w:tab w:val="left" w:pos="4377"/>
              </w:tabs>
              <w:ind w:left="0" w:firstLine="0"/>
              <w:rPr>
                <w:rFonts w:ascii="Foundry Form Sans" w:hAnsi="Foundry Form Sans" w:cs="Arial"/>
                <w:b/>
                <w:bCs/>
                <w:szCs w:val="24"/>
              </w:rPr>
            </w:pPr>
            <w:r w:rsidRPr="00866CB4">
              <w:rPr>
                <w:rFonts w:ascii="Foundry Form Sans" w:hAnsi="Foundry Form Sans" w:cs="Arial"/>
                <w:b/>
                <w:bCs/>
                <w:szCs w:val="24"/>
              </w:rPr>
              <w:t>Decision:</w:t>
            </w:r>
          </w:p>
          <w:p w14:paraId="3501D4F4" w14:textId="549CF0F0" w:rsidR="00916BC4" w:rsidRPr="00824825" w:rsidRDefault="00F31D65" w:rsidP="001303B7">
            <w:pPr>
              <w:pStyle w:val="Header"/>
              <w:tabs>
                <w:tab w:val="clear" w:pos="4320"/>
                <w:tab w:val="clear" w:pos="8640"/>
                <w:tab w:val="left" w:pos="4377"/>
              </w:tabs>
              <w:ind w:left="0" w:firstLine="0"/>
              <w:rPr>
                <w:rFonts w:ascii="Foundry Form Sans" w:hAnsi="Foundry Form Sans" w:cs="Arial"/>
                <w:b/>
                <w:bCs/>
                <w:szCs w:val="24"/>
              </w:rPr>
            </w:pPr>
            <w:r>
              <w:rPr>
                <w:rFonts w:ascii="Foundry Form Sans" w:hAnsi="Foundry Form Sans" w:cs="Arial"/>
                <w:b/>
                <w:bCs/>
                <w:szCs w:val="24"/>
              </w:rPr>
              <w:tab/>
            </w:r>
          </w:p>
          <w:p w14:paraId="225370BB" w14:textId="3C09C691" w:rsidR="006F60FF" w:rsidRDefault="00510A73" w:rsidP="00FA068A">
            <w:pPr>
              <w:autoSpaceDE w:val="0"/>
              <w:autoSpaceDN w:val="0"/>
              <w:adjustRightInd w:val="0"/>
              <w:spacing w:after="120"/>
              <w:rPr>
                <w:rFonts w:cs="Arial"/>
                <w:bCs/>
              </w:rPr>
            </w:pPr>
            <w:r>
              <w:rPr>
                <w:rFonts w:cs="Arial"/>
                <w:bCs/>
              </w:rPr>
              <w:t>That the Mayor approves:</w:t>
            </w:r>
          </w:p>
          <w:p w14:paraId="62896C8A" w14:textId="57587214" w:rsidR="008A0397" w:rsidRPr="004A5154" w:rsidRDefault="00510A73" w:rsidP="004D3AB2">
            <w:pPr>
              <w:pStyle w:val="ListParagraph"/>
              <w:numPr>
                <w:ilvl w:val="0"/>
                <w:numId w:val="15"/>
              </w:numPr>
              <w:autoSpaceDE w:val="0"/>
              <w:autoSpaceDN w:val="0"/>
              <w:adjustRightInd w:val="0"/>
              <w:spacing w:after="120"/>
              <w:contextualSpacing w:val="0"/>
              <w:rPr>
                <w:rFonts w:cs="Arial"/>
                <w:bCs/>
              </w:rPr>
            </w:pPr>
            <w:r>
              <w:rPr>
                <w:rFonts w:cs="Arial"/>
                <w:bCs/>
              </w:rPr>
              <w:t xml:space="preserve">the disposal by </w:t>
            </w:r>
            <w:r w:rsidR="00035993">
              <w:rPr>
                <w:rFonts w:cs="Arial"/>
                <w:bCs/>
              </w:rPr>
              <w:t>GLAP</w:t>
            </w:r>
            <w:r>
              <w:rPr>
                <w:rFonts w:cs="Arial"/>
                <w:bCs/>
              </w:rPr>
              <w:t xml:space="preserve"> of </w:t>
            </w:r>
            <w:proofErr w:type="spellStart"/>
            <w:r>
              <w:rPr>
                <w:rFonts w:cs="Arial"/>
                <w:bCs/>
              </w:rPr>
              <w:t>EastPlus</w:t>
            </w:r>
            <w:proofErr w:type="spellEnd"/>
            <w:r>
              <w:rPr>
                <w:rFonts w:cs="Arial"/>
                <w:bCs/>
              </w:rPr>
              <w:t xml:space="preserve"> Plot 45 (formerly Beam Reach 8 Plot 8) in Ferry Lane, Rainham</w:t>
            </w:r>
            <w:r w:rsidR="003132A1">
              <w:rPr>
                <w:rFonts w:cs="Arial"/>
                <w:bCs/>
              </w:rPr>
              <w:t>,</w:t>
            </w:r>
            <w:r>
              <w:rPr>
                <w:rFonts w:cs="Arial"/>
                <w:bCs/>
              </w:rPr>
              <w:t xml:space="preserve"> to The Capital Dair</w:t>
            </w:r>
            <w:r w:rsidR="007657C0">
              <w:rPr>
                <w:rFonts w:cs="Arial"/>
                <w:bCs/>
              </w:rPr>
              <w:t xml:space="preserve">y </w:t>
            </w:r>
            <w:r>
              <w:rPr>
                <w:rFonts w:cs="Arial"/>
                <w:bCs/>
              </w:rPr>
              <w:t>Company (Holdings) Limited, materially on the terms set out in Part 2 of this Decision Form</w:t>
            </w:r>
          </w:p>
          <w:p w14:paraId="500D8366" w14:textId="4CEF2895" w:rsidR="00824825" w:rsidRPr="004A5154" w:rsidRDefault="00035993" w:rsidP="004D3AB2">
            <w:pPr>
              <w:pStyle w:val="ListParagraph"/>
              <w:numPr>
                <w:ilvl w:val="0"/>
                <w:numId w:val="15"/>
              </w:numPr>
              <w:autoSpaceDE w:val="0"/>
              <w:autoSpaceDN w:val="0"/>
              <w:adjustRightInd w:val="0"/>
              <w:spacing w:after="120"/>
              <w:contextualSpacing w:val="0"/>
              <w:rPr>
                <w:rFonts w:cs="Arial"/>
                <w:bCs/>
              </w:rPr>
            </w:pPr>
            <w:r>
              <w:rPr>
                <w:rFonts w:cs="Arial"/>
                <w:bCs/>
              </w:rPr>
              <w:t>GLAP</w:t>
            </w:r>
            <w:r w:rsidR="008A0397">
              <w:rPr>
                <w:rFonts w:cs="Arial"/>
                <w:bCs/>
              </w:rPr>
              <w:t xml:space="preserve"> entering into a deed of variation to the </w:t>
            </w:r>
            <w:proofErr w:type="spellStart"/>
            <w:r w:rsidR="008A0397">
              <w:rPr>
                <w:rFonts w:cs="Arial"/>
                <w:bCs/>
              </w:rPr>
              <w:t>EastPlus</w:t>
            </w:r>
            <w:proofErr w:type="spellEnd"/>
            <w:r w:rsidR="008A0397">
              <w:rPr>
                <w:rFonts w:cs="Arial"/>
                <w:bCs/>
              </w:rPr>
              <w:t xml:space="preserve"> Development Agreement dated 31 March 2016 (as amended) to facilitate this land sale</w:t>
            </w:r>
          </w:p>
          <w:p w14:paraId="06C0EA6A" w14:textId="15BECCD3" w:rsidR="00824825" w:rsidRPr="004A5154" w:rsidRDefault="00824825" w:rsidP="004D3AB2">
            <w:pPr>
              <w:pStyle w:val="ListParagraph"/>
              <w:numPr>
                <w:ilvl w:val="0"/>
                <w:numId w:val="15"/>
              </w:numPr>
              <w:autoSpaceDE w:val="0"/>
              <w:autoSpaceDN w:val="0"/>
              <w:adjustRightInd w:val="0"/>
              <w:spacing w:after="120"/>
              <w:contextualSpacing w:val="0"/>
              <w:rPr>
                <w:rFonts w:cs="Arial"/>
                <w:bCs/>
              </w:rPr>
            </w:pPr>
            <w:r>
              <w:rPr>
                <w:rFonts w:cs="Arial"/>
                <w:bCs/>
              </w:rPr>
              <w:t xml:space="preserve">the disposal by </w:t>
            </w:r>
            <w:r w:rsidR="00035993">
              <w:rPr>
                <w:rFonts w:cs="Arial"/>
                <w:bCs/>
              </w:rPr>
              <w:t>GLAP</w:t>
            </w:r>
            <w:r>
              <w:rPr>
                <w:rFonts w:cs="Arial"/>
                <w:bCs/>
              </w:rPr>
              <w:t xml:space="preserve"> of approx</w:t>
            </w:r>
            <w:r w:rsidR="003132A1">
              <w:rPr>
                <w:rFonts w:cs="Arial"/>
                <w:bCs/>
              </w:rPr>
              <w:t>imately</w:t>
            </w:r>
            <w:r>
              <w:rPr>
                <w:rFonts w:cs="Arial"/>
                <w:bCs/>
              </w:rPr>
              <w:t xml:space="preserve"> 0.04 hectares</w:t>
            </w:r>
            <w:r w:rsidR="00CD2F71">
              <w:rPr>
                <w:rFonts w:cs="Arial"/>
                <w:bCs/>
              </w:rPr>
              <w:t xml:space="preserve"> (0.1 acres)</w:t>
            </w:r>
            <w:r>
              <w:rPr>
                <w:rFonts w:cs="Arial"/>
                <w:bCs/>
              </w:rPr>
              <w:t xml:space="preserve"> of land at the eastern end of Halyard Street in Dagenham Dock to The Capital Dair</w:t>
            </w:r>
            <w:r w:rsidR="007657C0">
              <w:rPr>
                <w:rFonts w:cs="Arial"/>
                <w:bCs/>
              </w:rPr>
              <w:t>y</w:t>
            </w:r>
            <w:r>
              <w:rPr>
                <w:rFonts w:cs="Arial"/>
                <w:bCs/>
              </w:rPr>
              <w:t xml:space="preserve"> Company (Holdings) Limited, materially on the terms set out in Part 2 of this Decision Form</w:t>
            </w:r>
          </w:p>
          <w:p w14:paraId="3B28CB36" w14:textId="77A8DB67" w:rsidR="00916BC4" w:rsidRPr="00824825" w:rsidRDefault="00824825" w:rsidP="004D3AB2">
            <w:pPr>
              <w:pStyle w:val="ListParagraph"/>
              <w:numPr>
                <w:ilvl w:val="0"/>
                <w:numId w:val="15"/>
              </w:numPr>
              <w:autoSpaceDE w:val="0"/>
              <w:autoSpaceDN w:val="0"/>
              <w:adjustRightInd w:val="0"/>
              <w:spacing w:after="120"/>
              <w:contextualSpacing w:val="0"/>
              <w:rPr>
                <w:rFonts w:cs="Arial"/>
                <w:bCs/>
              </w:rPr>
            </w:pPr>
            <w:r>
              <w:rPr>
                <w:rFonts w:cs="Arial"/>
                <w:bCs/>
              </w:rPr>
              <w:t xml:space="preserve">expenditure by </w:t>
            </w:r>
            <w:r w:rsidR="00035993">
              <w:rPr>
                <w:rFonts w:cs="Arial"/>
                <w:bCs/>
              </w:rPr>
              <w:t>GLAP</w:t>
            </w:r>
            <w:r>
              <w:rPr>
                <w:rFonts w:cs="Arial"/>
                <w:bCs/>
              </w:rPr>
              <w:t xml:space="preserve"> on the </w:t>
            </w:r>
            <w:proofErr w:type="spellStart"/>
            <w:r>
              <w:rPr>
                <w:rFonts w:cs="Arial"/>
                <w:bCs/>
              </w:rPr>
              <w:t>EastPlus</w:t>
            </w:r>
            <w:proofErr w:type="spellEnd"/>
            <w:r>
              <w:rPr>
                <w:rFonts w:cs="Arial"/>
                <w:bCs/>
              </w:rPr>
              <w:t xml:space="preserve"> project of up to £9</w:t>
            </w:r>
            <w:r w:rsidR="00B55EE2">
              <w:rPr>
                <w:rFonts w:cs="Arial"/>
                <w:bCs/>
              </w:rPr>
              <w:t>5</w:t>
            </w:r>
            <w:r>
              <w:rPr>
                <w:rFonts w:cs="Arial"/>
                <w:bCs/>
              </w:rPr>
              <w:t>,000 on the sale</w:t>
            </w:r>
            <w:r w:rsidR="00603EA2">
              <w:rPr>
                <w:rFonts w:cs="Arial"/>
                <w:bCs/>
              </w:rPr>
              <w:t xml:space="preserve"> costs</w:t>
            </w:r>
            <w:r>
              <w:rPr>
                <w:rFonts w:cs="Arial"/>
                <w:bCs/>
              </w:rPr>
              <w:t xml:space="preserve"> of </w:t>
            </w:r>
            <w:proofErr w:type="spellStart"/>
            <w:r>
              <w:rPr>
                <w:rFonts w:cs="Arial"/>
                <w:bCs/>
              </w:rPr>
              <w:t>EastPlus</w:t>
            </w:r>
            <w:proofErr w:type="spellEnd"/>
            <w:r>
              <w:rPr>
                <w:rFonts w:cs="Arial"/>
                <w:bCs/>
              </w:rPr>
              <w:t xml:space="preserve"> Plot 45.</w:t>
            </w:r>
          </w:p>
        </w:tc>
      </w:tr>
    </w:tbl>
    <w:p w14:paraId="129A335C" w14:textId="77777777" w:rsidR="00603715" w:rsidRPr="004D3AB2" w:rsidRDefault="00603715" w:rsidP="00D749FA">
      <w:pPr>
        <w:rPr>
          <w:rFonts w:cs="Arial"/>
          <w:sz w:val="12"/>
          <w:szCs w:val="12"/>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6480"/>
        <w:gridCol w:w="3720"/>
      </w:tblGrid>
      <w:tr w:rsidR="00916BC4" w:rsidRPr="00866CB4" w14:paraId="511308B4" w14:textId="77777777">
        <w:tc>
          <w:tcPr>
            <w:tcW w:w="10200" w:type="dxa"/>
            <w:gridSpan w:val="2"/>
          </w:tcPr>
          <w:p w14:paraId="40B11B80" w14:textId="77777777" w:rsidR="00916BC4" w:rsidRDefault="00916BC4" w:rsidP="00D749FA">
            <w:pPr>
              <w:rPr>
                <w:rFonts w:cs="Arial"/>
                <w:b/>
                <w:bCs/>
              </w:rPr>
            </w:pPr>
            <w:r w:rsidRPr="00866CB4">
              <w:rPr>
                <w:rFonts w:cs="Arial"/>
                <w:b/>
                <w:bCs/>
              </w:rPr>
              <w:t>Mayor of London</w:t>
            </w:r>
          </w:p>
          <w:p w14:paraId="49B96948" w14:textId="77777777" w:rsidR="004A5154" w:rsidRPr="00866CB4" w:rsidRDefault="004A5154" w:rsidP="001303B7">
            <w:pPr>
              <w:rPr>
                <w:rFonts w:cs="Arial"/>
                <w:b/>
                <w:bCs/>
              </w:rPr>
            </w:pPr>
          </w:p>
          <w:p w14:paraId="6578D77D" w14:textId="77777777" w:rsidR="00AA5B09" w:rsidRPr="00866CB4" w:rsidRDefault="00AA5B09" w:rsidP="001303B7">
            <w:pPr>
              <w:rPr>
                <w:rFonts w:cs="Arial"/>
                <w:b/>
                <w:bCs/>
              </w:rPr>
            </w:pPr>
            <w:r w:rsidRPr="00866CB4">
              <w:t xml:space="preserve">I confirm that I do not have any </w:t>
            </w:r>
            <w:r w:rsidR="00051587" w:rsidRPr="00866CB4">
              <w:t>d</w:t>
            </w:r>
            <w:r w:rsidRPr="00866CB4">
              <w:t xml:space="preserve">isclosable </w:t>
            </w:r>
            <w:r w:rsidR="00051587" w:rsidRPr="00866CB4">
              <w:t>p</w:t>
            </w:r>
            <w:r w:rsidRPr="00866CB4">
              <w:t xml:space="preserve">ecuniary </w:t>
            </w:r>
            <w:r w:rsidR="00051587" w:rsidRPr="00866CB4">
              <w:t>i</w:t>
            </w:r>
            <w:r w:rsidRPr="00866CB4">
              <w:t>nterests in the proposed d</w:t>
            </w:r>
            <w:r w:rsidR="00603715">
              <w:t>ecision</w:t>
            </w:r>
            <w:r w:rsidR="005827EB" w:rsidRPr="00866CB4">
              <w:t xml:space="preserve"> and take the decision </w:t>
            </w:r>
            <w:r w:rsidRPr="00866CB4">
              <w:t>in compliance with the Code of Conduct for elected Members of the Authority.</w:t>
            </w:r>
          </w:p>
          <w:p w14:paraId="67EFB604" w14:textId="77777777" w:rsidR="00916BC4" w:rsidRPr="00866CB4" w:rsidRDefault="00916BC4" w:rsidP="001303B7">
            <w:pPr>
              <w:pStyle w:val="Header"/>
              <w:tabs>
                <w:tab w:val="clear" w:pos="4320"/>
                <w:tab w:val="clear" w:pos="8640"/>
              </w:tabs>
              <w:ind w:left="0" w:firstLine="0"/>
              <w:rPr>
                <w:rFonts w:ascii="Foundry Form Sans" w:hAnsi="Foundry Form Sans" w:cs="Arial"/>
                <w:szCs w:val="24"/>
              </w:rPr>
            </w:pPr>
            <w:r w:rsidRPr="00866CB4">
              <w:rPr>
                <w:rFonts w:ascii="Foundry Form Sans" w:hAnsi="Foundry Form Sans" w:cs="Arial"/>
                <w:szCs w:val="24"/>
              </w:rPr>
              <w:t>The</w:t>
            </w:r>
            <w:r w:rsidR="00051587" w:rsidRPr="00866CB4">
              <w:rPr>
                <w:rFonts w:ascii="Foundry Form Sans" w:hAnsi="Foundry Form Sans" w:cs="Arial"/>
                <w:szCs w:val="24"/>
              </w:rPr>
              <w:t xml:space="preserve"> above request has my approval.</w:t>
            </w:r>
          </w:p>
          <w:p w14:paraId="7226AEF6" w14:textId="77777777" w:rsidR="00051587" w:rsidRPr="00866CB4" w:rsidRDefault="00051587" w:rsidP="001303B7">
            <w:pPr>
              <w:pStyle w:val="Header"/>
              <w:tabs>
                <w:tab w:val="clear" w:pos="4320"/>
                <w:tab w:val="clear" w:pos="8640"/>
              </w:tabs>
              <w:ind w:left="0" w:firstLine="0"/>
              <w:rPr>
                <w:rFonts w:ascii="Foundry Form Sans" w:hAnsi="Foundry Form Sans" w:cs="Arial"/>
                <w:szCs w:val="24"/>
              </w:rPr>
            </w:pPr>
          </w:p>
        </w:tc>
      </w:tr>
      <w:tr w:rsidR="00916BC4" w:rsidRPr="00866CB4" w14:paraId="58F61479" w14:textId="77777777">
        <w:trPr>
          <w:trHeight w:val="851"/>
        </w:trPr>
        <w:tc>
          <w:tcPr>
            <w:tcW w:w="6480" w:type="dxa"/>
          </w:tcPr>
          <w:p w14:paraId="6241CC9C" w14:textId="77777777" w:rsidR="00916BC4" w:rsidRPr="00866CB4" w:rsidRDefault="00916BC4" w:rsidP="00D749FA">
            <w:pPr>
              <w:spacing w:before="120"/>
              <w:rPr>
                <w:rFonts w:cs="Arial"/>
                <w:b/>
                <w:bCs/>
              </w:rPr>
            </w:pPr>
            <w:r w:rsidRPr="00866CB4">
              <w:rPr>
                <w:rFonts w:cs="Arial"/>
                <w:b/>
                <w:bCs/>
              </w:rPr>
              <w:t>Signature</w:t>
            </w:r>
            <w:r w:rsidR="00051587" w:rsidRPr="00866CB4">
              <w:rPr>
                <w:rFonts w:cs="Arial"/>
                <w:b/>
                <w:bCs/>
              </w:rPr>
              <w:t>:</w:t>
            </w:r>
          </w:p>
          <w:p w14:paraId="11537A1B" w14:textId="77777777" w:rsidR="00916BC4" w:rsidRPr="00866CB4" w:rsidRDefault="00916BC4" w:rsidP="00D749FA">
            <w:pPr>
              <w:spacing w:before="120"/>
              <w:rPr>
                <w:rFonts w:cs="Arial"/>
              </w:rPr>
            </w:pPr>
            <w:r w:rsidRPr="00866CB4">
              <w:rPr>
                <w:rFonts w:cs="Arial"/>
              </w:rPr>
              <w:fldChar w:fldCharType="begin">
                <w:ffData>
                  <w:name w:val="Text3"/>
                  <w:enabled/>
                  <w:calcOnExit w:val="0"/>
                  <w:textInput/>
                </w:ffData>
              </w:fldChar>
            </w:r>
            <w:bookmarkStart w:id="1" w:name="Text3"/>
            <w:r w:rsidRPr="00866CB4">
              <w:rPr>
                <w:rFonts w:cs="Arial"/>
              </w:rPr>
              <w:instrText xml:space="preserve"> FORMTEXT </w:instrText>
            </w:r>
            <w:r w:rsidRPr="00866CB4">
              <w:rPr>
                <w:rFonts w:cs="Arial"/>
              </w:rPr>
            </w:r>
            <w:r w:rsidRPr="00866CB4">
              <w:rPr>
                <w:rFonts w:cs="Arial"/>
              </w:rPr>
              <w:fldChar w:fldCharType="separate"/>
            </w:r>
            <w:r w:rsidRPr="00866CB4">
              <w:rPr>
                <w:rFonts w:cs="Arial"/>
                <w:noProof/>
              </w:rPr>
              <w:t> </w:t>
            </w:r>
            <w:r w:rsidRPr="00866CB4">
              <w:rPr>
                <w:rFonts w:cs="Arial"/>
                <w:noProof/>
              </w:rPr>
              <w:t> </w:t>
            </w:r>
            <w:r w:rsidRPr="00866CB4">
              <w:rPr>
                <w:rFonts w:cs="Arial"/>
                <w:noProof/>
              </w:rPr>
              <w:t> </w:t>
            </w:r>
            <w:r w:rsidRPr="00866CB4">
              <w:rPr>
                <w:rFonts w:cs="Arial"/>
                <w:noProof/>
              </w:rPr>
              <w:t> </w:t>
            </w:r>
            <w:r w:rsidRPr="00866CB4">
              <w:rPr>
                <w:rFonts w:cs="Arial"/>
                <w:noProof/>
              </w:rPr>
              <w:t> </w:t>
            </w:r>
            <w:r w:rsidRPr="00866CB4">
              <w:rPr>
                <w:rFonts w:cs="Arial"/>
              </w:rPr>
              <w:fldChar w:fldCharType="end"/>
            </w:r>
            <w:bookmarkEnd w:id="1"/>
          </w:p>
          <w:p w14:paraId="4A8013D5" w14:textId="77777777" w:rsidR="00916BC4" w:rsidRPr="00866CB4" w:rsidRDefault="00916BC4" w:rsidP="00D749FA">
            <w:pPr>
              <w:spacing w:before="120"/>
              <w:rPr>
                <w:rFonts w:cs="Arial"/>
              </w:rPr>
            </w:pPr>
          </w:p>
        </w:tc>
        <w:tc>
          <w:tcPr>
            <w:tcW w:w="3720" w:type="dxa"/>
          </w:tcPr>
          <w:p w14:paraId="2E85AACC" w14:textId="307FC825" w:rsidR="00916BC4" w:rsidRPr="00866CB4" w:rsidRDefault="00916BC4" w:rsidP="00D749FA">
            <w:pPr>
              <w:spacing w:before="120"/>
              <w:rPr>
                <w:rFonts w:cs="Arial"/>
                <w:b/>
                <w:bCs/>
              </w:rPr>
            </w:pPr>
            <w:r w:rsidRPr="00866CB4">
              <w:rPr>
                <w:rFonts w:cs="Arial"/>
                <w:b/>
                <w:bCs/>
              </w:rPr>
              <w:t>Date</w:t>
            </w:r>
            <w:r w:rsidR="00051587" w:rsidRPr="00866CB4">
              <w:rPr>
                <w:rFonts w:cs="Arial"/>
                <w:b/>
                <w:bCs/>
              </w:rPr>
              <w:t>:</w:t>
            </w:r>
            <w:r w:rsidR="00D749FA">
              <w:rPr>
                <w:rFonts w:cs="Arial"/>
                <w:b/>
                <w:bCs/>
              </w:rPr>
              <w:t xml:space="preserve"> </w:t>
            </w:r>
            <w:r w:rsidRPr="00866CB4">
              <w:rPr>
                <w:rFonts w:cs="Arial"/>
                <w:b/>
                <w:bCs/>
              </w:rPr>
              <w:fldChar w:fldCharType="begin">
                <w:ffData>
                  <w:name w:val="Text2"/>
                  <w:enabled/>
                  <w:calcOnExit w:val="0"/>
                  <w:textInput/>
                </w:ffData>
              </w:fldChar>
            </w:r>
            <w:bookmarkStart w:id="2" w:name="Text2"/>
            <w:r w:rsidRPr="00866CB4">
              <w:rPr>
                <w:rFonts w:cs="Arial"/>
                <w:b/>
                <w:bCs/>
              </w:rPr>
              <w:instrText xml:space="preserve"> FORMTEXT </w:instrText>
            </w:r>
            <w:r w:rsidRPr="00866CB4">
              <w:rPr>
                <w:rFonts w:cs="Arial"/>
                <w:b/>
                <w:bCs/>
              </w:rPr>
            </w:r>
            <w:r w:rsidRPr="00866CB4">
              <w:rPr>
                <w:rFonts w:cs="Arial"/>
                <w:b/>
                <w:bCs/>
              </w:rPr>
              <w:fldChar w:fldCharType="separate"/>
            </w:r>
            <w:r w:rsidRPr="00866CB4">
              <w:rPr>
                <w:rFonts w:cs="Arial"/>
                <w:b/>
                <w:bCs/>
                <w:noProof/>
              </w:rPr>
              <w:t> </w:t>
            </w:r>
            <w:r w:rsidRPr="00866CB4">
              <w:rPr>
                <w:rFonts w:cs="Arial"/>
                <w:b/>
                <w:bCs/>
                <w:noProof/>
              </w:rPr>
              <w:t> </w:t>
            </w:r>
            <w:r w:rsidRPr="00866CB4">
              <w:rPr>
                <w:rFonts w:cs="Arial"/>
                <w:b/>
                <w:bCs/>
                <w:noProof/>
              </w:rPr>
              <w:t> </w:t>
            </w:r>
            <w:r w:rsidRPr="00866CB4">
              <w:rPr>
                <w:rFonts w:cs="Arial"/>
                <w:b/>
                <w:bCs/>
                <w:noProof/>
              </w:rPr>
              <w:t> </w:t>
            </w:r>
            <w:r w:rsidRPr="00866CB4">
              <w:rPr>
                <w:rFonts w:cs="Arial"/>
                <w:b/>
                <w:bCs/>
                <w:noProof/>
              </w:rPr>
              <w:t> </w:t>
            </w:r>
            <w:r w:rsidRPr="00866CB4">
              <w:rPr>
                <w:rFonts w:cs="Arial"/>
                <w:b/>
                <w:bCs/>
              </w:rPr>
              <w:fldChar w:fldCharType="end"/>
            </w:r>
            <w:bookmarkEnd w:id="2"/>
          </w:p>
        </w:tc>
      </w:tr>
    </w:tbl>
    <w:p w14:paraId="737C40EB" w14:textId="77777777" w:rsidR="00916BC4" w:rsidRPr="00603715" w:rsidRDefault="00916BC4" w:rsidP="00D749FA">
      <w:pPr>
        <w:sectPr w:rsidR="00916BC4" w:rsidRPr="00603715" w:rsidSect="00E5166C">
          <w:footerReference w:type="even" r:id="rId9"/>
          <w:pgSz w:w="11906" w:h="16838"/>
          <w:pgMar w:top="907" w:right="851" w:bottom="907" w:left="851" w:header="709" w:footer="709" w:gutter="0"/>
          <w:cols w:space="708"/>
          <w:docGrid w:linePitch="360"/>
        </w:sectPr>
      </w:pPr>
    </w:p>
    <w:p w14:paraId="00D364D8" w14:textId="4EDD1389" w:rsidR="00B007EA" w:rsidRPr="00866CB4" w:rsidRDefault="00B007EA" w:rsidP="001303B7">
      <w:pPr>
        <w:pStyle w:val="Footer"/>
        <w:tabs>
          <w:tab w:val="clear" w:pos="4320"/>
          <w:tab w:val="clear" w:pos="8640"/>
        </w:tabs>
        <w:outlineLvl w:val="0"/>
        <w:rPr>
          <w:rFonts w:cs="Arial"/>
          <w:b/>
        </w:rPr>
      </w:pPr>
      <w:r w:rsidRPr="00866CB4">
        <w:rPr>
          <w:rFonts w:cs="Arial"/>
          <w:b/>
          <w:bCs/>
        </w:rPr>
        <w:lastRenderedPageBreak/>
        <w:t xml:space="preserve">PART I </w:t>
      </w:r>
      <w:r w:rsidR="00D749FA">
        <w:rPr>
          <w:rFonts w:cs="Arial"/>
          <w:b/>
          <w:bCs/>
        </w:rPr>
        <w:t>–</w:t>
      </w:r>
      <w:r w:rsidRPr="00866CB4">
        <w:rPr>
          <w:rFonts w:cs="Arial"/>
          <w:b/>
          <w:bCs/>
        </w:rPr>
        <w:t xml:space="preserve"> NON-CONFIDENTIAL FACTS AND ADVICE TO THE MAYOR</w:t>
      </w:r>
      <w:r w:rsidRPr="00866CB4">
        <w:rPr>
          <w:rFonts w:cs="Arial"/>
          <w:b/>
        </w:rPr>
        <w:t xml:space="preserve"> </w:t>
      </w:r>
    </w:p>
    <w:p w14:paraId="640D54D6" w14:textId="77777777" w:rsidR="003C739D" w:rsidRDefault="003C739D" w:rsidP="00D749FA">
      <w:pPr>
        <w:pStyle w:val="Footer"/>
        <w:tabs>
          <w:tab w:val="clear" w:pos="4320"/>
          <w:tab w:val="clear" w:pos="8640"/>
        </w:tabs>
        <w:outlineLvl w:val="0"/>
        <w:rPr>
          <w:rFonts w:cs="Arial"/>
          <w:b/>
        </w:rPr>
      </w:pPr>
    </w:p>
    <w:p w14:paraId="48D0747B" w14:textId="6741D821" w:rsidR="00916BC4" w:rsidRPr="00866CB4" w:rsidRDefault="00916BC4" w:rsidP="001303B7">
      <w:pPr>
        <w:pStyle w:val="Footer"/>
        <w:tabs>
          <w:tab w:val="clear" w:pos="4320"/>
          <w:tab w:val="clear" w:pos="8640"/>
        </w:tabs>
        <w:outlineLvl w:val="0"/>
        <w:rPr>
          <w:rFonts w:cs="Arial"/>
          <w:b/>
        </w:rPr>
      </w:pPr>
      <w:r w:rsidRPr="00866CB4">
        <w:rPr>
          <w:rFonts w:cs="Arial"/>
          <w:b/>
        </w:rPr>
        <w:t>Decision required – supporting report</w:t>
      </w:r>
    </w:p>
    <w:p w14:paraId="37A28C23" w14:textId="77777777" w:rsidR="009A28F9" w:rsidRPr="00866CB4" w:rsidRDefault="009A28F9" w:rsidP="00D749FA">
      <w:pPr>
        <w:pStyle w:val="Footer"/>
        <w:tabs>
          <w:tab w:val="clear" w:pos="4320"/>
          <w:tab w:val="clear" w:pos="8640"/>
        </w:tabs>
        <w:rPr>
          <w:rFonts w:cs="Arial"/>
        </w:rPr>
      </w:pPr>
    </w:p>
    <w:p w14:paraId="71E6DCE0" w14:textId="77777777" w:rsidR="00603715" w:rsidRDefault="000479A9" w:rsidP="00FA068A">
      <w:pPr>
        <w:numPr>
          <w:ilvl w:val="0"/>
          <w:numId w:val="2"/>
        </w:numPr>
        <w:ind w:left="709" w:hanging="567"/>
        <w:rPr>
          <w:rFonts w:cs="Arial"/>
          <w:b/>
        </w:rPr>
      </w:pPr>
      <w:r w:rsidRPr="00866CB4">
        <w:rPr>
          <w:rFonts w:cs="Arial"/>
          <w:b/>
        </w:rPr>
        <w:t>Introduction and background</w:t>
      </w:r>
    </w:p>
    <w:p w14:paraId="1AFE947B" w14:textId="77777777" w:rsidR="003C739D" w:rsidRDefault="003C739D" w:rsidP="00B92B1C">
      <w:pPr>
        <w:ind w:left="709"/>
        <w:rPr>
          <w:rFonts w:cs="Arial"/>
          <w:b/>
        </w:rPr>
      </w:pPr>
    </w:p>
    <w:p w14:paraId="0BA53A67" w14:textId="12434551" w:rsidR="00410963" w:rsidRPr="001303B7" w:rsidRDefault="00824825" w:rsidP="00FA068A">
      <w:pPr>
        <w:numPr>
          <w:ilvl w:val="1"/>
          <w:numId w:val="2"/>
        </w:numPr>
        <w:ind w:left="709" w:hanging="567"/>
        <w:rPr>
          <w:rFonts w:cs="Arial"/>
          <w:b/>
          <w:iCs/>
        </w:rPr>
      </w:pPr>
      <w:r>
        <w:rPr>
          <w:rFonts w:cs="Arial"/>
          <w:iCs/>
        </w:rPr>
        <w:t xml:space="preserve">Industrial land and property in east London owned by GLA Land and Property Limited (GLAP) is being developed under an existing agreement with SEGRO </w:t>
      </w:r>
      <w:r w:rsidR="00D0403D">
        <w:rPr>
          <w:rFonts w:cs="Arial"/>
          <w:iCs/>
        </w:rPr>
        <w:t xml:space="preserve">Development </w:t>
      </w:r>
      <w:r>
        <w:rPr>
          <w:rFonts w:cs="Arial"/>
          <w:iCs/>
        </w:rPr>
        <w:t>Properties</w:t>
      </w:r>
      <w:r w:rsidR="00D0403D">
        <w:rPr>
          <w:rFonts w:cs="Arial"/>
          <w:iCs/>
        </w:rPr>
        <w:t xml:space="preserve"> Ltd (SEGRO) pursuant to Mayoral Decision (MD1620</w:t>
      </w:r>
      <w:r w:rsidR="003C795E">
        <w:rPr>
          <w:rFonts w:cs="Arial"/>
          <w:iCs/>
        </w:rPr>
        <w:t>)</w:t>
      </w:r>
      <w:r w:rsidR="003132A1">
        <w:rPr>
          <w:rFonts w:cs="Arial"/>
          <w:iCs/>
        </w:rPr>
        <w:t xml:space="preserve">, </w:t>
      </w:r>
      <w:r w:rsidR="00D0403D">
        <w:rPr>
          <w:rFonts w:cs="Arial"/>
          <w:iCs/>
        </w:rPr>
        <w:t>which approved their selection as development partner by entry into a development agreement in accordance with the GLA’s disposal plan.</w:t>
      </w:r>
    </w:p>
    <w:p w14:paraId="7810A7BA" w14:textId="77777777" w:rsidR="003C739D" w:rsidRPr="00D0403D" w:rsidRDefault="003C739D" w:rsidP="00B92B1C">
      <w:pPr>
        <w:ind w:left="709"/>
        <w:rPr>
          <w:rFonts w:cs="Arial"/>
          <w:b/>
          <w:iCs/>
        </w:rPr>
      </w:pPr>
    </w:p>
    <w:p w14:paraId="7E5D6F40" w14:textId="70B8ED41" w:rsidR="003C739D" w:rsidRPr="00B92B1C" w:rsidRDefault="00D0403D" w:rsidP="00B92B1C">
      <w:pPr>
        <w:spacing w:after="200"/>
        <w:ind w:left="709"/>
        <w:rPr>
          <w:rFonts w:cs="Arial"/>
          <w:iCs/>
          <w:u w:val="single"/>
        </w:rPr>
      </w:pPr>
      <w:r w:rsidRPr="001303B7">
        <w:rPr>
          <w:rFonts w:cs="Arial"/>
          <w:iCs/>
          <w:u w:val="single"/>
        </w:rPr>
        <w:t>Background</w:t>
      </w:r>
    </w:p>
    <w:p w14:paraId="23900C75" w14:textId="0BDB2220" w:rsidR="008E506D" w:rsidRPr="00B92B1C" w:rsidRDefault="00D0403D" w:rsidP="00FA068A">
      <w:pPr>
        <w:numPr>
          <w:ilvl w:val="1"/>
          <w:numId w:val="2"/>
        </w:numPr>
        <w:spacing w:after="200"/>
        <w:ind w:left="709" w:hanging="567"/>
        <w:rPr>
          <w:rFonts w:cs="Arial"/>
          <w:b/>
          <w:iCs/>
        </w:rPr>
      </w:pPr>
      <w:r>
        <w:rPr>
          <w:rFonts w:cs="Arial"/>
          <w:iCs/>
        </w:rPr>
        <w:t xml:space="preserve">The development of the </w:t>
      </w:r>
      <w:proofErr w:type="spellStart"/>
      <w:r>
        <w:rPr>
          <w:rFonts w:cs="Arial"/>
          <w:iCs/>
        </w:rPr>
        <w:t>EastPlus</w:t>
      </w:r>
      <w:proofErr w:type="spellEnd"/>
      <w:r>
        <w:rPr>
          <w:rFonts w:cs="Arial"/>
          <w:iCs/>
        </w:rPr>
        <w:t xml:space="preserve"> portfolio has the potential to create up to 4,000 jobs by 2026</w:t>
      </w:r>
      <w:r w:rsidR="004A5154">
        <w:rPr>
          <w:rFonts w:cs="Arial"/>
          <w:iCs/>
        </w:rPr>
        <w:t>-</w:t>
      </w:r>
      <w:r>
        <w:rPr>
          <w:rFonts w:cs="Arial"/>
          <w:iCs/>
        </w:rPr>
        <w:t>27.</w:t>
      </w:r>
    </w:p>
    <w:p w14:paraId="3B459030" w14:textId="46F9BB9A" w:rsidR="008E506D" w:rsidRPr="00B92B1C" w:rsidRDefault="00D0403D" w:rsidP="00FA068A">
      <w:pPr>
        <w:numPr>
          <w:ilvl w:val="1"/>
          <w:numId w:val="2"/>
        </w:numPr>
        <w:spacing w:after="200"/>
        <w:ind w:left="709" w:hanging="567"/>
        <w:rPr>
          <w:rFonts w:cs="Arial"/>
          <w:b/>
          <w:iCs/>
        </w:rPr>
      </w:pPr>
      <w:proofErr w:type="spellStart"/>
      <w:r>
        <w:rPr>
          <w:rFonts w:cs="Arial"/>
          <w:bCs/>
          <w:iCs/>
        </w:rPr>
        <w:t>EastPlus</w:t>
      </w:r>
      <w:proofErr w:type="spellEnd"/>
      <w:r>
        <w:rPr>
          <w:rFonts w:cs="Arial"/>
          <w:bCs/>
          <w:iCs/>
        </w:rPr>
        <w:t xml:space="preserve"> Plot 45 is the smallest of four industrial plots in the </w:t>
      </w:r>
      <w:proofErr w:type="spellStart"/>
      <w:r>
        <w:rPr>
          <w:rFonts w:cs="Arial"/>
          <w:bCs/>
          <w:iCs/>
        </w:rPr>
        <w:t>EastPlus</w:t>
      </w:r>
      <w:proofErr w:type="spellEnd"/>
      <w:r>
        <w:rPr>
          <w:rFonts w:cs="Arial"/>
          <w:bCs/>
          <w:iCs/>
        </w:rPr>
        <w:t xml:space="preserve"> portfolio in Ferry Lane, Rainham</w:t>
      </w:r>
      <w:r w:rsidR="00B258C3">
        <w:rPr>
          <w:rFonts w:cs="Arial"/>
          <w:bCs/>
          <w:iCs/>
        </w:rPr>
        <w:t>,</w:t>
      </w:r>
      <w:r>
        <w:rPr>
          <w:rFonts w:cs="Arial"/>
          <w:bCs/>
          <w:iCs/>
        </w:rPr>
        <w:t xml:space="preserve"> that are collectively being marketed by SEGRO further to their obligations under the </w:t>
      </w:r>
      <w:r w:rsidR="0099235B">
        <w:rPr>
          <w:rFonts w:cs="Arial"/>
          <w:bCs/>
          <w:iCs/>
        </w:rPr>
        <w:t xml:space="preserve">development </w:t>
      </w:r>
      <w:r>
        <w:rPr>
          <w:rFonts w:cs="Arial"/>
          <w:bCs/>
          <w:iCs/>
        </w:rPr>
        <w:t>agreement date</w:t>
      </w:r>
      <w:r w:rsidR="0099235B">
        <w:rPr>
          <w:rFonts w:cs="Arial"/>
          <w:bCs/>
          <w:iCs/>
        </w:rPr>
        <w:t>d</w:t>
      </w:r>
      <w:r>
        <w:rPr>
          <w:rFonts w:cs="Arial"/>
          <w:bCs/>
          <w:iCs/>
        </w:rPr>
        <w:t xml:space="preserve"> 31 March 2016 (the </w:t>
      </w:r>
      <w:bookmarkStart w:id="3" w:name="_Hlk97889319"/>
      <w:proofErr w:type="spellStart"/>
      <w:r>
        <w:rPr>
          <w:rFonts w:cs="Arial"/>
          <w:bCs/>
          <w:iCs/>
        </w:rPr>
        <w:t>EastPlus</w:t>
      </w:r>
      <w:proofErr w:type="spellEnd"/>
      <w:r>
        <w:rPr>
          <w:rFonts w:cs="Arial"/>
          <w:bCs/>
          <w:iCs/>
        </w:rPr>
        <w:t xml:space="preserve"> DA). Plot 45 is located on the eastern side of Ferry Lane</w:t>
      </w:r>
      <w:r w:rsidR="00CD2F71">
        <w:rPr>
          <w:rFonts w:cs="Arial"/>
          <w:bCs/>
          <w:iCs/>
        </w:rPr>
        <w:t xml:space="preserve"> near to Easter Park Rainham</w:t>
      </w:r>
      <w:bookmarkEnd w:id="3"/>
      <w:r w:rsidR="00CD2F71">
        <w:rPr>
          <w:rFonts w:cs="Arial"/>
          <w:bCs/>
          <w:iCs/>
        </w:rPr>
        <w:t xml:space="preserve">, in the London Borough of </w:t>
      </w:r>
      <w:r w:rsidR="00F14D3F">
        <w:rPr>
          <w:rFonts w:cs="Arial"/>
          <w:bCs/>
          <w:iCs/>
        </w:rPr>
        <w:t>Havering</w:t>
      </w:r>
      <w:r w:rsidR="00CD2F71">
        <w:rPr>
          <w:rFonts w:cs="Arial"/>
          <w:bCs/>
          <w:iCs/>
        </w:rPr>
        <w:t>, and has an entrance directly off Ferry Lane, an adopted highway.</w:t>
      </w:r>
    </w:p>
    <w:p w14:paraId="1F7E4EFE" w14:textId="284F1A0A" w:rsidR="008E506D" w:rsidRPr="00B92B1C" w:rsidRDefault="00CD2F71" w:rsidP="00FA068A">
      <w:pPr>
        <w:numPr>
          <w:ilvl w:val="1"/>
          <w:numId w:val="2"/>
        </w:numPr>
        <w:spacing w:after="200"/>
        <w:ind w:left="709" w:hanging="567"/>
        <w:rPr>
          <w:rFonts w:cs="Arial"/>
          <w:b/>
          <w:iCs/>
        </w:rPr>
      </w:pPr>
      <w:r>
        <w:rPr>
          <w:rFonts w:cs="Arial"/>
          <w:bCs/>
          <w:iCs/>
        </w:rPr>
        <w:t>The industrial site (no buildings) comprises approximately 0.</w:t>
      </w:r>
      <w:r w:rsidR="0016156D">
        <w:rPr>
          <w:rFonts w:cs="Arial"/>
          <w:bCs/>
          <w:iCs/>
        </w:rPr>
        <w:t>18</w:t>
      </w:r>
      <w:r>
        <w:rPr>
          <w:rFonts w:cs="Arial"/>
          <w:bCs/>
          <w:iCs/>
        </w:rPr>
        <w:t xml:space="preserve"> hectares (0.</w:t>
      </w:r>
      <w:r w:rsidR="0016156D">
        <w:rPr>
          <w:rFonts w:cs="Arial"/>
          <w:bCs/>
          <w:iCs/>
        </w:rPr>
        <w:t>44</w:t>
      </w:r>
      <w:r>
        <w:rPr>
          <w:rFonts w:cs="Arial"/>
          <w:bCs/>
          <w:iCs/>
        </w:rPr>
        <w:t xml:space="preserve"> acres)</w:t>
      </w:r>
      <w:r w:rsidR="0016156D">
        <w:rPr>
          <w:rFonts w:cs="Arial"/>
          <w:bCs/>
          <w:iCs/>
        </w:rPr>
        <w:t xml:space="preserve"> </w:t>
      </w:r>
      <w:r>
        <w:rPr>
          <w:rFonts w:cs="Arial"/>
          <w:bCs/>
          <w:iCs/>
        </w:rPr>
        <w:t xml:space="preserve">gross and is located at the rear of </w:t>
      </w:r>
      <w:r w:rsidR="002762F5">
        <w:rPr>
          <w:rFonts w:cs="Arial"/>
          <w:bCs/>
          <w:iCs/>
        </w:rPr>
        <w:t>Harbour House (Coldharbour Lane</w:t>
      </w:r>
      <w:r w:rsidR="0016156D">
        <w:rPr>
          <w:rFonts w:cs="Arial"/>
          <w:bCs/>
          <w:iCs/>
        </w:rPr>
        <w:t>,</w:t>
      </w:r>
      <w:r w:rsidR="002762F5">
        <w:rPr>
          <w:rFonts w:cs="Arial"/>
          <w:bCs/>
          <w:iCs/>
        </w:rPr>
        <w:t xml:space="preserve"> RM13 9YA)</w:t>
      </w:r>
      <w:r>
        <w:rPr>
          <w:rFonts w:cs="Arial"/>
          <w:bCs/>
          <w:iCs/>
        </w:rPr>
        <w:t>, a landmark multi-storey commercial building. The development site is fenced off from other land on its south-eastern boundary that will be retained by GLAP for</w:t>
      </w:r>
      <w:r w:rsidR="008B6278">
        <w:rPr>
          <w:rFonts w:cs="Arial"/>
          <w:bCs/>
          <w:iCs/>
        </w:rPr>
        <w:t xml:space="preserve">: </w:t>
      </w:r>
      <w:r>
        <w:rPr>
          <w:rFonts w:cs="Arial"/>
          <w:bCs/>
          <w:iCs/>
        </w:rPr>
        <w:t>public open space</w:t>
      </w:r>
      <w:r w:rsidR="008B6278">
        <w:rPr>
          <w:rFonts w:cs="Arial"/>
          <w:bCs/>
          <w:iCs/>
        </w:rPr>
        <w:t>;</w:t>
      </w:r>
      <w:r>
        <w:rPr>
          <w:rFonts w:cs="Arial"/>
          <w:bCs/>
          <w:iCs/>
        </w:rPr>
        <w:t xml:space="preserve"> and</w:t>
      </w:r>
      <w:r w:rsidR="00CC5CE5">
        <w:rPr>
          <w:rFonts w:cs="Arial"/>
          <w:bCs/>
          <w:iCs/>
        </w:rPr>
        <w:t xml:space="preserve"> </w:t>
      </w:r>
      <w:r>
        <w:rPr>
          <w:rFonts w:cs="Arial"/>
          <w:bCs/>
          <w:iCs/>
        </w:rPr>
        <w:t xml:space="preserve">a footpath linking Ferry </w:t>
      </w:r>
      <w:r w:rsidR="000D7FB7">
        <w:rPr>
          <w:rFonts w:cs="Arial"/>
          <w:bCs/>
          <w:iCs/>
        </w:rPr>
        <w:t>Lane to Coldharbour Lane (to the east) in Rainham. The site is within walking distance of Rainham Railway station (London, Tilbury and Southend Railway Line).</w:t>
      </w:r>
    </w:p>
    <w:p w14:paraId="550091B6" w14:textId="22334274" w:rsidR="004A5154" w:rsidRPr="00B92B1C" w:rsidRDefault="000D7FB7" w:rsidP="00FA068A">
      <w:pPr>
        <w:numPr>
          <w:ilvl w:val="1"/>
          <w:numId w:val="2"/>
        </w:numPr>
        <w:spacing w:after="200"/>
        <w:ind w:left="709" w:hanging="567"/>
        <w:rPr>
          <w:rFonts w:cs="Arial"/>
          <w:b/>
          <w:iCs/>
        </w:rPr>
      </w:pPr>
      <w:r>
        <w:rPr>
          <w:rFonts w:cs="Arial"/>
          <w:bCs/>
          <w:iCs/>
        </w:rPr>
        <w:t xml:space="preserve">The land drawdown process prescribed in the </w:t>
      </w:r>
      <w:proofErr w:type="spellStart"/>
      <w:r>
        <w:rPr>
          <w:rFonts w:cs="Arial"/>
          <w:bCs/>
          <w:iCs/>
        </w:rPr>
        <w:t>EastPlus</w:t>
      </w:r>
      <w:proofErr w:type="spellEnd"/>
      <w:r>
        <w:rPr>
          <w:rFonts w:cs="Arial"/>
          <w:bCs/>
          <w:iCs/>
        </w:rPr>
        <w:t xml:space="preserve"> </w:t>
      </w:r>
      <w:r w:rsidR="0099235B">
        <w:rPr>
          <w:rFonts w:cs="Arial"/>
          <w:bCs/>
          <w:iCs/>
        </w:rPr>
        <w:t>development agreement</w:t>
      </w:r>
      <w:r>
        <w:rPr>
          <w:rFonts w:cs="Arial"/>
          <w:bCs/>
          <w:iCs/>
        </w:rPr>
        <w:t xml:space="preserve"> requires the developer, SEGRO, to submit a Site</w:t>
      </w:r>
      <w:r w:rsidR="00861903">
        <w:rPr>
          <w:rFonts w:cs="Arial"/>
          <w:bCs/>
          <w:iCs/>
        </w:rPr>
        <w:t>-</w:t>
      </w:r>
      <w:r>
        <w:rPr>
          <w:rFonts w:cs="Arial"/>
          <w:bCs/>
          <w:iCs/>
        </w:rPr>
        <w:t xml:space="preserve">Specific Development Plan (SSDP) to GLAP for the developer to develop the site in accordance with </w:t>
      </w:r>
      <w:r w:rsidR="007657C0">
        <w:rPr>
          <w:rFonts w:cs="Arial"/>
          <w:bCs/>
          <w:iCs/>
        </w:rPr>
        <w:t xml:space="preserve">the </w:t>
      </w:r>
      <w:r>
        <w:rPr>
          <w:rFonts w:cs="Arial"/>
          <w:bCs/>
          <w:iCs/>
        </w:rPr>
        <w:t>SSDP and planning consent. The small size of the plot (which is physically constrained on all</w:t>
      </w:r>
      <w:r w:rsidR="00496F2A">
        <w:rPr>
          <w:rFonts w:cs="Arial"/>
          <w:bCs/>
          <w:iCs/>
        </w:rPr>
        <w:t xml:space="preserve"> </w:t>
      </w:r>
      <w:r>
        <w:rPr>
          <w:rFonts w:cs="Arial"/>
          <w:bCs/>
          <w:iCs/>
        </w:rPr>
        <w:t>sides) makes it uneconomic</w:t>
      </w:r>
      <w:r w:rsidR="0099235B">
        <w:rPr>
          <w:rFonts w:cs="Arial"/>
          <w:bCs/>
          <w:iCs/>
        </w:rPr>
        <w:t>al</w:t>
      </w:r>
      <w:r>
        <w:rPr>
          <w:rFonts w:cs="Arial"/>
          <w:bCs/>
          <w:iCs/>
        </w:rPr>
        <w:t xml:space="preserve"> for SEGRO to develop. </w:t>
      </w:r>
      <w:r w:rsidR="007657C0">
        <w:rPr>
          <w:rFonts w:cs="Arial"/>
          <w:bCs/>
          <w:iCs/>
        </w:rPr>
        <w:t xml:space="preserve">So, after offering </w:t>
      </w:r>
      <w:r>
        <w:rPr>
          <w:rFonts w:cs="Arial"/>
          <w:bCs/>
          <w:iCs/>
        </w:rPr>
        <w:t>the plot</w:t>
      </w:r>
      <w:r w:rsidR="007657C0">
        <w:rPr>
          <w:rFonts w:cs="Arial"/>
          <w:bCs/>
          <w:iCs/>
        </w:rPr>
        <w:t xml:space="preserve"> </w:t>
      </w:r>
      <w:r>
        <w:rPr>
          <w:rFonts w:cs="Arial"/>
          <w:bCs/>
          <w:iCs/>
        </w:rPr>
        <w:t>for sale</w:t>
      </w:r>
      <w:r w:rsidR="007657C0">
        <w:rPr>
          <w:rFonts w:cs="Arial"/>
          <w:bCs/>
          <w:iCs/>
        </w:rPr>
        <w:t xml:space="preserve"> during 2020-2021 for a suitable use, it is proposed that GLAP sell</w:t>
      </w:r>
      <w:r w:rsidR="00F7356B">
        <w:rPr>
          <w:rFonts w:cs="Arial"/>
          <w:bCs/>
          <w:iCs/>
        </w:rPr>
        <w:t>s</w:t>
      </w:r>
      <w:r w:rsidR="007657C0">
        <w:rPr>
          <w:rFonts w:cs="Arial"/>
          <w:bCs/>
          <w:iCs/>
        </w:rPr>
        <w:t xml:space="preserve"> the freehold of the plot directly to The Capital Dairy Company (Holdings) Limited, incorporating in the sale documentation both the buyback and overage conditions </w:t>
      </w:r>
      <w:r w:rsidR="0099235B">
        <w:rPr>
          <w:rFonts w:cs="Arial"/>
          <w:bCs/>
          <w:iCs/>
        </w:rPr>
        <w:t xml:space="preserve">as provided for </w:t>
      </w:r>
      <w:r w:rsidR="007657C0">
        <w:rPr>
          <w:rFonts w:cs="Arial"/>
          <w:bCs/>
          <w:iCs/>
        </w:rPr>
        <w:t xml:space="preserve">in the </w:t>
      </w:r>
      <w:proofErr w:type="spellStart"/>
      <w:r w:rsidR="007657C0">
        <w:rPr>
          <w:rFonts w:cs="Arial"/>
          <w:bCs/>
          <w:iCs/>
        </w:rPr>
        <w:t>EastPlus</w:t>
      </w:r>
      <w:proofErr w:type="spellEnd"/>
      <w:r w:rsidR="007657C0">
        <w:rPr>
          <w:rFonts w:cs="Arial"/>
          <w:bCs/>
          <w:iCs/>
        </w:rPr>
        <w:t xml:space="preserve"> DA</w:t>
      </w:r>
      <w:r w:rsidR="0099235B">
        <w:rPr>
          <w:rFonts w:cs="Arial"/>
          <w:bCs/>
          <w:iCs/>
        </w:rPr>
        <w:t>,</w:t>
      </w:r>
      <w:r w:rsidR="007657C0">
        <w:rPr>
          <w:rFonts w:cs="Arial"/>
          <w:bCs/>
          <w:iCs/>
        </w:rPr>
        <w:t xml:space="preserve"> to ensure that the site is put to economic use fairly promptly.</w:t>
      </w:r>
    </w:p>
    <w:p w14:paraId="0B45E5FA" w14:textId="430AB3DE" w:rsidR="00FA1D98" w:rsidRPr="001303B7" w:rsidRDefault="008A0397" w:rsidP="00FA068A">
      <w:pPr>
        <w:numPr>
          <w:ilvl w:val="1"/>
          <w:numId w:val="2"/>
        </w:numPr>
        <w:spacing w:after="200"/>
        <w:ind w:left="709" w:hanging="567"/>
        <w:rPr>
          <w:rFonts w:cs="Arial"/>
          <w:b/>
          <w:iCs/>
        </w:rPr>
      </w:pPr>
      <w:r w:rsidRPr="00AD3336">
        <w:rPr>
          <w:rFonts w:cs="Arial"/>
          <w:bCs/>
          <w:iCs/>
        </w:rPr>
        <w:t xml:space="preserve">SEGRO has agreed to waive its rights under the </w:t>
      </w:r>
      <w:proofErr w:type="spellStart"/>
      <w:r w:rsidRPr="00AD3336">
        <w:rPr>
          <w:rFonts w:cs="Arial"/>
          <w:bCs/>
          <w:iCs/>
        </w:rPr>
        <w:t>EastPlus</w:t>
      </w:r>
      <w:proofErr w:type="spellEnd"/>
      <w:r w:rsidRPr="00AD3336">
        <w:rPr>
          <w:rFonts w:cs="Arial"/>
          <w:bCs/>
          <w:iCs/>
        </w:rPr>
        <w:t xml:space="preserve"> DA, in particular foregoing the developer’s profit, in respect of </w:t>
      </w:r>
      <w:proofErr w:type="spellStart"/>
      <w:r w:rsidRPr="00AD3336">
        <w:rPr>
          <w:rFonts w:cs="Arial"/>
          <w:bCs/>
          <w:iCs/>
        </w:rPr>
        <w:t>EastPlus</w:t>
      </w:r>
      <w:proofErr w:type="spellEnd"/>
      <w:r w:rsidRPr="00AD3336">
        <w:rPr>
          <w:rFonts w:cs="Arial"/>
          <w:bCs/>
          <w:iCs/>
        </w:rPr>
        <w:t xml:space="preserve"> Plot 45, an arrangement </w:t>
      </w:r>
      <w:r w:rsidR="00D23E22">
        <w:rPr>
          <w:rFonts w:cs="Arial"/>
          <w:bCs/>
          <w:iCs/>
        </w:rPr>
        <w:t>that</w:t>
      </w:r>
      <w:r w:rsidR="00D23E22" w:rsidRPr="00AD3336">
        <w:rPr>
          <w:rFonts w:cs="Arial"/>
          <w:bCs/>
          <w:iCs/>
        </w:rPr>
        <w:t xml:space="preserve"> </w:t>
      </w:r>
      <w:r w:rsidRPr="00AD3336">
        <w:rPr>
          <w:rFonts w:cs="Arial"/>
          <w:bCs/>
          <w:iCs/>
        </w:rPr>
        <w:t>require</w:t>
      </w:r>
      <w:r w:rsidR="0099235B">
        <w:rPr>
          <w:rFonts w:cs="Arial"/>
          <w:bCs/>
          <w:iCs/>
        </w:rPr>
        <w:t>s</w:t>
      </w:r>
      <w:r w:rsidRPr="00AD3336">
        <w:rPr>
          <w:rFonts w:cs="Arial"/>
          <w:bCs/>
          <w:iCs/>
        </w:rPr>
        <w:t xml:space="preserve"> a minor deed of variation to the development agreement. SEGRO will be reimbursed </w:t>
      </w:r>
      <w:r w:rsidR="00AD3336" w:rsidRPr="00AD3336">
        <w:rPr>
          <w:rFonts w:cs="Arial"/>
          <w:bCs/>
          <w:iCs/>
        </w:rPr>
        <w:t>(from the proceeds of the plot sale) for i</w:t>
      </w:r>
      <w:r w:rsidRPr="00AD3336">
        <w:rPr>
          <w:rFonts w:cs="Arial"/>
          <w:bCs/>
          <w:iCs/>
        </w:rPr>
        <w:t xml:space="preserve">ts </w:t>
      </w:r>
      <w:r w:rsidR="00AD3336" w:rsidRPr="00AD3336">
        <w:rPr>
          <w:rFonts w:cs="Arial"/>
          <w:bCs/>
          <w:iCs/>
        </w:rPr>
        <w:t xml:space="preserve">site survey and site clearance costs </w:t>
      </w:r>
      <w:r w:rsidR="002C0417">
        <w:rPr>
          <w:rFonts w:cs="Arial"/>
          <w:bCs/>
          <w:iCs/>
        </w:rPr>
        <w:t>(which</w:t>
      </w:r>
      <w:r w:rsidR="005456BD">
        <w:rPr>
          <w:rFonts w:cs="Arial"/>
          <w:bCs/>
          <w:iCs/>
        </w:rPr>
        <w:t xml:space="preserve"> </w:t>
      </w:r>
      <w:r w:rsidR="00AD3336" w:rsidRPr="00AD3336">
        <w:rPr>
          <w:rFonts w:cs="Arial"/>
          <w:bCs/>
          <w:iCs/>
        </w:rPr>
        <w:t>would</w:t>
      </w:r>
      <w:r w:rsidR="005456BD">
        <w:rPr>
          <w:rFonts w:cs="Arial"/>
          <w:bCs/>
          <w:iCs/>
        </w:rPr>
        <w:t xml:space="preserve"> be expected to be </w:t>
      </w:r>
      <w:r w:rsidR="00AD3336" w:rsidRPr="00AD3336">
        <w:rPr>
          <w:rFonts w:cs="Arial"/>
          <w:bCs/>
          <w:iCs/>
        </w:rPr>
        <w:t>incurred to effect the sale</w:t>
      </w:r>
      <w:r w:rsidR="002C0417" w:rsidRPr="001303B7">
        <w:rPr>
          <w:rFonts w:cs="Arial"/>
          <w:bCs/>
          <w:iCs/>
        </w:rPr>
        <w:t>)</w:t>
      </w:r>
      <w:r w:rsidR="002C0417">
        <w:rPr>
          <w:rFonts w:cs="Arial"/>
          <w:b/>
          <w:iCs/>
        </w:rPr>
        <w:t xml:space="preserve"> </w:t>
      </w:r>
      <w:r w:rsidR="00AD3336" w:rsidRPr="00AD3336">
        <w:rPr>
          <w:rFonts w:cs="Arial"/>
          <w:bCs/>
          <w:iCs/>
        </w:rPr>
        <w:t>after</w:t>
      </w:r>
      <w:r w:rsidR="00FA1D98">
        <w:rPr>
          <w:rFonts w:cs="Arial"/>
          <w:bCs/>
          <w:iCs/>
        </w:rPr>
        <w:t>:</w:t>
      </w:r>
    </w:p>
    <w:p w14:paraId="0C1B0BFB" w14:textId="0CA3360D" w:rsidR="00FA1D98" w:rsidRPr="00FA1D98" w:rsidRDefault="00AD3336" w:rsidP="00FA068A">
      <w:pPr>
        <w:pStyle w:val="ListParagraph"/>
        <w:numPr>
          <w:ilvl w:val="0"/>
          <w:numId w:val="12"/>
        </w:numPr>
        <w:spacing w:after="200"/>
        <w:ind w:left="993" w:hanging="284"/>
        <w:contextualSpacing w:val="0"/>
        <w:rPr>
          <w:rFonts w:cs="Arial"/>
          <w:bCs/>
          <w:iCs/>
        </w:rPr>
      </w:pPr>
      <w:r w:rsidRPr="00FA1D98">
        <w:rPr>
          <w:rFonts w:cs="Arial"/>
          <w:bCs/>
          <w:iCs/>
        </w:rPr>
        <w:t xml:space="preserve">these costs have been scrutinised by GLAP’s cost consultant on </w:t>
      </w:r>
      <w:proofErr w:type="spellStart"/>
      <w:r w:rsidRPr="00FA1D98">
        <w:rPr>
          <w:rFonts w:cs="Arial"/>
          <w:bCs/>
          <w:iCs/>
        </w:rPr>
        <w:t>EastPlus</w:t>
      </w:r>
      <w:proofErr w:type="spellEnd"/>
      <w:r w:rsidRPr="00FA1D98">
        <w:rPr>
          <w:rFonts w:cs="Arial"/>
          <w:bCs/>
          <w:iCs/>
        </w:rPr>
        <w:t>, Lambert Smith Hampton (LSH)</w:t>
      </w:r>
    </w:p>
    <w:p w14:paraId="6DDCEE58" w14:textId="7C054668" w:rsidR="004A5154" w:rsidRPr="00B92B1C" w:rsidRDefault="00AD3336" w:rsidP="00FA068A">
      <w:pPr>
        <w:pStyle w:val="ListParagraph"/>
        <w:numPr>
          <w:ilvl w:val="0"/>
          <w:numId w:val="12"/>
        </w:numPr>
        <w:spacing w:after="200"/>
        <w:ind w:left="993" w:hanging="284"/>
        <w:contextualSpacing w:val="0"/>
        <w:rPr>
          <w:rFonts w:cs="Arial"/>
          <w:b/>
          <w:iCs/>
        </w:rPr>
      </w:pPr>
      <w:r w:rsidRPr="00FA1D98">
        <w:rPr>
          <w:rFonts w:cs="Arial"/>
          <w:bCs/>
          <w:iCs/>
        </w:rPr>
        <w:t>GLAP has received a VAT invoice for the agreed sum.</w:t>
      </w:r>
    </w:p>
    <w:p w14:paraId="08292E94" w14:textId="6CACDDFE" w:rsidR="004A5154" w:rsidRPr="00B92B1C" w:rsidRDefault="00AD3336" w:rsidP="00FA068A">
      <w:pPr>
        <w:numPr>
          <w:ilvl w:val="1"/>
          <w:numId w:val="2"/>
        </w:numPr>
        <w:spacing w:after="200"/>
        <w:ind w:left="709" w:hanging="567"/>
        <w:rPr>
          <w:rFonts w:cs="Arial"/>
          <w:b/>
          <w:iCs/>
        </w:rPr>
      </w:pPr>
      <w:r>
        <w:rPr>
          <w:rFonts w:cs="Arial"/>
          <w:bCs/>
          <w:iCs/>
        </w:rPr>
        <w:t xml:space="preserve">The legal costs </w:t>
      </w:r>
      <w:r w:rsidR="0099235B">
        <w:rPr>
          <w:rFonts w:cs="Arial"/>
          <w:bCs/>
          <w:iCs/>
        </w:rPr>
        <w:t>for the</w:t>
      </w:r>
      <w:r>
        <w:rPr>
          <w:rFonts w:cs="Arial"/>
          <w:bCs/>
          <w:iCs/>
        </w:rPr>
        <w:t xml:space="preserve"> sale on </w:t>
      </w:r>
      <w:proofErr w:type="spellStart"/>
      <w:r>
        <w:rPr>
          <w:rFonts w:cs="Arial"/>
          <w:bCs/>
          <w:iCs/>
        </w:rPr>
        <w:t>EastPlus</w:t>
      </w:r>
      <w:proofErr w:type="spellEnd"/>
      <w:r>
        <w:rPr>
          <w:rFonts w:cs="Arial"/>
          <w:bCs/>
          <w:iCs/>
        </w:rPr>
        <w:t xml:space="preserve"> Plot 45 (and for </w:t>
      </w:r>
      <w:r w:rsidR="00D117E3">
        <w:rPr>
          <w:rFonts w:cs="Arial"/>
          <w:bCs/>
          <w:iCs/>
        </w:rPr>
        <w:t>o</w:t>
      </w:r>
      <w:r>
        <w:rPr>
          <w:rFonts w:cs="Arial"/>
          <w:bCs/>
          <w:iCs/>
        </w:rPr>
        <w:t>ther plot</w:t>
      </w:r>
      <w:r w:rsidR="00FC4741">
        <w:rPr>
          <w:rFonts w:cs="Arial"/>
          <w:bCs/>
          <w:iCs/>
        </w:rPr>
        <w:t xml:space="preserve">s </w:t>
      </w:r>
      <w:r>
        <w:rPr>
          <w:rFonts w:cs="Arial"/>
          <w:bCs/>
          <w:iCs/>
        </w:rPr>
        <w:t xml:space="preserve">in the </w:t>
      </w:r>
      <w:proofErr w:type="spellStart"/>
      <w:r>
        <w:rPr>
          <w:rFonts w:cs="Arial"/>
          <w:bCs/>
          <w:iCs/>
        </w:rPr>
        <w:t>EastPlus</w:t>
      </w:r>
      <w:proofErr w:type="spellEnd"/>
      <w:r>
        <w:rPr>
          <w:rFonts w:cs="Arial"/>
          <w:bCs/>
          <w:iCs/>
        </w:rPr>
        <w:t xml:space="preserve"> portfolio) are</w:t>
      </w:r>
      <w:r w:rsidR="005456BD">
        <w:rPr>
          <w:rFonts w:cs="Arial"/>
          <w:bCs/>
          <w:iCs/>
        </w:rPr>
        <w:t xml:space="preserve"> </w:t>
      </w:r>
      <w:r>
        <w:rPr>
          <w:rFonts w:cs="Arial"/>
          <w:bCs/>
          <w:iCs/>
        </w:rPr>
        <w:t>scrutinised and managed by TfL Legal.</w:t>
      </w:r>
    </w:p>
    <w:p w14:paraId="3527CA78" w14:textId="0B57818E" w:rsidR="004A5154" w:rsidRPr="00B92B1C" w:rsidRDefault="00AD3336" w:rsidP="00FA068A">
      <w:pPr>
        <w:numPr>
          <w:ilvl w:val="1"/>
          <w:numId w:val="2"/>
        </w:numPr>
        <w:spacing w:after="200"/>
        <w:ind w:left="709" w:hanging="567"/>
        <w:rPr>
          <w:rFonts w:cs="Arial"/>
          <w:b/>
          <w:iCs/>
        </w:rPr>
      </w:pPr>
      <w:r>
        <w:rPr>
          <w:rFonts w:cs="Arial"/>
          <w:bCs/>
          <w:iCs/>
        </w:rPr>
        <w:t xml:space="preserve">The rate of plot sales from the </w:t>
      </w:r>
      <w:proofErr w:type="spellStart"/>
      <w:r>
        <w:rPr>
          <w:rFonts w:cs="Arial"/>
          <w:bCs/>
          <w:iCs/>
        </w:rPr>
        <w:t>EastPlus</w:t>
      </w:r>
      <w:proofErr w:type="spellEnd"/>
      <w:r>
        <w:rPr>
          <w:rFonts w:cs="Arial"/>
          <w:bCs/>
          <w:iCs/>
        </w:rPr>
        <w:t xml:space="preserve"> portfolio (three in the 2020</w:t>
      </w:r>
      <w:r w:rsidR="00B31584">
        <w:rPr>
          <w:rFonts w:cs="Arial"/>
          <w:bCs/>
          <w:iCs/>
        </w:rPr>
        <w:t>-</w:t>
      </w:r>
      <w:r>
        <w:rPr>
          <w:rFonts w:cs="Arial"/>
          <w:bCs/>
          <w:iCs/>
        </w:rPr>
        <w:t xml:space="preserve">21 financial year) and the new premises recently completed </w:t>
      </w:r>
      <w:r w:rsidR="00F9036E">
        <w:rPr>
          <w:rFonts w:cs="Arial"/>
          <w:bCs/>
          <w:iCs/>
        </w:rPr>
        <w:t>by SEGRO in Ferry Lane (c</w:t>
      </w:r>
      <w:r w:rsidR="00B31584">
        <w:rPr>
          <w:rFonts w:cs="Arial"/>
          <w:bCs/>
          <w:iCs/>
        </w:rPr>
        <w:t>irca</w:t>
      </w:r>
      <w:r w:rsidR="00F9036E">
        <w:rPr>
          <w:rFonts w:cs="Arial"/>
          <w:bCs/>
          <w:iCs/>
        </w:rPr>
        <w:t xml:space="preserve"> 9,290 sq</w:t>
      </w:r>
      <w:r w:rsidR="00B31584">
        <w:rPr>
          <w:rFonts w:cs="Arial"/>
          <w:bCs/>
          <w:iCs/>
        </w:rPr>
        <w:t>uare</w:t>
      </w:r>
      <w:r w:rsidR="00F9036E">
        <w:rPr>
          <w:rFonts w:cs="Arial"/>
          <w:bCs/>
          <w:iCs/>
        </w:rPr>
        <w:t xml:space="preserve"> metres/100,000 sq</w:t>
      </w:r>
      <w:r w:rsidR="00B31584">
        <w:rPr>
          <w:rFonts w:cs="Arial"/>
          <w:bCs/>
          <w:iCs/>
        </w:rPr>
        <w:t xml:space="preserve">uare </w:t>
      </w:r>
      <w:r w:rsidR="00F9036E">
        <w:rPr>
          <w:rFonts w:cs="Arial"/>
          <w:bCs/>
          <w:iCs/>
        </w:rPr>
        <w:t>f</w:t>
      </w:r>
      <w:r w:rsidR="00B31584">
        <w:rPr>
          <w:rFonts w:cs="Arial"/>
          <w:bCs/>
          <w:iCs/>
        </w:rPr>
        <w:t>ee</w:t>
      </w:r>
      <w:r w:rsidR="00F9036E">
        <w:rPr>
          <w:rFonts w:cs="Arial"/>
          <w:bCs/>
          <w:iCs/>
        </w:rPr>
        <w:t>t</w:t>
      </w:r>
      <w:r w:rsidR="00B31584">
        <w:rPr>
          <w:rFonts w:cs="Arial"/>
          <w:bCs/>
          <w:iCs/>
        </w:rPr>
        <w:t xml:space="preserve"> of a</w:t>
      </w:r>
      <w:r w:rsidR="00F9036E">
        <w:rPr>
          <w:rFonts w:cs="Arial"/>
          <w:bCs/>
          <w:iCs/>
        </w:rPr>
        <w:t xml:space="preserve"> food distribution warehouse for </w:t>
      </w:r>
      <w:proofErr w:type="spellStart"/>
      <w:r w:rsidR="00F9036E">
        <w:rPr>
          <w:rFonts w:cs="Arial"/>
          <w:bCs/>
          <w:iCs/>
        </w:rPr>
        <w:t>Wanis</w:t>
      </w:r>
      <w:proofErr w:type="spellEnd"/>
      <w:r w:rsidR="001303B7">
        <w:rPr>
          <w:rFonts w:cs="Arial"/>
          <w:bCs/>
          <w:iCs/>
        </w:rPr>
        <w:t xml:space="preserve"> International Foods</w:t>
      </w:r>
      <w:r w:rsidR="00F9036E">
        <w:rPr>
          <w:rFonts w:cs="Arial"/>
          <w:bCs/>
          <w:iCs/>
        </w:rPr>
        <w:t xml:space="preserve">) and in </w:t>
      </w:r>
      <w:proofErr w:type="spellStart"/>
      <w:r w:rsidR="00F9036E">
        <w:rPr>
          <w:rFonts w:cs="Arial"/>
          <w:bCs/>
          <w:iCs/>
        </w:rPr>
        <w:t>H</w:t>
      </w:r>
      <w:r w:rsidR="005456BD">
        <w:rPr>
          <w:rFonts w:cs="Arial"/>
          <w:bCs/>
          <w:iCs/>
        </w:rPr>
        <w:t>indmans</w:t>
      </w:r>
      <w:proofErr w:type="spellEnd"/>
      <w:r w:rsidR="005456BD">
        <w:rPr>
          <w:rFonts w:cs="Arial"/>
          <w:bCs/>
          <w:iCs/>
        </w:rPr>
        <w:t xml:space="preserve"> Way, </w:t>
      </w:r>
      <w:r w:rsidR="00F9036E">
        <w:rPr>
          <w:rFonts w:cs="Arial"/>
          <w:bCs/>
          <w:iCs/>
        </w:rPr>
        <w:t>Dagenham Dock (a new dairy) is indicative of the good progress that has been made on the project</w:t>
      </w:r>
      <w:r w:rsidR="00F31D65">
        <w:rPr>
          <w:rFonts w:cs="Arial"/>
          <w:bCs/>
          <w:iCs/>
        </w:rPr>
        <w:t xml:space="preserve"> and the GLA’s role in the regeneration of the local area.</w:t>
      </w:r>
    </w:p>
    <w:p w14:paraId="537E9109" w14:textId="7A427462" w:rsidR="00F9036E" w:rsidRPr="00AD3336" w:rsidRDefault="00C77140" w:rsidP="00FA068A">
      <w:pPr>
        <w:numPr>
          <w:ilvl w:val="1"/>
          <w:numId w:val="2"/>
        </w:numPr>
        <w:ind w:left="709" w:hanging="567"/>
        <w:rPr>
          <w:rFonts w:cs="Arial"/>
          <w:b/>
          <w:iCs/>
        </w:rPr>
      </w:pPr>
      <w:r>
        <w:rPr>
          <w:rFonts w:cs="Arial"/>
          <w:bCs/>
          <w:iCs/>
        </w:rPr>
        <w:t xml:space="preserve">SEGRO has also collaborated with GLAP to improve the local highway infrastructure serving The Capital Dairy Company (Holdings) Limited’s new dairy in </w:t>
      </w:r>
      <w:proofErr w:type="spellStart"/>
      <w:r>
        <w:rPr>
          <w:rFonts w:cs="Arial"/>
          <w:bCs/>
          <w:iCs/>
        </w:rPr>
        <w:t>Hindmans</w:t>
      </w:r>
      <w:proofErr w:type="spellEnd"/>
      <w:r>
        <w:rPr>
          <w:rFonts w:cs="Arial"/>
          <w:bCs/>
          <w:iCs/>
        </w:rPr>
        <w:t xml:space="preserve"> Way in time for its opening</w:t>
      </w:r>
      <w:r w:rsidR="00D117E3">
        <w:rPr>
          <w:rFonts w:cs="Arial"/>
          <w:bCs/>
          <w:iCs/>
        </w:rPr>
        <w:t xml:space="preserve"> </w:t>
      </w:r>
      <w:r w:rsidR="00D117E3">
        <w:rPr>
          <w:rFonts w:cs="Arial"/>
          <w:bCs/>
          <w:iCs/>
        </w:rPr>
        <w:lastRenderedPageBreak/>
        <w:t>pursuant to MD2437 (dated 11 July 2019)</w:t>
      </w:r>
      <w:r w:rsidR="00496F2A">
        <w:rPr>
          <w:rFonts w:cs="Arial"/>
          <w:bCs/>
          <w:iCs/>
        </w:rPr>
        <w:t>,</w:t>
      </w:r>
      <w:r w:rsidR="00D117E3">
        <w:rPr>
          <w:rFonts w:cs="Arial"/>
          <w:bCs/>
          <w:iCs/>
        </w:rPr>
        <w:t xml:space="preserve"> and has strengthen the local electricity supply network </w:t>
      </w:r>
      <w:r w:rsidR="00496F2A">
        <w:rPr>
          <w:rFonts w:cs="Arial"/>
          <w:bCs/>
          <w:iCs/>
        </w:rPr>
        <w:t>(</w:t>
      </w:r>
      <w:r w:rsidR="00D117E3">
        <w:rPr>
          <w:rFonts w:cs="Arial"/>
          <w:bCs/>
          <w:iCs/>
        </w:rPr>
        <w:t xml:space="preserve">where they are developing </w:t>
      </w:r>
      <w:proofErr w:type="spellStart"/>
      <w:r w:rsidR="00D117E3">
        <w:rPr>
          <w:rFonts w:cs="Arial"/>
          <w:bCs/>
          <w:iCs/>
        </w:rPr>
        <w:t>EastPlus</w:t>
      </w:r>
      <w:proofErr w:type="spellEnd"/>
      <w:r w:rsidR="00D117E3">
        <w:rPr>
          <w:rFonts w:cs="Arial"/>
          <w:bCs/>
          <w:iCs/>
        </w:rPr>
        <w:t xml:space="preserve"> land</w:t>
      </w:r>
      <w:r w:rsidR="00496F2A">
        <w:rPr>
          <w:rFonts w:cs="Arial"/>
          <w:bCs/>
          <w:iCs/>
        </w:rPr>
        <w:t>)</w:t>
      </w:r>
      <w:r w:rsidR="00D117E3">
        <w:rPr>
          <w:rFonts w:cs="Arial"/>
          <w:bCs/>
          <w:iCs/>
        </w:rPr>
        <w:t xml:space="preserve"> by constructing several local new substations in the last year pursuant to MD2771 (dated 2 March 2021).</w:t>
      </w:r>
    </w:p>
    <w:p w14:paraId="5CBE44ED" w14:textId="77777777" w:rsidR="001B7B27" w:rsidRDefault="001B7B27" w:rsidP="00B92B1C">
      <w:pPr>
        <w:pStyle w:val="Footer"/>
        <w:tabs>
          <w:tab w:val="clear" w:pos="4320"/>
          <w:tab w:val="clear" w:pos="8640"/>
        </w:tabs>
        <w:ind w:left="709"/>
        <w:rPr>
          <w:rFonts w:cs="Arial"/>
        </w:rPr>
      </w:pPr>
    </w:p>
    <w:p w14:paraId="555BB7CD" w14:textId="77777777" w:rsidR="004A5154" w:rsidRPr="00866CB4" w:rsidRDefault="004A5154" w:rsidP="00B92B1C">
      <w:pPr>
        <w:pStyle w:val="Footer"/>
        <w:tabs>
          <w:tab w:val="clear" w:pos="4320"/>
          <w:tab w:val="clear" w:pos="8640"/>
        </w:tabs>
        <w:ind w:left="709"/>
        <w:rPr>
          <w:rFonts w:cs="Arial"/>
        </w:rPr>
      </w:pPr>
    </w:p>
    <w:p w14:paraId="0A672B31" w14:textId="29EB788F" w:rsidR="000479A9" w:rsidRDefault="000479A9" w:rsidP="00FA068A">
      <w:pPr>
        <w:numPr>
          <w:ilvl w:val="0"/>
          <w:numId w:val="2"/>
        </w:numPr>
        <w:ind w:left="709" w:hanging="567"/>
        <w:rPr>
          <w:rFonts w:cs="Arial"/>
          <w:b/>
        </w:rPr>
      </w:pPr>
      <w:r w:rsidRPr="00866CB4">
        <w:rPr>
          <w:rFonts w:cs="Arial"/>
          <w:b/>
        </w:rPr>
        <w:t>Objectives and expected outcome</w:t>
      </w:r>
    </w:p>
    <w:p w14:paraId="497CBE98" w14:textId="51A8B358" w:rsidR="00B64D66" w:rsidRDefault="00B64D66" w:rsidP="00B92B1C">
      <w:pPr>
        <w:ind w:left="709"/>
        <w:rPr>
          <w:rFonts w:cs="Arial"/>
          <w:b/>
        </w:rPr>
      </w:pPr>
    </w:p>
    <w:p w14:paraId="22C3A1D5" w14:textId="3F3AB4A1" w:rsidR="00BE4E02" w:rsidRPr="00B92B1C" w:rsidRDefault="00B64D66" w:rsidP="00B92B1C">
      <w:pPr>
        <w:spacing w:after="200"/>
        <w:ind w:left="709"/>
        <w:rPr>
          <w:rFonts w:cs="Arial"/>
          <w:bCs/>
          <w:u w:val="single"/>
        </w:rPr>
      </w:pPr>
      <w:r w:rsidRPr="001303B7">
        <w:rPr>
          <w:rFonts w:cs="Arial"/>
          <w:bCs/>
          <w:u w:val="single"/>
        </w:rPr>
        <w:t xml:space="preserve">Sale of </w:t>
      </w:r>
      <w:proofErr w:type="spellStart"/>
      <w:r w:rsidRPr="001303B7">
        <w:rPr>
          <w:rFonts w:cs="Arial"/>
          <w:bCs/>
          <w:u w:val="single"/>
        </w:rPr>
        <w:t>EastPlus</w:t>
      </w:r>
      <w:proofErr w:type="spellEnd"/>
      <w:r w:rsidRPr="001303B7">
        <w:rPr>
          <w:rFonts w:cs="Arial"/>
          <w:bCs/>
          <w:u w:val="single"/>
        </w:rPr>
        <w:t xml:space="preserve"> Plot 45</w:t>
      </w:r>
    </w:p>
    <w:p w14:paraId="5A0DD1FB" w14:textId="365A3F49" w:rsidR="005E7BFE" w:rsidRPr="00B92B1C" w:rsidRDefault="00BE4E02" w:rsidP="00FA068A">
      <w:pPr>
        <w:pStyle w:val="BodyTextIndent3"/>
        <w:numPr>
          <w:ilvl w:val="0"/>
          <w:numId w:val="7"/>
        </w:numPr>
        <w:spacing w:after="200" w:line="240" w:lineRule="auto"/>
        <w:ind w:left="709" w:hanging="567"/>
        <w:rPr>
          <w:rFonts w:cs="Arial"/>
          <w:szCs w:val="24"/>
        </w:rPr>
      </w:pPr>
      <w:bookmarkStart w:id="4" w:name="_Hlk98412565"/>
      <w:r>
        <w:rPr>
          <w:rFonts w:cs="Arial"/>
          <w:szCs w:val="24"/>
        </w:rPr>
        <w:t>The central objective of this decision is to capture a development opportunity</w:t>
      </w:r>
      <w:r w:rsidR="00533FF1">
        <w:rPr>
          <w:rFonts w:cs="Arial"/>
          <w:szCs w:val="24"/>
        </w:rPr>
        <w:t xml:space="preserve">. </w:t>
      </w:r>
      <w:r w:rsidR="001303B7">
        <w:rPr>
          <w:rFonts w:cs="Arial"/>
          <w:szCs w:val="24"/>
        </w:rPr>
        <w:t xml:space="preserve">The </w:t>
      </w:r>
      <w:r>
        <w:rPr>
          <w:rFonts w:cs="Arial"/>
          <w:szCs w:val="24"/>
        </w:rPr>
        <w:t xml:space="preserve">direct sale of industrial land by GLAP </w:t>
      </w:r>
      <w:r w:rsidR="005E7BFE">
        <w:rPr>
          <w:rFonts w:cs="Arial"/>
          <w:szCs w:val="24"/>
        </w:rPr>
        <w:t xml:space="preserve">to </w:t>
      </w:r>
      <w:r>
        <w:rPr>
          <w:rFonts w:cs="Arial"/>
          <w:szCs w:val="24"/>
        </w:rPr>
        <w:t>an establish</w:t>
      </w:r>
      <w:r w:rsidR="005E7BFE">
        <w:rPr>
          <w:rFonts w:cs="Arial"/>
          <w:szCs w:val="24"/>
        </w:rPr>
        <w:t>ed</w:t>
      </w:r>
      <w:r>
        <w:rPr>
          <w:rFonts w:cs="Arial"/>
          <w:szCs w:val="24"/>
        </w:rPr>
        <w:t xml:space="preserve"> local </w:t>
      </w:r>
      <w:r w:rsidR="005E7BFE">
        <w:rPr>
          <w:rFonts w:cs="Arial"/>
          <w:szCs w:val="24"/>
        </w:rPr>
        <w:t xml:space="preserve">employer will </w:t>
      </w:r>
      <w:r w:rsidR="001303B7">
        <w:rPr>
          <w:rFonts w:cs="Arial"/>
          <w:szCs w:val="24"/>
        </w:rPr>
        <w:t xml:space="preserve">also </w:t>
      </w:r>
      <w:r w:rsidR="005E7BFE">
        <w:rPr>
          <w:rFonts w:cs="Arial"/>
          <w:szCs w:val="24"/>
        </w:rPr>
        <w:t xml:space="preserve">achieve </w:t>
      </w:r>
      <w:r w:rsidR="0099235B">
        <w:rPr>
          <w:rFonts w:cs="Arial"/>
          <w:szCs w:val="24"/>
        </w:rPr>
        <w:t>b</w:t>
      </w:r>
      <w:r w:rsidR="005E7BFE">
        <w:rPr>
          <w:rFonts w:cs="Arial"/>
          <w:szCs w:val="24"/>
        </w:rPr>
        <w:t xml:space="preserve">est </w:t>
      </w:r>
      <w:r w:rsidR="0099235B">
        <w:rPr>
          <w:rFonts w:cs="Arial"/>
          <w:szCs w:val="24"/>
        </w:rPr>
        <w:t>c</w:t>
      </w:r>
      <w:r w:rsidR="005E7BFE">
        <w:rPr>
          <w:rFonts w:cs="Arial"/>
          <w:szCs w:val="24"/>
        </w:rPr>
        <w:t>onsideration</w:t>
      </w:r>
      <w:r w:rsidR="00CC5CE5">
        <w:rPr>
          <w:rFonts w:cs="Arial"/>
          <w:szCs w:val="24"/>
        </w:rPr>
        <w:t>.</w:t>
      </w:r>
      <w:bookmarkEnd w:id="4"/>
    </w:p>
    <w:p w14:paraId="7BEDE781" w14:textId="5A39F493" w:rsidR="005E7BFE" w:rsidRPr="00B92B1C" w:rsidRDefault="00BE4E02" w:rsidP="00FA068A">
      <w:pPr>
        <w:pStyle w:val="BodyTextIndent3"/>
        <w:numPr>
          <w:ilvl w:val="0"/>
          <w:numId w:val="7"/>
        </w:numPr>
        <w:spacing w:after="200" w:line="240" w:lineRule="auto"/>
        <w:ind w:left="709" w:hanging="567"/>
        <w:rPr>
          <w:rFonts w:cs="Arial"/>
        </w:rPr>
      </w:pPr>
      <w:r w:rsidRPr="00CE4A00">
        <w:rPr>
          <w:rFonts w:cs="Arial"/>
        </w:rPr>
        <w:t xml:space="preserve">The </w:t>
      </w:r>
      <w:r w:rsidR="005E7BFE">
        <w:rPr>
          <w:rFonts w:cs="Arial"/>
        </w:rPr>
        <w:t xml:space="preserve">sale of </w:t>
      </w:r>
      <w:proofErr w:type="spellStart"/>
      <w:r w:rsidR="005E7BFE">
        <w:rPr>
          <w:rFonts w:cs="Arial"/>
        </w:rPr>
        <w:t>EastPlus</w:t>
      </w:r>
      <w:proofErr w:type="spellEnd"/>
      <w:r w:rsidR="005E7BFE">
        <w:rPr>
          <w:rFonts w:cs="Arial"/>
        </w:rPr>
        <w:t xml:space="preserve"> Plot 45 </w:t>
      </w:r>
      <w:r w:rsidRPr="00CE4A00">
        <w:rPr>
          <w:rFonts w:cs="Arial"/>
        </w:rPr>
        <w:t xml:space="preserve">will enable </w:t>
      </w:r>
      <w:r w:rsidR="005E7BFE">
        <w:rPr>
          <w:rFonts w:cs="Arial"/>
        </w:rPr>
        <w:t xml:space="preserve">a </w:t>
      </w:r>
      <w:r w:rsidR="00CC5CE5">
        <w:rPr>
          <w:rFonts w:cs="Arial"/>
        </w:rPr>
        <w:t xml:space="preserve">local </w:t>
      </w:r>
      <w:r w:rsidR="005E7BFE">
        <w:rPr>
          <w:rFonts w:cs="Arial"/>
        </w:rPr>
        <w:t xml:space="preserve">dairy to expand their business operations in </w:t>
      </w:r>
      <w:r w:rsidR="00FD3EE0">
        <w:rPr>
          <w:rFonts w:cs="Arial"/>
        </w:rPr>
        <w:t>the area</w:t>
      </w:r>
      <w:r w:rsidR="005E7BFE">
        <w:rPr>
          <w:rFonts w:cs="Arial"/>
        </w:rPr>
        <w:t>, after the da</w:t>
      </w:r>
      <w:r w:rsidR="00B64D66">
        <w:rPr>
          <w:rFonts w:cs="Arial"/>
        </w:rPr>
        <w:t>i</w:t>
      </w:r>
      <w:r w:rsidR="005E7BFE">
        <w:rPr>
          <w:rFonts w:cs="Arial"/>
        </w:rPr>
        <w:t xml:space="preserve">ry business moved </w:t>
      </w:r>
      <w:r w:rsidR="00CC5CE5">
        <w:rPr>
          <w:rFonts w:cs="Arial"/>
        </w:rPr>
        <w:t xml:space="preserve">last </w:t>
      </w:r>
      <w:r w:rsidR="005E7BFE">
        <w:rPr>
          <w:rFonts w:cs="Arial"/>
        </w:rPr>
        <w:t xml:space="preserve">summer into new premises that have been provided </w:t>
      </w:r>
      <w:r w:rsidR="00CC5CE5">
        <w:rPr>
          <w:rFonts w:cs="Arial"/>
        </w:rPr>
        <w:t>on former GLAP</w:t>
      </w:r>
      <w:r w:rsidR="00A450ED">
        <w:rPr>
          <w:rFonts w:cs="Arial"/>
        </w:rPr>
        <w:t xml:space="preserve"> </w:t>
      </w:r>
      <w:r w:rsidR="00CC5CE5">
        <w:rPr>
          <w:rFonts w:cs="Arial"/>
        </w:rPr>
        <w:t>land in Dagenham.</w:t>
      </w:r>
    </w:p>
    <w:p w14:paraId="2FBD3B7A" w14:textId="34FA7180" w:rsidR="00B64D66" w:rsidRPr="00B92B1C" w:rsidRDefault="007F560E" w:rsidP="00FA068A">
      <w:pPr>
        <w:pStyle w:val="BodyTextIndent3"/>
        <w:numPr>
          <w:ilvl w:val="0"/>
          <w:numId w:val="7"/>
        </w:numPr>
        <w:spacing w:after="200" w:line="240" w:lineRule="auto"/>
        <w:ind w:left="709" w:hanging="567"/>
        <w:rPr>
          <w:rFonts w:cs="Arial"/>
        </w:rPr>
      </w:pPr>
      <w:r>
        <w:rPr>
          <w:rFonts w:cs="Arial"/>
        </w:rPr>
        <w:t xml:space="preserve">The sale of </w:t>
      </w:r>
      <w:proofErr w:type="spellStart"/>
      <w:r>
        <w:rPr>
          <w:rFonts w:cs="Arial"/>
        </w:rPr>
        <w:t>EastPlus</w:t>
      </w:r>
      <w:proofErr w:type="spellEnd"/>
      <w:r>
        <w:rPr>
          <w:rFonts w:cs="Arial"/>
        </w:rPr>
        <w:t xml:space="preserve"> Plot 45 will achieve a higher land value for GLAP than would be the case were SEGRO to develop the plot speculatively</w:t>
      </w:r>
      <w:r w:rsidR="00A450ED">
        <w:rPr>
          <w:rFonts w:cs="Arial"/>
        </w:rPr>
        <w:t>. T</w:t>
      </w:r>
      <w:r>
        <w:rPr>
          <w:rFonts w:cs="Arial"/>
        </w:rPr>
        <w:t xml:space="preserve">he land receipt </w:t>
      </w:r>
      <w:r w:rsidR="00A450ED">
        <w:rPr>
          <w:rFonts w:cs="Arial"/>
        </w:rPr>
        <w:t xml:space="preserve">is </w:t>
      </w:r>
      <w:r>
        <w:rPr>
          <w:rFonts w:cs="Arial"/>
        </w:rPr>
        <w:t xml:space="preserve">expected </w:t>
      </w:r>
      <w:r w:rsidR="00B64D66">
        <w:rPr>
          <w:rFonts w:cs="Arial"/>
        </w:rPr>
        <w:t xml:space="preserve">to be received in </w:t>
      </w:r>
      <w:r w:rsidR="00CC5CE5">
        <w:rPr>
          <w:rFonts w:cs="Arial"/>
        </w:rPr>
        <w:t>April 2022.</w:t>
      </w:r>
    </w:p>
    <w:p w14:paraId="1CF1D87D" w14:textId="53A5012A" w:rsidR="00496F2A" w:rsidRPr="00B92B1C" w:rsidRDefault="00B64D66" w:rsidP="00FA068A">
      <w:pPr>
        <w:pStyle w:val="BodyTextIndent3"/>
        <w:numPr>
          <w:ilvl w:val="0"/>
          <w:numId w:val="7"/>
        </w:numPr>
        <w:spacing w:after="200" w:line="240" w:lineRule="auto"/>
        <w:ind w:left="709" w:hanging="567"/>
        <w:rPr>
          <w:rFonts w:cs="Arial"/>
        </w:rPr>
      </w:pPr>
      <w:r>
        <w:rPr>
          <w:rFonts w:cs="Arial"/>
        </w:rPr>
        <w:t xml:space="preserve">The disposal will also maintain the pace of development in Ferry Lane where, after the sale of </w:t>
      </w:r>
      <w:proofErr w:type="spellStart"/>
      <w:r>
        <w:rPr>
          <w:rFonts w:cs="Arial"/>
        </w:rPr>
        <w:t>EastPlus</w:t>
      </w:r>
      <w:proofErr w:type="spellEnd"/>
      <w:r>
        <w:rPr>
          <w:rFonts w:cs="Arial"/>
        </w:rPr>
        <w:t xml:space="preserve"> Plot 45, there will be two remaining plots in the </w:t>
      </w:r>
      <w:proofErr w:type="spellStart"/>
      <w:r>
        <w:rPr>
          <w:rFonts w:cs="Arial"/>
        </w:rPr>
        <w:t>EastPlus</w:t>
      </w:r>
      <w:proofErr w:type="spellEnd"/>
      <w:r>
        <w:rPr>
          <w:rFonts w:cs="Arial"/>
        </w:rPr>
        <w:t xml:space="preserve"> portfolio</w:t>
      </w:r>
      <w:r w:rsidR="00052B8F">
        <w:rPr>
          <w:rFonts w:cs="Arial"/>
        </w:rPr>
        <w:t xml:space="preserve">. These are </w:t>
      </w:r>
      <w:r>
        <w:rPr>
          <w:rFonts w:cs="Arial"/>
        </w:rPr>
        <w:t xml:space="preserve">Plots 24 </w:t>
      </w:r>
      <w:r w:rsidR="00052B8F">
        <w:rPr>
          <w:rFonts w:cs="Arial"/>
        </w:rPr>
        <w:t xml:space="preserve">and </w:t>
      </w:r>
      <w:r>
        <w:rPr>
          <w:rFonts w:cs="Arial"/>
        </w:rPr>
        <w:t>26, for which a planning application was submitted by SEGRO on 19 July 2021 to the London Borough of Havering.</w:t>
      </w:r>
    </w:p>
    <w:p w14:paraId="0F8775C9" w14:textId="70324097" w:rsidR="00496F2A" w:rsidRDefault="00496F2A" w:rsidP="00FA068A">
      <w:pPr>
        <w:pStyle w:val="BodyTextIndent3"/>
        <w:numPr>
          <w:ilvl w:val="0"/>
          <w:numId w:val="7"/>
        </w:numPr>
        <w:spacing w:line="240" w:lineRule="auto"/>
        <w:ind w:left="709" w:hanging="567"/>
        <w:rPr>
          <w:rFonts w:cs="Arial"/>
        </w:rPr>
      </w:pPr>
      <w:r>
        <w:rPr>
          <w:rFonts w:cs="Arial"/>
        </w:rPr>
        <w:t xml:space="preserve">SEGRO helped broker the land price for </w:t>
      </w:r>
      <w:proofErr w:type="spellStart"/>
      <w:r>
        <w:rPr>
          <w:rFonts w:cs="Arial"/>
        </w:rPr>
        <w:t>EastPlus</w:t>
      </w:r>
      <w:proofErr w:type="spellEnd"/>
      <w:r>
        <w:rPr>
          <w:rFonts w:cs="Arial"/>
        </w:rPr>
        <w:t xml:space="preserve"> Plot 45 and is in agreement with the ter</w:t>
      </w:r>
      <w:r w:rsidR="005F5F47">
        <w:rPr>
          <w:rFonts w:cs="Arial"/>
        </w:rPr>
        <w:t>m</w:t>
      </w:r>
      <w:r>
        <w:rPr>
          <w:rFonts w:cs="Arial"/>
        </w:rPr>
        <w:t>s of sale.</w:t>
      </w:r>
    </w:p>
    <w:p w14:paraId="39AE72AD" w14:textId="747220F3" w:rsidR="00B64D66" w:rsidRDefault="00B64D66" w:rsidP="00B92B1C">
      <w:pPr>
        <w:pStyle w:val="BodyTextIndent3"/>
        <w:spacing w:line="240" w:lineRule="auto"/>
        <w:ind w:left="709" w:hanging="567"/>
        <w:rPr>
          <w:rFonts w:cs="Arial"/>
        </w:rPr>
      </w:pPr>
    </w:p>
    <w:p w14:paraId="38BE6BD3" w14:textId="6853C27D" w:rsidR="00B64D66" w:rsidRPr="00B92B1C" w:rsidRDefault="00B64D66" w:rsidP="00B92B1C">
      <w:pPr>
        <w:pStyle w:val="BodyTextIndent3"/>
        <w:spacing w:after="200" w:line="240" w:lineRule="auto"/>
        <w:ind w:left="709" w:firstLine="0"/>
        <w:rPr>
          <w:rFonts w:cs="Arial"/>
          <w:u w:val="single"/>
        </w:rPr>
      </w:pPr>
      <w:r w:rsidRPr="001303B7">
        <w:rPr>
          <w:rFonts w:cs="Arial"/>
          <w:u w:val="single"/>
        </w:rPr>
        <w:t xml:space="preserve">Sale of </w:t>
      </w:r>
      <w:r w:rsidR="00AC449A" w:rsidRPr="001303B7">
        <w:rPr>
          <w:rFonts w:cs="Arial"/>
          <w:u w:val="single"/>
        </w:rPr>
        <w:t>land off Halyard Street, Dagenham Dock</w:t>
      </w:r>
    </w:p>
    <w:p w14:paraId="405C0682" w14:textId="36B21170" w:rsidR="00AC449A" w:rsidRPr="00B92B1C" w:rsidRDefault="00B64D66" w:rsidP="00FA068A">
      <w:pPr>
        <w:pStyle w:val="BodyTextIndent3"/>
        <w:numPr>
          <w:ilvl w:val="0"/>
          <w:numId w:val="7"/>
        </w:numPr>
        <w:spacing w:after="200" w:line="240" w:lineRule="auto"/>
        <w:ind w:left="709" w:hanging="567"/>
        <w:rPr>
          <w:rFonts w:cs="Arial"/>
        </w:rPr>
      </w:pPr>
      <w:r>
        <w:rPr>
          <w:rFonts w:cs="Arial"/>
        </w:rPr>
        <w:t>The</w:t>
      </w:r>
      <w:r w:rsidR="00AC449A">
        <w:rPr>
          <w:rFonts w:cs="Arial"/>
        </w:rPr>
        <w:t xml:space="preserve"> </w:t>
      </w:r>
      <w:r w:rsidR="00D11C93">
        <w:rPr>
          <w:rFonts w:cs="Arial"/>
        </w:rPr>
        <w:t xml:space="preserve">transfer </w:t>
      </w:r>
      <w:r w:rsidR="00AC449A">
        <w:rPr>
          <w:rFonts w:cs="Arial"/>
        </w:rPr>
        <w:t>of the small plot in Dagenham Dock to The Capital Dairy Company (Holdings) Limited will enable them to provide space in the yard of their new dairy, recently built by SEGRO, for the local distribution network operator to access</w:t>
      </w:r>
      <w:r w:rsidR="00D11C93">
        <w:rPr>
          <w:rFonts w:cs="Arial"/>
        </w:rPr>
        <w:t xml:space="preserve">/maintain </w:t>
      </w:r>
      <w:r w:rsidR="00AC449A">
        <w:rPr>
          <w:rFonts w:cs="Arial"/>
        </w:rPr>
        <w:t>the newly constructed substation in Halyard Street</w:t>
      </w:r>
      <w:r w:rsidR="00485D3F">
        <w:rPr>
          <w:rFonts w:cs="Arial"/>
        </w:rPr>
        <w:t xml:space="preserve">. This </w:t>
      </w:r>
      <w:r w:rsidR="00AC449A">
        <w:rPr>
          <w:rFonts w:cs="Arial"/>
        </w:rPr>
        <w:t xml:space="preserve">benefits </w:t>
      </w:r>
      <w:proofErr w:type="spellStart"/>
      <w:r w:rsidR="00AC449A">
        <w:rPr>
          <w:rFonts w:cs="Arial"/>
        </w:rPr>
        <w:t>EastPlus</w:t>
      </w:r>
      <w:proofErr w:type="spellEnd"/>
      <w:r w:rsidR="00AC449A">
        <w:rPr>
          <w:rFonts w:cs="Arial"/>
        </w:rPr>
        <w:t xml:space="preserve"> Plots 63 </w:t>
      </w:r>
      <w:r w:rsidR="00485D3F">
        <w:rPr>
          <w:rFonts w:cs="Arial"/>
        </w:rPr>
        <w:t xml:space="preserve">and </w:t>
      </w:r>
      <w:r w:rsidR="00AC449A">
        <w:rPr>
          <w:rFonts w:cs="Arial"/>
        </w:rPr>
        <w:t xml:space="preserve">64, without compromising how their </w:t>
      </w:r>
      <w:r w:rsidR="00D11C93">
        <w:rPr>
          <w:rFonts w:cs="Arial"/>
        </w:rPr>
        <w:t xml:space="preserve">private </w:t>
      </w:r>
      <w:r w:rsidR="00AC449A">
        <w:rPr>
          <w:rFonts w:cs="Arial"/>
        </w:rPr>
        <w:t>yard is used.</w:t>
      </w:r>
    </w:p>
    <w:p w14:paraId="657A5C19" w14:textId="58F208FE" w:rsidR="00D11C93" w:rsidRPr="00B92B1C" w:rsidRDefault="00AC449A" w:rsidP="00FA068A">
      <w:pPr>
        <w:pStyle w:val="BodyTextIndent3"/>
        <w:numPr>
          <w:ilvl w:val="0"/>
          <w:numId w:val="7"/>
        </w:numPr>
        <w:spacing w:after="200" w:line="240" w:lineRule="auto"/>
        <w:ind w:left="709" w:hanging="567"/>
        <w:rPr>
          <w:rFonts w:cs="Arial"/>
        </w:rPr>
      </w:pPr>
      <w:r>
        <w:rPr>
          <w:rFonts w:cs="Arial"/>
        </w:rPr>
        <w:t xml:space="preserve">Without this additional space, maintenance of the substation in </w:t>
      </w:r>
      <w:proofErr w:type="spellStart"/>
      <w:r>
        <w:rPr>
          <w:rFonts w:cs="Arial"/>
        </w:rPr>
        <w:t>H</w:t>
      </w:r>
      <w:r w:rsidR="005456BD">
        <w:rPr>
          <w:rFonts w:cs="Arial"/>
        </w:rPr>
        <w:t>indmans</w:t>
      </w:r>
      <w:proofErr w:type="spellEnd"/>
      <w:r w:rsidR="005456BD">
        <w:rPr>
          <w:rFonts w:cs="Arial"/>
        </w:rPr>
        <w:t xml:space="preserve"> Way</w:t>
      </w:r>
      <w:r>
        <w:rPr>
          <w:rFonts w:cs="Arial"/>
        </w:rPr>
        <w:t xml:space="preserve"> by the local network operator would have to take place from</w:t>
      </w:r>
      <w:r w:rsidR="005456BD">
        <w:rPr>
          <w:rFonts w:cs="Arial"/>
        </w:rPr>
        <w:t xml:space="preserve"> the highway,</w:t>
      </w:r>
      <w:r>
        <w:rPr>
          <w:rFonts w:cs="Arial"/>
        </w:rPr>
        <w:t xml:space="preserve"> a</w:t>
      </w:r>
      <w:r w:rsidR="00D11C93">
        <w:rPr>
          <w:rFonts w:cs="Arial"/>
        </w:rPr>
        <w:t xml:space="preserve"> busy </w:t>
      </w:r>
      <w:r>
        <w:rPr>
          <w:rFonts w:cs="Arial"/>
        </w:rPr>
        <w:t>shared-access road owned by GLA</w:t>
      </w:r>
      <w:r w:rsidR="00D11C93">
        <w:rPr>
          <w:rFonts w:cs="Arial"/>
        </w:rPr>
        <w:t>P</w:t>
      </w:r>
      <w:r w:rsidR="00485D3F">
        <w:rPr>
          <w:rFonts w:cs="Arial"/>
        </w:rPr>
        <w:t xml:space="preserve">. This road </w:t>
      </w:r>
      <w:r>
        <w:rPr>
          <w:rFonts w:cs="Arial"/>
        </w:rPr>
        <w:t>is not designed for on-street parking</w:t>
      </w:r>
      <w:r w:rsidR="00496F2A">
        <w:rPr>
          <w:rFonts w:cs="Arial"/>
        </w:rPr>
        <w:t>/unloading</w:t>
      </w:r>
      <w:r>
        <w:rPr>
          <w:rFonts w:cs="Arial"/>
        </w:rPr>
        <w:t xml:space="preserve"> of HGVs</w:t>
      </w:r>
      <w:r w:rsidR="00485D3F">
        <w:rPr>
          <w:rFonts w:cs="Arial"/>
        </w:rPr>
        <w:t>, n</w:t>
      </w:r>
      <w:r w:rsidR="00D11C93">
        <w:rPr>
          <w:rFonts w:cs="Arial"/>
        </w:rPr>
        <w:t xml:space="preserve">or for </w:t>
      </w:r>
      <w:r w:rsidR="005456BD">
        <w:rPr>
          <w:rFonts w:cs="Arial"/>
        </w:rPr>
        <w:t xml:space="preserve">the handling of </w:t>
      </w:r>
      <w:r w:rsidR="00D11C93">
        <w:rPr>
          <w:rFonts w:cs="Arial"/>
        </w:rPr>
        <w:t>maintenance plant, and so would pose a highway safety concern</w:t>
      </w:r>
      <w:r w:rsidR="005456BD">
        <w:rPr>
          <w:rFonts w:cs="Arial"/>
        </w:rPr>
        <w:t xml:space="preserve"> for the operatives and for the owner of the highway.</w:t>
      </w:r>
    </w:p>
    <w:p w14:paraId="0E863ABF" w14:textId="2CB34194" w:rsidR="00D11C93" w:rsidRDefault="00D11C93" w:rsidP="00FA068A">
      <w:pPr>
        <w:pStyle w:val="BodyTextIndent3"/>
        <w:numPr>
          <w:ilvl w:val="0"/>
          <w:numId w:val="7"/>
        </w:numPr>
        <w:spacing w:line="240" w:lineRule="auto"/>
        <w:ind w:left="709" w:hanging="567"/>
        <w:rPr>
          <w:rFonts w:cs="Arial"/>
        </w:rPr>
      </w:pPr>
      <w:r>
        <w:rPr>
          <w:rFonts w:cs="Arial"/>
        </w:rPr>
        <w:t xml:space="preserve">SEGRO has been consulted about this land transfer and </w:t>
      </w:r>
      <w:r w:rsidR="005F5F47">
        <w:rPr>
          <w:rFonts w:cs="Arial"/>
        </w:rPr>
        <w:t xml:space="preserve">fully </w:t>
      </w:r>
      <w:r>
        <w:rPr>
          <w:rFonts w:cs="Arial"/>
        </w:rPr>
        <w:t>supports this course of action.</w:t>
      </w:r>
    </w:p>
    <w:p w14:paraId="0B91A000" w14:textId="6CB3C9CF" w:rsidR="00D11C93" w:rsidRDefault="00D11C93" w:rsidP="00B92B1C">
      <w:pPr>
        <w:pStyle w:val="BodyTextIndent3"/>
        <w:spacing w:line="240" w:lineRule="auto"/>
        <w:ind w:left="709" w:hanging="567"/>
        <w:rPr>
          <w:rFonts w:cs="Arial"/>
        </w:rPr>
      </w:pPr>
    </w:p>
    <w:p w14:paraId="7CD21409" w14:textId="464425ED" w:rsidR="00D11C93" w:rsidRPr="00B92B1C" w:rsidRDefault="00D11C93" w:rsidP="00B92B1C">
      <w:pPr>
        <w:pStyle w:val="BodyTextIndent3"/>
        <w:spacing w:after="200" w:line="240" w:lineRule="auto"/>
        <w:ind w:left="709" w:firstLine="0"/>
        <w:rPr>
          <w:rFonts w:cs="Arial"/>
          <w:u w:val="single"/>
        </w:rPr>
      </w:pPr>
      <w:r w:rsidRPr="001303B7">
        <w:rPr>
          <w:rFonts w:cs="Arial"/>
          <w:u w:val="single"/>
        </w:rPr>
        <w:t>Mayor’s strategies and priorities</w:t>
      </w:r>
    </w:p>
    <w:p w14:paraId="1D481A8E" w14:textId="1001739B" w:rsidR="00AF1F5D" w:rsidRPr="00BC3CA7" w:rsidRDefault="00D11C93" w:rsidP="00FA068A">
      <w:pPr>
        <w:pStyle w:val="BodyTextIndent3"/>
        <w:numPr>
          <w:ilvl w:val="0"/>
          <w:numId w:val="7"/>
        </w:numPr>
        <w:spacing w:after="200" w:line="240" w:lineRule="auto"/>
        <w:ind w:left="709" w:hanging="567"/>
        <w:rPr>
          <w:rFonts w:cs="Arial"/>
        </w:rPr>
      </w:pPr>
      <w:r>
        <w:rPr>
          <w:rFonts w:cs="Arial"/>
        </w:rPr>
        <w:t xml:space="preserve">The longer-term benefits to the area (and to the GLA) </w:t>
      </w:r>
      <w:r w:rsidR="00AE13D6">
        <w:rPr>
          <w:rFonts w:cs="Arial"/>
        </w:rPr>
        <w:t xml:space="preserve">of the proposed </w:t>
      </w:r>
      <w:r w:rsidR="00AF1F5D">
        <w:rPr>
          <w:rFonts w:cs="Arial"/>
        </w:rPr>
        <w:t>two land sales are:</w:t>
      </w:r>
    </w:p>
    <w:p w14:paraId="217D64B8" w14:textId="22BCC1C0" w:rsidR="00AF1F5D" w:rsidRDefault="00AF1F5D" w:rsidP="00FA068A">
      <w:pPr>
        <w:pStyle w:val="BodyTextIndent3"/>
        <w:numPr>
          <w:ilvl w:val="0"/>
          <w:numId w:val="8"/>
        </w:numPr>
        <w:spacing w:after="200" w:line="240" w:lineRule="auto"/>
        <w:ind w:left="993" w:hanging="284"/>
        <w:rPr>
          <w:rFonts w:cs="Arial"/>
        </w:rPr>
      </w:pPr>
      <w:r>
        <w:rPr>
          <w:rFonts w:cs="Arial"/>
        </w:rPr>
        <w:t>the potential for millions of pounds of investment in the Ferry Lane industrial area</w:t>
      </w:r>
    </w:p>
    <w:p w14:paraId="087CC8EC" w14:textId="3E619E52" w:rsidR="00AF1F5D" w:rsidRDefault="00AF1F5D" w:rsidP="00FA068A">
      <w:pPr>
        <w:pStyle w:val="BodyTextIndent3"/>
        <w:numPr>
          <w:ilvl w:val="0"/>
          <w:numId w:val="8"/>
        </w:numPr>
        <w:spacing w:after="200" w:line="240" w:lineRule="auto"/>
        <w:ind w:left="993" w:hanging="284"/>
        <w:rPr>
          <w:rFonts w:cs="Arial"/>
        </w:rPr>
      </w:pPr>
      <w:r>
        <w:rPr>
          <w:rFonts w:cs="Arial"/>
        </w:rPr>
        <w:t xml:space="preserve">reinforcing the regeneration of the area between </w:t>
      </w:r>
      <w:proofErr w:type="spellStart"/>
      <w:r>
        <w:rPr>
          <w:rFonts w:cs="Arial"/>
        </w:rPr>
        <w:t>Hindmans</w:t>
      </w:r>
      <w:proofErr w:type="spellEnd"/>
      <w:r>
        <w:rPr>
          <w:rFonts w:cs="Arial"/>
        </w:rPr>
        <w:t xml:space="preserve"> Way and the City Wholesale Markets site in Chequers Lane</w:t>
      </w:r>
      <w:r w:rsidR="005F5F47">
        <w:rPr>
          <w:rFonts w:cs="Arial"/>
        </w:rPr>
        <w:t xml:space="preserve"> in Dagenham</w:t>
      </w:r>
      <w:r>
        <w:rPr>
          <w:rFonts w:cs="Arial"/>
        </w:rPr>
        <w:t>, to the east</w:t>
      </w:r>
    </w:p>
    <w:p w14:paraId="42D04889" w14:textId="347E5420" w:rsidR="00AF1F5D" w:rsidRDefault="00AF1F5D" w:rsidP="00FA068A">
      <w:pPr>
        <w:pStyle w:val="BodyTextIndent3"/>
        <w:numPr>
          <w:ilvl w:val="0"/>
          <w:numId w:val="8"/>
        </w:numPr>
        <w:spacing w:after="200" w:line="240" w:lineRule="auto"/>
        <w:ind w:left="993" w:hanging="284"/>
        <w:rPr>
          <w:rFonts w:cs="Arial"/>
        </w:rPr>
      </w:pPr>
      <w:r>
        <w:rPr>
          <w:rFonts w:cs="Arial"/>
        </w:rPr>
        <w:t xml:space="preserve">the potential to achieve business synergies for </w:t>
      </w:r>
      <w:r w:rsidR="005F5F47">
        <w:rPr>
          <w:rFonts w:cs="Arial"/>
        </w:rPr>
        <w:t xml:space="preserve">a family-owned </w:t>
      </w:r>
      <w:r w:rsidR="00485D3F">
        <w:rPr>
          <w:rFonts w:cs="Arial"/>
        </w:rPr>
        <w:t xml:space="preserve">small and medium-sized enterprise </w:t>
      </w:r>
      <w:r w:rsidR="005F5F47">
        <w:rPr>
          <w:rFonts w:cs="Arial"/>
        </w:rPr>
        <w:t xml:space="preserve">with operations spanning Barking (at 17 Thames Road), </w:t>
      </w:r>
      <w:r>
        <w:rPr>
          <w:rFonts w:cs="Arial"/>
        </w:rPr>
        <w:t xml:space="preserve">Dagenham </w:t>
      </w:r>
      <w:r w:rsidR="005F5F47">
        <w:rPr>
          <w:rFonts w:cs="Arial"/>
        </w:rPr>
        <w:t xml:space="preserve">(in </w:t>
      </w:r>
      <w:proofErr w:type="spellStart"/>
      <w:r w:rsidR="005F5F47">
        <w:rPr>
          <w:rFonts w:cs="Arial"/>
        </w:rPr>
        <w:t>Hindmans</w:t>
      </w:r>
      <w:proofErr w:type="spellEnd"/>
      <w:r w:rsidR="005F5F47">
        <w:rPr>
          <w:rFonts w:cs="Arial"/>
        </w:rPr>
        <w:t xml:space="preserve"> Way) and, in future, Rainham (Ferry Lane)</w:t>
      </w:r>
    </w:p>
    <w:p w14:paraId="33E26E34" w14:textId="397250A2" w:rsidR="00AF1F5D" w:rsidRPr="00CE4A00" w:rsidRDefault="00AF1F5D" w:rsidP="00FA068A">
      <w:pPr>
        <w:pStyle w:val="BodyTextIndent3"/>
        <w:numPr>
          <w:ilvl w:val="0"/>
          <w:numId w:val="8"/>
        </w:numPr>
        <w:spacing w:line="240" w:lineRule="auto"/>
        <w:ind w:left="993" w:hanging="284"/>
        <w:rPr>
          <w:rFonts w:cs="Arial"/>
        </w:rPr>
      </w:pPr>
      <w:r>
        <w:rPr>
          <w:rFonts w:cs="Arial"/>
        </w:rPr>
        <w:t xml:space="preserve">more partnership working with SEGRO and </w:t>
      </w:r>
      <w:r w:rsidR="005F5F47">
        <w:rPr>
          <w:rFonts w:cs="Arial"/>
        </w:rPr>
        <w:t>food businesses</w:t>
      </w:r>
      <w:r>
        <w:rPr>
          <w:rFonts w:cs="Arial"/>
        </w:rPr>
        <w:t xml:space="preserve">, with the potential to improve </w:t>
      </w:r>
      <w:r w:rsidR="005F5F47">
        <w:rPr>
          <w:rFonts w:cs="Arial"/>
        </w:rPr>
        <w:t>last</w:t>
      </w:r>
      <w:r w:rsidR="00485D3F">
        <w:rPr>
          <w:rFonts w:cs="Arial"/>
        </w:rPr>
        <w:t>-</w:t>
      </w:r>
      <w:r w:rsidR="005F5F47">
        <w:rPr>
          <w:rFonts w:cs="Arial"/>
        </w:rPr>
        <w:t xml:space="preserve">mile </w:t>
      </w:r>
      <w:r>
        <w:rPr>
          <w:rFonts w:cs="Arial"/>
        </w:rPr>
        <w:t>food distribution in London.</w:t>
      </w:r>
    </w:p>
    <w:p w14:paraId="32F0AA47" w14:textId="77777777" w:rsidR="000479A9" w:rsidRPr="00866CB4" w:rsidRDefault="000479A9" w:rsidP="00B92B1C">
      <w:pPr>
        <w:pStyle w:val="BodyTextIndent3"/>
        <w:spacing w:line="240" w:lineRule="auto"/>
        <w:ind w:left="709" w:firstLine="0"/>
        <w:rPr>
          <w:rFonts w:cs="Arial"/>
          <w:szCs w:val="24"/>
        </w:rPr>
      </w:pPr>
    </w:p>
    <w:p w14:paraId="55C13777" w14:textId="77777777" w:rsidR="009A28F9" w:rsidRPr="00866CB4" w:rsidRDefault="009A28F9" w:rsidP="00B92B1C">
      <w:pPr>
        <w:pStyle w:val="BodyTextIndent3"/>
        <w:spacing w:line="240" w:lineRule="auto"/>
        <w:ind w:left="709" w:firstLine="0"/>
        <w:rPr>
          <w:rFonts w:cs="Arial"/>
          <w:szCs w:val="24"/>
        </w:rPr>
      </w:pPr>
    </w:p>
    <w:p w14:paraId="7079A99E" w14:textId="77777777" w:rsidR="00603715" w:rsidRPr="001303B7" w:rsidRDefault="005F23B6" w:rsidP="00FA068A">
      <w:pPr>
        <w:numPr>
          <w:ilvl w:val="0"/>
          <w:numId w:val="2"/>
        </w:numPr>
        <w:tabs>
          <w:tab w:val="left" w:pos="8115"/>
        </w:tabs>
        <w:ind w:left="709" w:hanging="567"/>
        <w:rPr>
          <w:rFonts w:cs="Arial"/>
          <w:i/>
        </w:rPr>
      </w:pPr>
      <w:r w:rsidRPr="00603715">
        <w:rPr>
          <w:rFonts w:cs="Arial"/>
          <w:b/>
        </w:rPr>
        <w:lastRenderedPageBreak/>
        <w:t>Equality comments</w:t>
      </w:r>
    </w:p>
    <w:p w14:paraId="6284E0BA" w14:textId="77777777" w:rsidR="00BC3CA7" w:rsidRDefault="00BC3CA7" w:rsidP="00B92B1C">
      <w:pPr>
        <w:tabs>
          <w:tab w:val="left" w:pos="8115"/>
        </w:tabs>
        <w:ind w:left="709"/>
        <w:rPr>
          <w:rFonts w:cs="Arial"/>
          <w:i/>
        </w:rPr>
      </w:pPr>
    </w:p>
    <w:p w14:paraId="368648B9" w14:textId="469C3EC4" w:rsidR="004A5154" w:rsidRPr="00B92B1C" w:rsidRDefault="00C47A94" w:rsidP="00FA068A">
      <w:pPr>
        <w:numPr>
          <w:ilvl w:val="1"/>
          <w:numId w:val="3"/>
        </w:numPr>
        <w:tabs>
          <w:tab w:val="left" w:pos="8115"/>
        </w:tabs>
        <w:spacing w:after="200"/>
        <w:ind w:left="709" w:hanging="567"/>
        <w:rPr>
          <w:rFonts w:cs="Arial"/>
        </w:rPr>
      </w:pPr>
      <w:r>
        <w:t>Under section 149 of the Equality Act 2010, as public authorities, the Mayor and the GLA are subject to a public-sector equality duty and must have ‘due regard’ to the need to</w:t>
      </w:r>
      <w:r w:rsidR="002803DE">
        <w:t xml:space="preserve">: </w:t>
      </w:r>
      <w:r>
        <w:t>eliminate unlawful discrimination, harassment and victimisation; advance equality of opportunity between people who share a relevant protected characteristic and those who do not; and foster good relations between people who share a relevant protected characteristic and those who do not.</w:t>
      </w:r>
    </w:p>
    <w:p w14:paraId="2CCF969A" w14:textId="573E0640" w:rsidR="004A5154" w:rsidRPr="00B92B1C" w:rsidRDefault="00C47A94" w:rsidP="00FA068A">
      <w:pPr>
        <w:numPr>
          <w:ilvl w:val="1"/>
          <w:numId w:val="3"/>
        </w:numPr>
        <w:tabs>
          <w:tab w:val="left" w:pos="8115"/>
        </w:tabs>
        <w:spacing w:after="200"/>
        <w:ind w:left="709" w:hanging="567"/>
        <w:rPr>
          <w:rFonts w:cs="Arial"/>
        </w:rPr>
      </w:pPr>
      <w:r>
        <w:rPr>
          <w:rFonts w:cs="Arial"/>
        </w:rPr>
        <w:t xml:space="preserve">Protected characteristics under section 149 of the Equality Act are age, disability, gender reassignment, pregnancy and maternity, race, religion or belief, sex, sexual orientation, and marriage or civil partnership status. </w:t>
      </w:r>
    </w:p>
    <w:p w14:paraId="3F8B8F44" w14:textId="02F46681" w:rsidR="00C47A94" w:rsidRPr="00C47A94" w:rsidRDefault="00C47A94" w:rsidP="00FA068A">
      <w:pPr>
        <w:numPr>
          <w:ilvl w:val="1"/>
          <w:numId w:val="3"/>
        </w:numPr>
        <w:tabs>
          <w:tab w:val="left" w:pos="8115"/>
        </w:tabs>
        <w:ind w:left="709" w:hanging="567"/>
        <w:rPr>
          <w:rFonts w:cs="Arial"/>
        </w:rPr>
      </w:pPr>
      <w:r>
        <w:rPr>
          <w:rFonts w:cs="Arial"/>
        </w:rPr>
        <w:t>Throughout the decision-making process relating to the approvals being sought in this Decision Form to facilitate the property disposals</w:t>
      </w:r>
      <w:r w:rsidR="002803DE">
        <w:rPr>
          <w:rFonts w:cs="Arial"/>
        </w:rPr>
        <w:t>,</w:t>
      </w:r>
      <w:r>
        <w:rPr>
          <w:rFonts w:cs="Arial"/>
        </w:rPr>
        <w:t xml:space="preserve"> due regard has been had to the ‘three needs’ outlined above. An evaluation has concluded that the sales have not identified any issues that adversely affect any groups with protected characteristics.</w:t>
      </w:r>
    </w:p>
    <w:p w14:paraId="0677BCBD" w14:textId="77777777" w:rsidR="001B7B27" w:rsidRDefault="001B7B27" w:rsidP="00B92B1C">
      <w:pPr>
        <w:pStyle w:val="BodyTextIndent3"/>
        <w:spacing w:line="240" w:lineRule="auto"/>
        <w:ind w:left="709" w:firstLine="0"/>
        <w:rPr>
          <w:rFonts w:cs="Arial"/>
          <w:i/>
          <w:szCs w:val="24"/>
        </w:rPr>
      </w:pPr>
    </w:p>
    <w:p w14:paraId="69FB0D2F" w14:textId="77777777" w:rsidR="004A5154" w:rsidRDefault="004A5154" w:rsidP="00B92B1C">
      <w:pPr>
        <w:pStyle w:val="BodyTextIndent3"/>
        <w:spacing w:line="240" w:lineRule="auto"/>
        <w:ind w:left="709" w:firstLine="0"/>
        <w:rPr>
          <w:rFonts w:cs="Arial"/>
          <w:i/>
          <w:szCs w:val="24"/>
        </w:rPr>
      </w:pPr>
    </w:p>
    <w:p w14:paraId="0F187DFC" w14:textId="2AD1A686" w:rsidR="005439AD" w:rsidRPr="001303B7" w:rsidRDefault="000479A9" w:rsidP="00FA068A">
      <w:pPr>
        <w:numPr>
          <w:ilvl w:val="0"/>
          <w:numId w:val="2"/>
        </w:numPr>
        <w:ind w:left="709" w:hanging="567"/>
        <w:rPr>
          <w:rFonts w:cs="Arial"/>
          <w:b/>
        </w:rPr>
      </w:pPr>
      <w:r w:rsidRPr="005F23B6">
        <w:rPr>
          <w:rFonts w:cs="Arial"/>
          <w:b/>
        </w:rPr>
        <w:t>Other considerations</w:t>
      </w:r>
      <w:r w:rsidR="005439AD">
        <w:t>.</w:t>
      </w:r>
    </w:p>
    <w:p w14:paraId="7EAE990A" w14:textId="77777777" w:rsidR="004A5154" w:rsidRPr="005439AD" w:rsidRDefault="004A5154" w:rsidP="00B92B1C">
      <w:pPr>
        <w:ind w:left="709"/>
        <w:rPr>
          <w:rFonts w:cs="Arial"/>
          <w:b/>
        </w:rPr>
      </w:pPr>
    </w:p>
    <w:p w14:paraId="1B2F688D" w14:textId="010DEBAE" w:rsidR="004A5154" w:rsidRPr="00B92B1C" w:rsidRDefault="005439AD" w:rsidP="00FA068A">
      <w:pPr>
        <w:numPr>
          <w:ilvl w:val="1"/>
          <w:numId w:val="3"/>
        </w:numPr>
        <w:spacing w:after="200"/>
        <w:ind w:left="709" w:hanging="567"/>
        <w:rPr>
          <w:rFonts w:cs="Arial"/>
          <w:bCs/>
        </w:rPr>
      </w:pPr>
      <w:bookmarkStart w:id="5" w:name="_Hlk97826929"/>
      <w:r>
        <w:t xml:space="preserve">After the sale of </w:t>
      </w:r>
      <w:proofErr w:type="spellStart"/>
      <w:r>
        <w:t>EastPlus</w:t>
      </w:r>
      <w:proofErr w:type="spellEnd"/>
      <w:r>
        <w:t xml:space="preserve"> Plot 45</w:t>
      </w:r>
      <w:r w:rsidR="002803DE">
        <w:t>,</w:t>
      </w:r>
      <w:r>
        <w:t xml:space="preserve"> </w:t>
      </w:r>
      <w:r w:rsidR="007C42C2">
        <w:t xml:space="preserve">GLAP will cease to be responsible for securing </w:t>
      </w:r>
      <w:r w:rsidR="00773431">
        <w:t xml:space="preserve">and insuring </w:t>
      </w:r>
      <w:r w:rsidR="007C42C2">
        <w:t>the site. As GLAP will not be providing services to the buyer of the plot</w:t>
      </w:r>
      <w:r w:rsidR="00773431">
        <w:t>,</w:t>
      </w:r>
      <w:r w:rsidR="007C42C2">
        <w:t xml:space="preserve"> there will be </w:t>
      </w:r>
      <w:r w:rsidR="002803DE">
        <w:t xml:space="preserve">no </w:t>
      </w:r>
      <w:r w:rsidR="007C42C2">
        <w:t>service charge.</w:t>
      </w:r>
    </w:p>
    <w:bookmarkEnd w:id="5"/>
    <w:p w14:paraId="5E043999" w14:textId="6E78927F" w:rsidR="004A5154" w:rsidRPr="00B92B1C" w:rsidRDefault="005439AD" w:rsidP="00FA068A">
      <w:pPr>
        <w:numPr>
          <w:ilvl w:val="1"/>
          <w:numId w:val="3"/>
        </w:numPr>
        <w:spacing w:after="200"/>
        <w:ind w:left="709" w:hanging="567"/>
        <w:rPr>
          <w:rFonts w:cs="Arial"/>
          <w:bCs/>
        </w:rPr>
      </w:pPr>
      <w:r w:rsidRPr="007C42C2">
        <w:rPr>
          <w:rFonts w:cs="Arial"/>
          <w:bCs/>
        </w:rPr>
        <w:t>As with any development on brownfield land, there is the risk of encountering ground contamination from historic uses in the area</w:t>
      </w:r>
      <w:r w:rsidR="007C42C2">
        <w:rPr>
          <w:rFonts w:cs="Arial"/>
          <w:bCs/>
        </w:rPr>
        <w:t xml:space="preserve">. GLAP (the seller) of </w:t>
      </w:r>
      <w:proofErr w:type="spellStart"/>
      <w:r w:rsidR="007C42C2">
        <w:rPr>
          <w:rFonts w:cs="Arial"/>
          <w:bCs/>
        </w:rPr>
        <w:t>EastPlus</w:t>
      </w:r>
      <w:proofErr w:type="spellEnd"/>
      <w:r w:rsidR="007C42C2">
        <w:rPr>
          <w:rFonts w:cs="Arial"/>
          <w:bCs/>
        </w:rPr>
        <w:t xml:space="preserve"> Plot 45 has not used or let the plot during its ownership, so will not </w:t>
      </w:r>
      <w:r w:rsidR="00773431">
        <w:rPr>
          <w:rFonts w:cs="Arial"/>
          <w:bCs/>
        </w:rPr>
        <w:t xml:space="preserve">be </w:t>
      </w:r>
      <w:r w:rsidR="007C42C2">
        <w:rPr>
          <w:rFonts w:cs="Arial"/>
          <w:bCs/>
        </w:rPr>
        <w:t>providing environmental warranties to the buyer</w:t>
      </w:r>
      <w:r w:rsidRPr="007C42C2">
        <w:rPr>
          <w:rFonts w:cs="Arial"/>
          <w:bCs/>
        </w:rPr>
        <w:t>.</w:t>
      </w:r>
    </w:p>
    <w:p w14:paraId="2ACA7E41" w14:textId="2BD06A18" w:rsidR="004A5154" w:rsidRPr="00B92B1C" w:rsidRDefault="007C42C2" w:rsidP="00FA068A">
      <w:pPr>
        <w:numPr>
          <w:ilvl w:val="1"/>
          <w:numId w:val="3"/>
        </w:numPr>
        <w:spacing w:after="200"/>
        <w:ind w:left="709" w:hanging="567"/>
        <w:rPr>
          <w:rFonts w:cs="Arial"/>
          <w:bCs/>
        </w:rPr>
      </w:pPr>
      <w:r>
        <w:rPr>
          <w:rFonts w:cs="Arial"/>
          <w:bCs/>
        </w:rPr>
        <w:t xml:space="preserve">In order to protect and safeguard the existing public open space (POS) and a footpath located at the side of </w:t>
      </w:r>
      <w:proofErr w:type="spellStart"/>
      <w:r>
        <w:rPr>
          <w:rFonts w:cs="Arial"/>
          <w:bCs/>
        </w:rPr>
        <w:t>EastPlus</w:t>
      </w:r>
      <w:proofErr w:type="spellEnd"/>
      <w:r>
        <w:rPr>
          <w:rFonts w:cs="Arial"/>
          <w:bCs/>
        </w:rPr>
        <w:t xml:space="preserve"> Plot 45, restrictive covenants will be </w:t>
      </w:r>
      <w:r w:rsidR="00D94808">
        <w:rPr>
          <w:rFonts w:cs="Arial"/>
          <w:bCs/>
        </w:rPr>
        <w:t>included in the land transfer to, for example, prohibit the discharge of waste onto the adjacent POS area</w:t>
      </w:r>
      <w:r w:rsidR="005439AD">
        <w:rPr>
          <w:rFonts w:cs="Arial"/>
          <w:bCs/>
        </w:rPr>
        <w:t>.</w:t>
      </w:r>
      <w:r w:rsidR="00C2609B">
        <w:rPr>
          <w:rFonts w:cs="Arial"/>
          <w:bCs/>
        </w:rPr>
        <w:t xml:space="preserve"> The need for these restrictions is understood by the prospective buyer because the land being sold is part of a larger title (title number EGL 387875).</w:t>
      </w:r>
    </w:p>
    <w:p w14:paraId="5EC5AB97" w14:textId="7A6EF169" w:rsidR="004A5154" w:rsidRPr="00B92B1C" w:rsidRDefault="00D94808" w:rsidP="00FA068A">
      <w:pPr>
        <w:numPr>
          <w:ilvl w:val="1"/>
          <w:numId w:val="3"/>
        </w:numPr>
        <w:spacing w:after="200"/>
        <w:ind w:left="709" w:hanging="567"/>
        <w:rPr>
          <w:rFonts w:cs="Arial"/>
          <w:bCs/>
        </w:rPr>
      </w:pPr>
      <w:r>
        <w:rPr>
          <w:rFonts w:cs="Arial"/>
          <w:bCs/>
        </w:rPr>
        <w:t xml:space="preserve">Each party </w:t>
      </w:r>
      <w:r w:rsidR="00773431">
        <w:rPr>
          <w:rFonts w:cs="Arial"/>
          <w:bCs/>
        </w:rPr>
        <w:t>is</w:t>
      </w:r>
      <w:r>
        <w:rPr>
          <w:rFonts w:cs="Arial"/>
          <w:bCs/>
        </w:rPr>
        <w:t xml:space="preserve"> to pay their own legal and surveyors</w:t>
      </w:r>
      <w:r w:rsidR="00FC4741">
        <w:rPr>
          <w:rFonts w:cs="Arial"/>
          <w:bCs/>
        </w:rPr>
        <w:t>’</w:t>
      </w:r>
      <w:r>
        <w:rPr>
          <w:rFonts w:cs="Arial"/>
          <w:bCs/>
        </w:rPr>
        <w:t xml:space="preserve"> costs in connection with the sale of </w:t>
      </w:r>
      <w:proofErr w:type="spellStart"/>
      <w:r>
        <w:rPr>
          <w:rFonts w:cs="Arial"/>
          <w:bCs/>
        </w:rPr>
        <w:t>EastPlus</w:t>
      </w:r>
      <w:proofErr w:type="spellEnd"/>
      <w:r>
        <w:rPr>
          <w:rFonts w:cs="Arial"/>
          <w:bCs/>
        </w:rPr>
        <w:t xml:space="preserve"> </w:t>
      </w:r>
      <w:r w:rsidR="00C2609B">
        <w:rPr>
          <w:rFonts w:cs="Arial"/>
          <w:bCs/>
        </w:rPr>
        <w:t>P</w:t>
      </w:r>
      <w:r>
        <w:rPr>
          <w:rFonts w:cs="Arial"/>
          <w:bCs/>
        </w:rPr>
        <w:t>lot 45 and the land off H</w:t>
      </w:r>
      <w:r w:rsidR="00B55EE2">
        <w:rPr>
          <w:rFonts w:cs="Arial"/>
          <w:bCs/>
        </w:rPr>
        <w:t>alyard Street</w:t>
      </w:r>
      <w:r>
        <w:rPr>
          <w:rFonts w:cs="Arial"/>
          <w:bCs/>
        </w:rPr>
        <w:t>.</w:t>
      </w:r>
      <w:r w:rsidR="00FC4741">
        <w:rPr>
          <w:rFonts w:cs="Arial"/>
          <w:bCs/>
        </w:rPr>
        <w:t xml:space="preserve"> As with all </w:t>
      </w:r>
      <w:proofErr w:type="spellStart"/>
      <w:r w:rsidR="00FC4741">
        <w:rPr>
          <w:rFonts w:cs="Arial"/>
          <w:bCs/>
        </w:rPr>
        <w:t>EastPlus</w:t>
      </w:r>
      <w:proofErr w:type="spellEnd"/>
      <w:r w:rsidR="00FC4741">
        <w:rPr>
          <w:rFonts w:cs="Arial"/>
          <w:bCs/>
        </w:rPr>
        <w:t xml:space="preserve"> plots, GLAP pays for </w:t>
      </w:r>
      <w:r w:rsidR="00B55EE2">
        <w:rPr>
          <w:rFonts w:cs="Arial"/>
          <w:bCs/>
        </w:rPr>
        <w:t xml:space="preserve">the services of </w:t>
      </w:r>
      <w:r w:rsidR="00FC4741">
        <w:rPr>
          <w:rFonts w:cs="Arial"/>
          <w:bCs/>
        </w:rPr>
        <w:t xml:space="preserve">its own specialist </w:t>
      </w:r>
      <w:r w:rsidR="00B55EE2">
        <w:rPr>
          <w:rFonts w:cs="Arial"/>
          <w:bCs/>
        </w:rPr>
        <w:t>cost</w:t>
      </w:r>
      <w:r w:rsidR="00FC4741">
        <w:rPr>
          <w:rFonts w:cs="Arial"/>
          <w:bCs/>
        </w:rPr>
        <w:t xml:space="preserve"> consultant</w:t>
      </w:r>
      <w:r w:rsidR="00B55EE2">
        <w:rPr>
          <w:rFonts w:cs="Arial"/>
          <w:bCs/>
        </w:rPr>
        <w:t>, LSH.</w:t>
      </w:r>
    </w:p>
    <w:p w14:paraId="0CFFC28C" w14:textId="4D8999BE" w:rsidR="004A5154" w:rsidRPr="00B92B1C" w:rsidRDefault="00D94808" w:rsidP="00FA068A">
      <w:pPr>
        <w:numPr>
          <w:ilvl w:val="1"/>
          <w:numId w:val="3"/>
        </w:numPr>
        <w:spacing w:after="200"/>
        <w:ind w:left="709" w:hanging="567"/>
        <w:rPr>
          <w:rFonts w:cs="Arial"/>
          <w:bCs/>
        </w:rPr>
      </w:pPr>
      <w:r>
        <w:rPr>
          <w:rFonts w:cs="Arial"/>
          <w:bCs/>
        </w:rPr>
        <w:t xml:space="preserve">The purpose of a deed of variation to the </w:t>
      </w:r>
      <w:proofErr w:type="spellStart"/>
      <w:r>
        <w:rPr>
          <w:rFonts w:cs="Arial"/>
          <w:bCs/>
        </w:rPr>
        <w:t>EastPlus</w:t>
      </w:r>
      <w:proofErr w:type="spellEnd"/>
      <w:r>
        <w:rPr>
          <w:rFonts w:cs="Arial"/>
          <w:bCs/>
        </w:rPr>
        <w:t xml:space="preserve"> DA (</w:t>
      </w:r>
      <w:r w:rsidR="00AB6A75">
        <w:rPr>
          <w:rFonts w:cs="Arial"/>
          <w:bCs/>
        </w:rPr>
        <w:t xml:space="preserve">and ancillary </w:t>
      </w:r>
      <w:r>
        <w:rPr>
          <w:rFonts w:cs="Arial"/>
          <w:bCs/>
        </w:rPr>
        <w:t xml:space="preserve">documentation) will be to record that </w:t>
      </w:r>
      <w:proofErr w:type="spellStart"/>
      <w:r>
        <w:rPr>
          <w:rFonts w:cs="Arial"/>
          <w:bCs/>
        </w:rPr>
        <w:t>EastPlus</w:t>
      </w:r>
      <w:proofErr w:type="spellEnd"/>
      <w:r>
        <w:rPr>
          <w:rFonts w:cs="Arial"/>
          <w:bCs/>
        </w:rPr>
        <w:t xml:space="preserve"> Plot 45 is removed from the </w:t>
      </w:r>
      <w:proofErr w:type="spellStart"/>
      <w:r>
        <w:rPr>
          <w:rFonts w:cs="Arial"/>
          <w:bCs/>
        </w:rPr>
        <w:t>EastPlus</w:t>
      </w:r>
      <w:proofErr w:type="spellEnd"/>
      <w:r>
        <w:rPr>
          <w:rFonts w:cs="Arial"/>
          <w:bCs/>
        </w:rPr>
        <w:t xml:space="preserve"> industrial portfolio for the purpose of the development agreement. This reflects what has been agreed in principle with SEGRO</w:t>
      </w:r>
      <w:r w:rsidR="00FC4741">
        <w:rPr>
          <w:rFonts w:cs="Arial"/>
          <w:bCs/>
        </w:rPr>
        <w:t>,</w:t>
      </w:r>
      <w:r>
        <w:rPr>
          <w:rFonts w:cs="Arial"/>
          <w:bCs/>
        </w:rPr>
        <w:t xml:space="preserve"> who recognise that</w:t>
      </w:r>
      <w:r w:rsidR="00FC4741">
        <w:rPr>
          <w:rFonts w:cs="Arial"/>
          <w:bCs/>
        </w:rPr>
        <w:t>,</w:t>
      </w:r>
      <w:r>
        <w:rPr>
          <w:rFonts w:cs="Arial"/>
          <w:bCs/>
        </w:rPr>
        <w:t xml:space="preserve"> by allowing GLAP to keep nearly all the proceeds of sale of that plot</w:t>
      </w:r>
      <w:r w:rsidR="00FC4741">
        <w:rPr>
          <w:rFonts w:cs="Arial"/>
          <w:bCs/>
        </w:rPr>
        <w:t>,</w:t>
      </w:r>
      <w:r>
        <w:rPr>
          <w:rFonts w:cs="Arial"/>
          <w:bCs/>
        </w:rPr>
        <w:t xml:space="preserve"> this will help GLAP to dispose of the remaining two </w:t>
      </w:r>
      <w:proofErr w:type="spellStart"/>
      <w:r>
        <w:rPr>
          <w:rFonts w:cs="Arial"/>
          <w:bCs/>
        </w:rPr>
        <w:t>EastPlus</w:t>
      </w:r>
      <w:proofErr w:type="spellEnd"/>
      <w:r>
        <w:rPr>
          <w:rFonts w:cs="Arial"/>
          <w:bCs/>
        </w:rPr>
        <w:t xml:space="preserve"> plots in Ferry Lane in due course</w:t>
      </w:r>
      <w:r w:rsidR="00FC4741">
        <w:rPr>
          <w:rFonts w:cs="Arial"/>
          <w:bCs/>
        </w:rPr>
        <w:t xml:space="preserve">. This is important because </w:t>
      </w:r>
      <w:proofErr w:type="spellStart"/>
      <w:r w:rsidR="00FC4741">
        <w:rPr>
          <w:rFonts w:cs="Arial"/>
          <w:bCs/>
        </w:rPr>
        <w:t>EastPlus</w:t>
      </w:r>
      <w:proofErr w:type="spellEnd"/>
      <w:r w:rsidR="00FC4741">
        <w:rPr>
          <w:rFonts w:cs="Arial"/>
          <w:bCs/>
        </w:rPr>
        <w:t xml:space="preserve"> Plots 24 </w:t>
      </w:r>
      <w:r w:rsidR="002803DE">
        <w:rPr>
          <w:rFonts w:cs="Arial"/>
          <w:bCs/>
        </w:rPr>
        <w:t xml:space="preserve">and </w:t>
      </w:r>
      <w:r w:rsidR="00FC4741">
        <w:rPr>
          <w:rFonts w:cs="Arial"/>
          <w:bCs/>
        </w:rPr>
        <w:t>26 in Ferry Lane are the most challenging plots in the portfolio to develop</w:t>
      </w:r>
      <w:r w:rsidR="002803DE">
        <w:rPr>
          <w:rFonts w:cs="Arial"/>
          <w:bCs/>
        </w:rPr>
        <w:t>,</w:t>
      </w:r>
      <w:r w:rsidR="00FC4741">
        <w:rPr>
          <w:rFonts w:cs="Arial"/>
          <w:bCs/>
        </w:rPr>
        <w:t xml:space="preserve"> due to the presence of extensive historic ground contamination, which is likely to mean that the residual land value of these two plots </w:t>
      </w:r>
      <w:r w:rsidR="00C2609B">
        <w:rPr>
          <w:rFonts w:cs="Arial"/>
          <w:bCs/>
        </w:rPr>
        <w:t xml:space="preserve">for industrial uses (compatible with the Local Plan, etc.) </w:t>
      </w:r>
      <w:r w:rsidR="00FC4741">
        <w:rPr>
          <w:rFonts w:cs="Arial"/>
          <w:bCs/>
        </w:rPr>
        <w:t xml:space="preserve">is </w:t>
      </w:r>
      <w:r w:rsidR="00560702">
        <w:rPr>
          <w:rFonts w:cs="Arial"/>
          <w:bCs/>
        </w:rPr>
        <w:t>low</w:t>
      </w:r>
      <w:r w:rsidR="00FC4741">
        <w:rPr>
          <w:rFonts w:cs="Arial"/>
          <w:bCs/>
        </w:rPr>
        <w:t>.</w:t>
      </w:r>
      <w:r w:rsidR="00AB6A75">
        <w:rPr>
          <w:rFonts w:cs="Arial"/>
          <w:bCs/>
        </w:rPr>
        <w:t xml:space="preserve"> This is not a material change to the development agreement for the purposes of the Public Contracts Regulations 2015.</w:t>
      </w:r>
    </w:p>
    <w:p w14:paraId="7F62BE29" w14:textId="7AD1E098" w:rsidR="00BE1133" w:rsidRDefault="00BE1133" w:rsidP="00FA068A">
      <w:pPr>
        <w:numPr>
          <w:ilvl w:val="1"/>
          <w:numId w:val="3"/>
        </w:numPr>
        <w:spacing w:after="200"/>
        <w:ind w:left="709" w:hanging="567"/>
        <w:rPr>
          <w:rFonts w:cs="Arial"/>
          <w:bCs/>
        </w:rPr>
      </w:pPr>
      <w:r>
        <w:rPr>
          <w:rFonts w:cs="Arial"/>
          <w:bCs/>
        </w:rPr>
        <w:t>This decision will support:</w:t>
      </w:r>
    </w:p>
    <w:p w14:paraId="0A2621BC" w14:textId="1783D20B" w:rsidR="00BE1133" w:rsidRDefault="00BE1133" w:rsidP="00FA068A">
      <w:pPr>
        <w:pStyle w:val="BodyTextIndent3"/>
        <w:numPr>
          <w:ilvl w:val="0"/>
          <w:numId w:val="11"/>
        </w:numPr>
        <w:spacing w:after="200" w:line="240" w:lineRule="auto"/>
        <w:ind w:left="993" w:hanging="284"/>
        <w:rPr>
          <w:rFonts w:cs="Arial"/>
          <w:szCs w:val="24"/>
        </w:rPr>
      </w:pPr>
      <w:r>
        <w:rPr>
          <w:rFonts w:cs="Arial"/>
          <w:szCs w:val="24"/>
        </w:rPr>
        <w:t xml:space="preserve">the exit strategy for the Mayor’s </w:t>
      </w:r>
      <w:r w:rsidR="002803DE">
        <w:rPr>
          <w:rFonts w:cs="Arial"/>
          <w:szCs w:val="24"/>
        </w:rPr>
        <w:t>land and p</w:t>
      </w:r>
      <w:r>
        <w:rPr>
          <w:rFonts w:cs="Arial"/>
          <w:szCs w:val="24"/>
        </w:rPr>
        <w:t>roperty portfolio</w:t>
      </w:r>
    </w:p>
    <w:p w14:paraId="73E8E011" w14:textId="371DC08B" w:rsidR="00BE1133" w:rsidRDefault="00BE1133" w:rsidP="00FA068A">
      <w:pPr>
        <w:pStyle w:val="BodyTextIndent3"/>
        <w:numPr>
          <w:ilvl w:val="0"/>
          <w:numId w:val="11"/>
        </w:numPr>
        <w:spacing w:after="200" w:line="240" w:lineRule="auto"/>
        <w:ind w:left="993" w:hanging="284"/>
        <w:rPr>
          <w:rFonts w:cs="Arial"/>
          <w:szCs w:val="24"/>
        </w:rPr>
      </w:pPr>
      <w:r>
        <w:rPr>
          <w:rFonts w:cs="Arial"/>
          <w:szCs w:val="24"/>
        </w:rPr>
        <w:t>the continued comprehensive regeneration of brownfield land in east London, leading to the creation of many jobs, both directly and indirectly</w:t>
      </w:r>
    </w:p>
    <w:p w14:paraId="47E8E3E9" w14:textId="0B707874" w:rsidR="00BE1133" w:rsidRDefault="00BE1133" w:rsidP="00FA068A">
      <w:pPr>
        <w:pStyle w:val="BodyTextIndent3"/>
        <w:numPr>
          <w:ilvl w:val="0"/>
          <w:numId w:val="11"/>
        </w:numPr>
        <w:spacing w:after="200" w:line="240" w:lineRule="auto"/>
        <w:ind w:left="993" w:hanging="284"/>
        <w:rPr>
          <w:rFonts w:cs="Arial"/>
          <w:szCs w:val="24"/>
        </w:rPr>
      </w:pPr>
      <w:r>
        <w:rPr>
          <w:rFonts w:cs="Arial"/>
          <w:szCs w:val="24"/>
        </w:rPr>
        <w:t>the economic development of the Dagenham Dock and the Ferry Lane industrial areas</w:t>
      </w:r>
    </w:p>
    <w:p w14:paraId="27A703BA" w14:textId="5B2BDA8D" w:rsidR="004A5154" w:rsidRPr="00B92B1C" w:rsidRDefault="00BE1133" w:rsidP="00FA068A">
      <w:pPr>
        <w:pStyle w:val="BodyTextIndent3"/>
        <w:numPr>
          <w:ilvl w:val="0"/>
          <w:numId w:val="11"/>
        </w:numPr>
        <w:spacing w:after="200" w:line="240" w:lineRule="auto"/>
        <w:ind w:left="993" w:hanging="284"/>
        <w:rPr>
          <w:rFonts w:cs="Arial"/>
          <w:szCs w:val="24"/>
        </w:rPr>
      </w:pPr>
      <w:r>
        <w:rPr>
          <w:rFonts w:cs="Arial"/>
          <w:szCs w:val="24"/>
        </w:rPr>
        <w:t xml:space="preserve">London’s </w:t>
      </w:r>
      <w:r w:rsidR="006B7B6F">
        <w:rPr>
          <w:rFonts w:cs="Arial"/>
          <w:szCs w:val="24"/>
        </w:rPr>
        <w:t>r</w:t>
      </w:r>
      <w:r>
        <w:rPr>
          <w:rFonts w:cs="Arial"/>
          <w:szCs w:val="24"/>
        </w:rPr>
        <w:t>ecovery through spatial development and job creation</w:t>
      </w:r>
      <w:r w:rsidR="00560702">
        <w:rPr>
          <w:rFonts w:cs="Arial"/>
          <w:szCs w:val="24"/>
        </w:rPr>
        <w:t>.</w:t>
      </w:r>
    </w:p>
    <w:p w14:paraId="535D0A6C" w14:textId="54303AEC" w:rsidR="00BE1133" w:rsidRDefault="00BE1133" w:rsidP="00FA068A">
      <w:pPr>
        <w:numPr>
          <w:ilvl w:val="1"/>
          <w:numId w:val="3"/>
        </w:numPr>
        <w:ind w:left="709" w:hanging="567"/>
        <w:rPr>
          <w:rFonts w:cs="Arial"/>
          <w:bCs/>
        </w:rPr>
      </w:pPr>
      <w:r>
        <w:lastRenderedPageBreak/>
        <w:t>There are no conflicts of interest to declare from any officer involved in the drafting or clearance of this decision form.</w:t>
      </w:r>
    </w:p>
    <w:p w14:paraId="595147D9" w14:textId="77777777" w:rsidR="00BE1133" w:rsidRDefault="00BE1133" w:rsidP="00B92B1C">
      <w:pPr>
        <w:ind w:left="709"/>
        <w:rPr>
          <w:rFonts w:cs="Arial"/>
          <w:bCs/>
        </w:rPr>
      </w:pPr>
    </w:p>
    <w:p w14:paraId="65180A17" w14:textId="77777777" w:rsidR="004A5154" w:rsidRPr="00BE1133" w:rsidRDefault="004A5154" w:rsidP="00B92B1C">
      <w:pPr>
        <w:ind w:left="709"/>
        <w:rPr>
          <w:rFonts w:cs="Arial"/>
          <w:bCs/>
        </w:rPr>
      </w:pPr>
    </w:p>
    <w:p w14:paraId="4808A158" w14:textId="02318690" w:rsidR="000479A9" w:rsidRDefault="00C776B4" w:rsidP="00FA068A">
      <w:pPr>
        <w:numPr>
          <w:ilvl w:val="0"/>
          <w:numId w:val="2"/>
        </w:numPr>
        <w:ind w:left="709" w:hanging="567"/>
        <w:rPr>
          <w:rFonts w:cs="Arial"/>
          <w:b/>
        </w:rPr>
      </w:pPr>
      <w:r w:rsidRPr="00866CB4">
        <w:rPr>
          <w:rFonts w:cs="Arial"/>
          <w:b/>
        </w:rPr>
        <w:t>Financial c</w:t>
      </w:r>
      <w:r w:rsidR="000479A9" w:rsidRPr="00866CB4">
        <w:rPr>
          <w:rFonts w:cs="Arial"/>
          <w:b/>
        </w:rPr>
        <w:t>omments</w:t>
      </w:r>
    </w:p>
    <w:p w14:paraId="1DD8B069" w14:textId="77777777" w:rsidR="004A5154" w:rsidRDefault="004A5154" w:rsidP="00B92B1C">
      <w:pPr>
        <w:ind w:left="709"/>
        <w:rPr>
          <w:rFonts w:cs="Arial"/>
          <w:b/>
        </w:rPr>
      </w:pPr>
    </w:p>
    <w:p w14:paraId="7E3E1510" w14:textId="6D6E1AB3" w:rsidR="00BC3CA7" w:rsidRPr="00B92B1C" w:rsidRDefault="00114701" w:rsidP="00FA068A">
      <w:pPr>
        <w:pStyle w:val="Header"/>
        <w:numPr>
          <w:ilvl w:val="1"/>
          <w:numId w:val="9"/>
        </w:numPr>
        <w:tabs>
          <w:tab w:val="clear" w:pos="4320"/>
          <w:tab w:val="clear" w:pos="8640"/>
        </w:tabs>
        <w:spacing w:after="200"/>
        <w:ind w:left="709" w:hanging="567"/>
        <w:rPr>
          <w:rFonts w:ascii="Foundry Form Sans" w:hAnsi="Foundry Form Sans"/>
          <w:szCs w:val="24"/>
        </w:rPr>
      </w:pPr>
      <w:r>
        <w:rPr>
          <w:rFonts w:ascii="Foundry Form Sans" w:hAnsi="Foundry Form Sans"/>
          <w:szCs w:val="24"/>
        </w:rPr>
        <w:t>T</w:t>
      </w:r>
      <w:r w:rsidR="002C34E5" w:rsidRPr="002C34E5">
        <w:rPr>
          <w:rFonts w:ascii="Foundry Form Sans" w:hAnsi="Foundry Form Sans"/>
          <w:szCs w:val="24"/>
        </w:rPr>
        <w:t xml:space="preserve">he decision is seeking approval for disposal of </w:t>
      </w:r>
      <w:proofErr w:type="spellStart"/>
      <w:r w:rsidR="00FD3EE0" w:rsidRPr="002C34E5">
        <w:rPr>
          <w:rFonts w:ascii="Foundry Form Sans" w:hAnsi="Foundry Form Sans"/>
          <w:szCs w:val="24"/>
        </w:rPr>
        <w:t>EastPlus</w:t>
      </w:r>
      <w:proofErr w:type="spellEnd"/>
      <w:r w:rsidR="002C34E5" w:rsidRPr="002C34E5">
        <w:rPr>
          <w:rFonts w:ascii="Foundry Form Sans" w:hAnsi="Foundry Form Sans"/>
          <w:szCs w:val="24"/>
        </w:rPr>
        <w:t xml:space="preserve"> plot 45 to </w:t>
      </w:r>
      <w:r w:rsidR="002C34E5" w:rsidRPr="002C34E5">
        <w:rPr>
          <w:rFonts w:ascii="Foundry Form Sans" w:hAnsi="Foundry Form Sans" w:cs="Arial"/>
          <w:szCs w:val="24"/>
        </w:rPr>
        <w:t>The Capital Dairy Company (Holdings</w:t>
      </w:r>
      <w:r w:rsidR="006B7B6F">
        <w:rPr>
          <w:rFonts w:ascii="Foundry Form Sans" w:hAnsi="Foundry Form Sans" w:cs="Arial"/>
          <w:szCs w:val="24"/>
        </w:rPr>
        <w:t>)</w:t>
      </w:r>
      <w:r w:rsidR="002C34E5" w:rsidRPr="002C34E5">
        <w:rPr>
          <w:rFonts w:ascii="Foundry Form Sans" w:hAnsi="Foundry Form Sans" w:cs="Arial"/>
          <w:szCs w:val="24"/>
        </w:rPr>
        <w:t xml:space="preserve"> Limited.</w:t>
      </w:r>
      <w:r w:rsidR="00D749FA">
        <w:rPr>
          <w:rFonts w:ascii="Foundry Form Sans" w:hAnsi="Foundry Form Sans" w:cs="Arial"/>
          <w:szCs w:val="24"/>
        </w:rPr>
        <w:t xml:space="preserve"> </w:t>
      </w:r>
      <w:r w:rsidR="002C34E5" w:rsidRPr="002C34E5">
        <w:rPr>
          <w:rFonts w:ascii="Foundry Form Sans" w:hAnsi="Foundry Form Sans"/>
          <w:szCs w:val="24"/>
        </w:rPr>
        <w:t>VAT will be chargeable on the sales price</w:t>
      </w:r>
      <w:bookmarkStart w:id="6" w:name="_Hlk97826063"/>
      <w:r w:rsidR="00293164">
        <w:rPr>
          <w:rFonts w:ascii="Foundry Form Sans" w:hAnsi="Foundry Form Sans"/>
          <w:szCs w:val="24"/>
        </w:rPr>
        <w:t>.</w:t>
      </w:r>
      <w:r w:rsidR="00D749FA">
        <w:rPr>
          <w:rFonts w:ascii="Foundry Form Sans" w:hAnsi="Foundry Form Sans"/>
          <w:szCs w:val="24"/>
        </w:rPr>
        <w:t xml:space="preserve"> </w:t>
      </w:r>
      <w:r w:rsidR="00FD01EF" w:rsidRPr="00DC0FE1">
        <w:rPr>
          <w:rFonts w:ascii="Foundry Form Sans" w:hAnsi="Foundry Form Sans"/>
          <w:szCs w:val="24"/>
        </w:rPr>
        <w:t>SEGRO</w:t>
      </w:r>
      <w:r w:rsidR="00FD01EF">
        <w:rPr>
          <w:rFonts w:ascii="Foundry Form Sans" w:hAnsi="Foundry Form Sans"/>
          <w:szCs w:val="24"/>
        </w:rPr>
        <w:t>,</w:t>
      </w:r>
      <w:r w:rsidR="00FD01EF" w:rsidRPr="00B01D5A">
        <w:rPr>
          <w:rFonts w:ascii="Foundry Form Sans" w:hAnsi="Foundry Form Sans"/>
          <w:szCs w:val="24"/>
        </w:rPr>
        <w:t xml:space="preserve"> the developer of </w:t>
      </w:r>
      <w:proofErr w:type="spellStart"/>
      <w:r w:rsidR="00FD3EE0" w:rsidRPr="00B01D5A">
        <w:rPr>
          <w:rFonts w:ascii="Foundry Form Sans" w:hAnsi="Foundry Form Sans"/>
          <w:szCs w:val="24"/>
        </w:rPr>
        <w:t>EastPlus</w:t>
      </w:r>
      <w:proofErr w:type="spellEnd"/>
      <w:r w:rsidR="00FD01EF" w:rsidRPr="00B01D5A">
        <w:rPr>
          <w:rFonts w:ascii="Foundry Form Sans" w:hAnsi="Foundry Form Sans"/>
          <w:szCs w:val="24"/>
        </w:rPr>
        <w:t xml:space="preserve"> </w:t>
      </w:r>
      <w:r w:rsidR="00FD01EF" w:rsidRPr="00DC0FE1">
        <w:rPr>
          <w:rFonts w:ascii="Foundry Form Sans" w:hAnsi="Foundry Form Sans"/>
          <w:szCs w:val="24"/>
        </w:rPr>
        <w:t xml:space="preserve">will be reimbursed for site survey and clearance cost, from the </w:t>
      </w:r>
      <w:r w:rsidR="00FF31D5" w:rsidRPr="00DC0FE1">
        <w:rPr>
          <w:rFonts w:ascii="Foundry Form Sans" w:hAnsi="Foundry Form Sans"/>
          <w:szCs w:val="24"/>
        </w:rPr>
        <w:t xml:space="preserve">disposal </w:t>
      </w:r>
      <w:r w:rsidR="00FD01EF" w:rsidRPr="00DC0FE1">
        <w:rPr>
          <w:rFonts w:ascii="Foundry Form Sans" w:hAnsi="Foundry Form Sans"/>
          <w:szCs w:val="24"/>
        </w:rPr>
        <w:t>proceeds of the site.</w:t>
      </w:r>
    </w:p>
    <w:bookmarkEnd w:id="6"/>
    <w:p w14:paraId="5407E271" w14:textId="34034561" w:rsidR="002C34E5" w:rsidRPr="00B92B1C" w:rsidRDefault="002C34E5" w:rsidP="00FA068A">
      <w:pPr>
        <w:pStyle w:val="Header"/>
        <w:numPr>
          <w:ilvl w:val="1"/>
          <w:numId w:val="9"/>
        </w:numPr>
        <w:tabs>
          <w:tab w:val="clear" w:pos="4320"/>
          <w:tab w:val="clear" w:pos="8640"/>
        </w:tabs>
        <w:spacing w:after="200"/>
        <w:ind w:left="709" w:hanging="567"/>
        <w:rPr>
          <w:rFonts w:ascii="Foundry Form Sans" w:hAnsi="Foundry Form Sans"/>
          <w:szCs w:val="24"/>
        </w:rPr>
      </w:pPr>
      <w:r w:rsidRPr="002C34E5">
        <w:rPr>
          <w:rFonts w:ascii="Foundry Form Sans" w:hAnsi="Foundry Form Sans"/>
          <w:szCs w:val="24"/>
        </w:rPr>
        <w:t xml:space="preserve">The decision is also seeking approval for the disposal of Halyard, a slither of land </w:t>
      </w:r>
      <w:r w:rsidR="003B6CC4">
        <w:rPr>
          <w:rFonts w:ascii="Foundry Form Sans" w:hAnsi="Foundry Form Sans" w:cs="Arial"/>
          <w:bCs/>
          <w:szCs w:val="24"/>
        </w:rPr>
        <w:t>off Halyard Street,</w:t>
      </w:r>
      <w:r w:rsidR="003B6CC4" w:rsidRPr="002C34E5">
        <w:rPr>
          <w:rFonts w:ascii="Foundry Form Sans" w:hAnsi="Foundry Form Sans"/>
          <w:szCs w:val="24"/>
        </w:rPr>
        <w:t xml:space="preserve"> </w:t>
      </w:r>
      <w:r w:rsidRPr="002C34E5">
        <w:rPr>
          <w:rFonts w:ascii="Foundry Form Sans" w:hAnsi="Foundry Form Sans"/>
          <w:szCs w:val="24"/>
        </w:rPr>
        <w:t>at Dagenham Dock</w:t>
      </w:r>
      <w:r w:rsidR="00C432CE">
        <w:rPr>
          <w:rFonts w:ascii="Foundry Form Sans" w:hAnsi="Foundry Form Sans"/>
          <w:szCs w:val="24"/>
        </w:rPr>
        <w:t xml:space="preserve">, </w:t>
      </w:r>
      <w:r w:rsidRPr="002C34E5">
        <w:rPr>
          <w:rFonts w:ascii="Foundry Form Sans" w:hAnsi="Foundry Form Sans"/>
          <w:szCs w:val="24"/>
        </w:rPr>
        <w:t>to</w:t>
      </w:r>
      <w:r w:rsidRPr="002C34E5">
        <w:rPr>
          <w:rFonts w:ascii="Foundry Form Sans" w:hAnsi="Foundry Form Sans" w:cs="Arial"/>
          <w:szCs w:val="24"/>
        </w:rPr>
        <w:t xml:space="preserve"> The Capital Dairy Company (Holdings</w:t>
      </w:r>
      <w:r w:rsidR="006B7B6F">
        <w:rPr>
          <w:rFonts w:ascii="Foundry Form Sans" w:hAnsi="Foundry Form Sans" w:cs="Arial"/>
          <w:szCs w:val="24"/>
        </w:rPr>
        <w:t>)</w:t>
      </w:r>
      <w:r w:rsidRPr="002C34E5">
        <w:rPr>
          <w:rFonts w:ascii="Foundry Form Sans" w:hAnsi="Foundry Form Sans" w:cs="Arial"/>
          <w:szCs w:val="24"/>
        </w:rPr>
        <w:t xml:space="preserve"> Limited.</w:t>
      </w:r>
      <w:r w:rsidR="00D749FA">
        <w:rPr>
          <w:rFonts w:ascii="Foundry Form Sans" w:hAnsi="Foundry Form Sans" w:cs="Arial"/>
          <w:szCs w:val="24"/>
        </w:rPr>
        <w:t xml:space="preserve"> </w:t>
      </w:r>
    </w:p>
    <w:p w14:paraId="2D77D8EA" w14:textId="6C8D623E" w:rsidR="00114701" w:rsidRPr="00293164" w:rsidRDefault="002C34E5" w:rsidP="00FA068A">
      <w:pPr>
        <w:pStyle w:val="Header"/>
        <w:numPr>
          <w:ilvl w:val="1"/>
          <w:numId w:val="9"/>
        </w:numPr>
        <w:tabs>
          <w:tab w:val="clear" w:pos="4320"/>
          <w:tab w:val="clear" w:pos="8640"/>
        </w:tabs>
        <w:ind w:left="709" w:hanging="567"/>
        <w:rPr>
          <w:rFonts w:ascii="Foundry Form Sans" w:hAnsi="Foundry Form Sans"/>
          <w:szCs w:val="24"/>
        </w:rPr>
      </w:pPr>
      <w:r w:rsidRPr="00293164">
        <w:rPr>
          <w:rFonts w:ascii="Foundry Form Sans" w:hAnsi="Foundry Form Sans"/>
          <w:szCs w:val="24"/>
        </w:rPr>
        <w:t>A budget of £95,000 will be required to fund the costs associated with the disposal of the site</w:t>
      </w:r>
      <w:r w:rsidR="00C432CE">
        <w:rPr>
          <w:rFonts w:ascii="Foundry Form Sans" w:hAnsi="Foundry Form Sans"/>
          <w:szCs w:val="24"/>
        </w:rPr>
        <w:t xml:space="preserve">, </w:t>
      </w:r>
      <w:r w:rsidR="00293164" w:rsidRPr="00293164">
        <w:rPr>
          <w:rFonts w:ascii="Foundry Form Sans" w:hAnsi="Foundry Form Sans"/>
          <w:szCs w:val="24"/>
        </w:rPr>
        <w:t xml:space="preserve">which is </w:t>
      </w:r>
      <w:r w:rsidR="00114701" w:rsidRPr="00293164">
        <w:rPr>
          <w:rFonts w:ascii="Foundry Form Sans" w:hAnsi="Foundry Form Sans"/>
          <w:szCs w:val="24"/>
        </w:rPr>
        <w:t>expected to be incurred during 202</w:t>
      </w:r>
      <w:r w:rsidR="00963943">
        <w:rPr>
          <w:rFonts w:ascii="Foundry Form Sans" w:hAnsi="Foundry Form Sans"/>
          <w:szCs w:val="24"/>
        </w:rPr>
        <w:t>2-23</w:t>
      </w:r>
      <w:r w:rsidR="00114701" w:rsidRPr="00293164">
        <w:rPr>
          <w:rFonts w:ascii="Foundry Form Sans" w:hAnsi="Foundry Form Sans"/>
          <w:szCs w:val="24"/>
        </w:rPr>
        <w:t>.</w:t>
      </w:r>
    </w:p>
    <w:p w14:paraId="4D86EE5A" w14:textId="398E3D1B" w:rsidR="002C34E5" w:rsidRDefault="00D749FA" w:rsidP="00B92B1C">
      <w:pPr>
        <w:pStyle w:val="Header"/>
        <w:tabs>
          <w:tab w:val="clear" w:pos="4320"/>
          <w:tab w:val="clear" w:pos="8640"/>
        </w:tabs>
        <w:ind w:left="709"/>
        <w:rPr>
          <w:rFonts w:ascii="Foundry Form Sans" w:hAnsi="Foundry Form Sans"/>
          <w:szCs w:val="24"/>
        </w:rPr>
      </w:pPr>
      <w:r>
        <w:rPr>
          <w:rFonts w:ascii="Foundry Form Sans" w:hAnsi="Foundry Form Sans"/>
          <w:szCs w:val="24"/>
        </w:rPr>
        <w:t xml:space="preserve"> </w:t>
      </w:r>
    </w:p>
    <w:p w14:paraId="4C72E2B6" w14:textId="6E704F29" w:rsidR="002C34E5" w:rsidRDefault="002C34E5" w:rsidP="00B92B1C">
      <w:pPr>
        <w:pStyle w:val="Footer"/>
        <w:tabs>
          <w:tab w:val="clear" w:pos="4320"/>
          <w:tab w:val="clear" w:pos="8640"/>
        </w:tabs>
        <w:ind w:left="709" w:hanging="567"/>
        <w:rPr>
          <w:rFonts w:cs="Arial"/>
        </w:rPr>
      </w:pPr>
    </w:p>
    <w:p w14:paraId="5DA0449C" w14:textId="77777777" w:rsidR="000479A9" w:rsidRDefault="00C776B4" w:rsidP="00FA068A">
      <w:pPr>
        <w:numPr>
          <w:ilvl w:val="0"/>
          <w:numId w:val="2"/>
        </w:numPr>
        <w:ind w:left="709" w:hanging="567"/>
        <w:rPr>
          <w:rFonts w:cs="Arial"/>
          <w:b/>
        </w:rPr>
      </w:pPr>
      <w:r w:rsidRPr="00866CB4">
        <w:rPr>
          <w:rFonts w:cs="Arial"/>
          <w:b/>
        </w:rPr>
        <w:t>Legal c</w:t>
      </w:r>
      <w:r w:rsidR="000479A9" w:rsidRPr="00866CB4">
        <w:rPr>
          <w:rFonts w:cs="Arial"/>
          <w:b/>
        </w:rPr>
        <w:t>omments</w:t>
      </w:r>
    </w:p>
    <w:p w14:paraId="1F765D9E" w14:textId="77777777" w:rsidR="004A5154" w:rsidRPr="00866CB4" w:rsidRDefault="004A5154" w:rsidP="00B92B1C">
      <w:pPr>
        <w:ind w:left="709"/>
        <w:rPr>
          <w:rFonts w:cs="Arial"/>
          <w:b/>
        </w:rPr>
      </w:pPr>
    </w:p>
    <w:p w14:paraId="1ABB1B5F" w14:textId="3D00BDF5" w:rsidR="00AB6A75" w:rsidRPr="00AB6A75" w:rsidRDefault="00AB6A75" w:rsidP="00FA068A">
      <w:pPr>
        <w:pStyle w:val="BodyTextIndent3"/>
        <w:numPr>
          <w:ilvl w:val="1"/>
          <w:numId w:val="5"/>
        </w:numPr>
        <w:spacing w:after="200" w:line="240" w:lineRule="auto"/>
        <w:ind w:left="709" w:hanging="567"/>
        <w:rPr>
          <w:rFonts w:cs="Arial"/>
          <w:b/>
        </w:rPr>
      </w:pPr>
      <w:r w:rsidRPr="00AB6A75">
        <w:rPr>
          <w:rFonts w:cs="Arial"/>
        </w:rPr>
        <w:t xml:space="preserve">Section </w:t>
      </w:r>
      <w:r>
        <w:rPr>
          <w:rFonts w:cs="Arial"/>
        </w:rPr>
        <w:t xml:space="preserve">30 </w:t>
      </w:r>
      <w:r w:rsidRPr="00AB6A75">
        <w:rPr>
          <w:rFonts w:cs="Arial"/>
        </w:rPr>
        <w:t>of the Greater London Authority Act 1999 (as amended) (GLA Act) gives the Mayor a general power to do anything which he considers will further one or more of the principal purposes of the GLA as set out in section 30(2)</w:t>
      </w:r>
      <w:r w:rsidR="0032052C">
        <w:rPr>
          <w:rFonts w:cs="Arial"/>
        </w:rPr>
        <w:t>,</w:t>
      </w:r>
      <w:r w:rsidRPr="00AB6A75">
        <w:rPr>
          <w:rFonts w:cs="Arial"/>
        </w:rPr>
        <w:t xml:space="preserve"> which are:</w:t>
      </w:r>
    </w:p>
    <w:p w14:paraId="1715C236" w14:textId="25BC2D7C" w:rsidR="00AB6A75" w:rsidRPr="00AB6A75" w:rsidRDefault="00FB7BAB" w:rsidP="00FA068A">
      <w:pPr>
        <w:pStyle w:val="BodyTextIndent3"/>
        <w:numPr>
          <w:ilvl w:val="0"/>
          <w:numId w:val="13"/>
        </w:numPr>
        <w:spacing w:after="200" w:line="240" w:lineRule="auto"/>
        <w:ind w:left="851" w:hanging="142"/>
        <w:rPr>
          <w:rFonts w:cs="Arial"/>
        </w:rPr>
      </w:pPr>
      <w:r>
        <w:rPr>
          <w:rFonts w:cs="Arial"/>
        </w:rPr>
        <w:t>p</w:t>
      </w:r>
      <w:r w:rsidRPr="00AB6A75">
        <w:rPr>
          <w:rFonts w:cs="Arial"/>
        </w:rPr>
        <w:t xml:space="preserve">romoting </w:t>
      </w:r>
      <w:r w:rsidR="00AB6A75" w:rsidRPr="00AB6A75">
        <w:rPr>
          <w:rFonts w:cs="Arial"/>
        </w:rPr>
        <w:t>economic development and wealth creation in Greater London</w:t>
      </w:r>
    </w:p>
    <w:p w14:paraId="63BCC587" w14:textId="77777777" w:rsidR="00B92B1C" w:rsidRDefault="00FB7BAB" w:rsidP="00FA068A">
      <w:pPr>
        <w:pStyle w:val="BodyTextIndent3"/>
        <w:numPr>
          <w:ilvl w:val="0"/>
          <w:numId w:val="13"/>
        </w:numPr>
        <w:spacing w:after="200" w:line="240" w:lineRule="auto"/>
        <w:ind w:left="851" w:hanging="142"/>
        <w:rPr>
          <w:rFonts w:cs="Arial"/>
        </w:rPr>
      </w:pPr>
      <w:r>
        <w:rPr>
          <w:rFonts w:cs="Arial"/>
        </w:rPr>
        <w:t>p</w:t>
      </w:r>
      <w:r w:rsidRPr="00AB6A75">
        <w:rPr>
          <w:rFonts w:cs="Arial"/>
        </w:rPr>
        <w:t xml:space="preserve">romoting </w:t>
      </w:r>
      <w:r w:rsidR="00AB6A75" w:rsidRPr="00AB6A75">
        <w:rPr>
          <w:rFonts w:cs="Arial"/>
        </w:rPr>
        <w:t xml:space="preserve">social development in Greater London </w:t>
      </w:r>
    </w:p>
    <w:p w14:paraId="797F13D0" w14:textId="64C7E583" w:rsidR="00AB6A75" w:rsidRPr="00B92B1C" w:rsidRDefault="00FB7BAB" w:rsidP="00FA068A">
      <w:pPr>
        <w:pStyle w:val="BodyTextIndent3"/>
        <w:numPr>
          <w:ilvl w:val="0"/>
          <w:numId w:val="13"/>
        </w:numPr>
        <w:spacing w:after="200" w:line="240" w:lineRule="auto"/>
        <w:ind w:left="851" w:hanging="142"/>
        <w:rPr>
          <w:rFonts w:cs="Arial"/>
        </w:rPr>
      </w:pPr>
      <w:r w:rsidRPr="00B92B1C">
        <w:rPr>
          <w:rFonts w:cs="Arial"/>
        </w:rPr>
        <w:t xml:space="preserve">promoting </w:t>
      </w:r>
      <w:r w:rsidR="00AB6A75" w:rsidRPr="00B92B1C">
        <w:rPr>
          <w:rFonts w:cs="Arial"/>
        </w:rPr>
        <w:t>the improvement of the environment in Greater London</w:t>
      </w:r>
    </w:p>
    <w:p w14:paraId="6C113330" w14:textId="6F16A1D0" w:rsidR="00AB6A75" w:rsidRPr="00AB6A75" w:rsidRDefault="00C166A0" w:rsidP="004D3AB2">
      <w:pPr>
        <w:pStyle w:val="BodyTextIndent3"/>
        <w:numPr>
          <w:ilvl w:val="1"/>
          <w:numId w:val="5"/>
        </w:numPr>
        <w:spacing w:after="200" w:line="240" w:lineRule="auto"/>
        <w:ind w:left="709" w:hanging="567"/>
        <w:rPr>
          <w:rFonts w:cs="Arial"/>
        </w:rPr>
      </w:pPr>
      <w:r>
        <w:rPr>
          <w:rFonts w:cs="Arial"/>
        </w:rPr>
        <w:t>I</w:t>
      </w:r>
      <w:r w:rsidR="00AB6A75" w:rsidRPr="00AB6A75">
        <w:rPr>
          <w:rFonts w:cs="Arial"/>
        </w:rPr>
        <w:t>n formulating the proposals in respect of which a decision is sought, officers confirm they have complied with the GLA’s related statutory duties to:</w:t>
      </w:r>
    </w:p>
    <w:p w14:paraId="6AE5AE13" w14:textId="524AA9AA" w:rsidR="00AB6A75" w:rsidRPr="00AB6A75" w:rsidRDefault="00AB6A75" w:rsidP="00FA068A">
      <w:pPr>
        <w:pStyle w:val="BodyTextIndent3"/>
        <w:numPr>
          <w:ilvl w:val="1"/>
          <w:numId w:val="4"/>
        </w:numPr>
        <w:spacing w:after="200" w:line="240" w:lineRule="auto"/>
        <w:ind w:left="993" w:hanging="284"/>
        <w:rPr>
          <w:rFonts w:cs="Arial"/>
        </w:rPr>
      </w:pPr>
      <w:r w:rsidRPr="00AB6A75">
        <w:rPr>
          <w:rFonts w:cs="Arial"/>
        </w:rPr>
        <w:t>pay due regard to the principle that there should be equality of opportunity for all people</w:t>
      </w:r>
    </w:p>
    <w:p w14:paraId="0853EFA3" w14:textId="155BB767" w:rsidR="00AB6A75" w:rsidRPr="00AB6A75" w:rsidRDefault="00AB6A75" w:rsidP="00FA068A">
      <w:pPr>
        <w:pStyle w:val="BodyTextIndent3"/>
        <w:numPr>
          <w:ilvl w:val="1"/>
          <w:numId w:val="4"/>
        </w:numPr>
        <w:spacing w:after="200" w:line="240" w:lineRule="auto"/>
        <w:ind w:left="993" w:hanging="284"/>
        <w:rPr>
          <w:rFonts w:cs="Arial"/>
        </w:rPr>
      </w:pPr>
      <w:r w:rsidRPr="00AB6A75">
        <w:rPr>
          <w:rFonts w:cs="Arial"/>
        </w:rPr>
        <w:t>consider how the proposals will promote the improvement of health of persons in Greater London, promote the reduction of health inequalities between persons living in Greater London, contribute towards the achievement of sustainable development in the United Kingdom and contribute towards the mitigation of or adaptation to climate change in the United Kingdom</w:t>
      </w:r>
    </w:p>
    <w:p w14:paraId="7D81626C" w14:textId="21E14BBA" w:rsidR="004A5154" w:rsidRPr="00E47469" w:rsidRDefault="00AB6A75" w:rsidP="00FA068A">
      <w:pPr>
        <w:pStyle w:val="BodyTextIndent3"/>
        <w:numPr>
          <w:ilvl w:val="1"/>
          <w:numId w:val="4"/>
        </w:numPr>
        <w:spacing w:after="200" w:line="240" w:lineRule="auto"/>
        <w:ind w:left="993" w:hanging="284"/>
        <w:rPr>
          <w:rFonts w:cs="Arial"/>
        </w:rPr>
      </w:pPr>
      <w:r w:rsidRPr="00AB6A75">
        <w:rPr>
          <w:rFonts w:cs="Arial"/>
        </w:rPr>
        <w:t>consult with appropriate bodies.</w:t>
      </w:r>
    </w:p>
    <w:p w14:paraId="68750C2E" w14:textId="24E1D3C1" w:rsidR="000479A9" w:rsidRDefault="00AB6A75" w:rsidP="004D3AB2">
      <w:pPr>
        <w:pStyle w:val="BodyTextIndent3"/>
        <w:numPr>
          <w:ilvl w:val="1"/>
          <w:numId w:val="5"/>
        </w:numPr>
        <w:spacing w:line="240" w:lineRule="auto"/>
        <w:ind w:left="709" w:hanging="567"/>
        <w:rPr>
          <w:rFonts w:cs="Arial"/>
          <w:szCs w:val="24"/>
        </w:rPr>
      </w:pPr>
      <w:r w:rsidRPr="00AB6A75">
        <w:rPr>
          <w:rFonts w:cs="Arial"/>
          <w:bCs/>
          <w:szCs w:val="24"/>
        </w:rPr>
        <w:t xml:space="preserve">The GLA can </w:t>
      </w:r>
      <w:r>
        <w:rPr>
          <w:rFonts w:cs="Arial"/>
          <w:bCs/>
          <w:szCs w:val="24"/>
        </w:rPr>
        <w:t xml:space="preserve">dispose of </w:t>
      </w:r>
      <w:r w:rsidRPr="00AB6A75">
        <w:rPr>
          <w:rFonts w:cs="Arial"/>
          <w:bCs/>
          <w:szCs w:val="24"/>
        </w:rPr>
        <w:t xml:space="preserve">interests in land, and so enter into the proposed </w:t>
      </w:r>
      <w:r>
        <w:rPr>
          <w:rFonts w:cs="Arial"/>
          <w:bCs/>
          <w:szCs w:val="24"/>
        </w:rPr>
        <w:t>transaction</w:t>
      </w:r>
      <w:r w:rsidRPr="00AB6A75">
        <w:rPr>
          <w:rFonts w:cs="Arial"/>
          <w:bCs/>
          <w:szCs w:val="24"/>
        </w:rPr>
        <w:t>, on the basis that doing so will further one or more of the principal purposes set out in (</w:t>
      </w:r>
      <w:proofErr w:type="spellStart"/>
      <w:r w:rsidRPr="00AB6A75">
        <w:rPr>
          <w:rFonts w:cs="Arial"/>
          <w:bCs/>
          <w:szCs w:val="24"/>
        </w:rPr>
        <w:t>i</w:t>
      </w:r>
      <w:proofErr w:type="spellEnd"/>
      <w:r w:rsidRPr="00AB6A75">
        <w:rPr>
          <w:rFonts w:cs="Arial"/>
          <w:bCs/>
          <w:szCs w:val="24"/>
        </w:rPr>
        <w:t>) to (ii) above.</w:t>
      </w:r>
      <w:r w:rsidR="00D749FA">
        <w:rPr>
          <w:rFonts w:cs="Arial"/>
          <w:bCs/>
          <w:szCs w:val="24"/>
        </w:rPr>
        <w:t xml:space="preserve"> </w:t>
      </w:r>
      <w:r w:rsidRPr="00AB6A75">
        <w:rPr>
          <w:rFonts w:cs="Arial"/>
          <w:bCs/>
          <w:szCs w:val="24"/>
        </w:rPr>
        <w:t xml:space="preserve">The GLA also has the power </w:t>
      </w:r>
      <w:r w:rsidRPr="004D3AB2">
        <w:rPr>
          <w:rFonts w:cs="Arial"/>
        </w:rPr>
        <w:t>to</w:t>
      </w:r>
      <w:r w:rsidRPr="00AB6A75">
        <w:rPr>
          <w:rFonts w:cs="Arial"/>
          <w:bCs/>
          <w:szCs w:val="24"/>
        </w:rPr>
        <w:t xml:space="preserve"> do anything that facilitates, is conducive of incidental to doing so. The contents of sections 1-3 of this Mayoral Decision </w:t>
      </w:r>
      <w:r w:rsidRPr="00AB6A75">
        <w:rPr>
          <w:rFonts w:cs="Arial"/>
          <w:szCs w:val="24"/>
        </w:rPr>
        <w:t>indicate that the decision sought of the Mayor falls within the GLA’s statutory powers.</w:t>
      </w:r>
    </w:p>
    <w:p w14:paraId="45EB0E1C" w14:textId="77777777" w:rsidR="004A5154" w:rsidRDefault="004A5154" w:rsidP="00B92B1C">
      <w:pPr>
        <w:pStyle w:val="BodyTextIndent3"/>
        <w:spacing w:line="240" w:lineRule="auto"/>
        <w:ind w:left="709" w:firstLine="0"/>
        <w:rPr>
          <w:rFonts w:cs="Arial"/>
          <w:szCs w:val="24"/>
        </w:rPr>
      </w:pPr>
    </w:p>
    <w:p w14:paraId="07D5278F" w14:textId="175B410A" w:rsidR="004A5154" w:rsidRPr="00866CB4" w:rsidRDefault="001B6B3F" w:rsidP="001B6B3F">
      <w:pPr>
        <w:rPr>
          <w:rFonts w:cs="Arial"/>
        </w:rPr>
      </w:pPr>
      <w:r>
        <w:rPr>
          <w:rFonts w:cs="Arial"/>
        </w:rPr>
        <w:br w:type="page"/>
      </w:r>
    </w:p>
    <w:p w14:paraId="6D61360C" w14:textId="2327DC8B" w:rsidR="00603715" w:rsidRDefault="00014CF4" w:rsidP="00FA068A">
      <w:pPr>
        <w:pStyle w:val="BodyTextIndent3"/>
        <w:numPr>
          <w:ilvl w:val="0"/>
          <w:numId w:val="2"/>
        </w:numPr>
        <w:tabs>
          <w:tab w:val="left" w:pos="709"/>
        </w:tabs>
        <w:spacing w:line="240" w:lineRule="auto"/>
        <w:ind w:left="709" w:hanging="567"/>
        <w:rPr>
          <w:rFonts w:cs="Arial"/>
          <w:b/>
          <w:bCs/>
        </w:rPr>
      </w:pPr>
      <w:r w:rsidRPr="00866CB4">
        <w:rPr>
          <w:rFonts w:cs="Arial"/>
          <w:b/>
          <w:bCs/>
        </w:rPr>
        <w:lastRenderedPageBreak/>
        <w:t>Planned delivery approach and next steps</w:t>
      </w:r>
    </w:p>
    <w:p w14:paraId="6B4E88A1" w14:textId="77777777" w:rsidR="004A5154" w:rsidRDefault="004A5154" w:rsidP="00B92B1C">
      <w:pPr>
        <w:pStyle w:val="BodyTextIndent3"/>
        <w:tabs>
          <w:tab w:val="left" w:pos="709"/>
        </w:tabs>
        <w:spacing w:line="240" w:lineRule="auto"/>
        <w:ind w:left="709" w:firstLine="0"/>
        <w:rPr>
          <w:rFonts w:cs="Arial"/>
          <w:b/>
          <w:bCs/>
        </w:rPr>
      </w:pPr>
    </w:p>
    <w:p w14:paraId="4563556F" w14:textId="2035DE7B" w:rsidR="00014CF4" w:rsidRPr="00FD3EE0" w:rsidRDefault="00FD3EE0" w:rsidP="00FA068A">
      <w:pPr>
        <w:pStyle w:val="BodyTextIndent3"/>
        <w:numPr>
          <w:ilvl w:val="1"/>
          <w:numId w:val="2"/>
        </w:numPr>
        <w:tabs>
          <w:tab w:val="left" w:pos="567"/>
        </w:tabs>
        <w:spacing w:after="200" w:line="240" w:lineRule="auto"/>
        <w:ind w:left="709" w:hanging="567"/>
        <w:rPr>
          <w:rFonts w:cs="Arial"/>
          <w:b/>
          <w:bCs/>
          <w:iCs/>
        </w:rPr>
      </w:pPr>
      <w:r w:rsidRPr="006B4391">
        <w:rPr>
          <w:rFonts w:cs="Arial"/>
          <w:iCs/>
        </w:rPr>
        <w:t>The planned delivery approach and next steps are outlined in the table below.</w:t>
      </w:r>
    </w:p>
    <w:p w14:paraId="7CD42273" w14:textId="77777777" w:rsidR="004A5154" w:rsidRPr="00603715" w:rsidRDefault="004A5154" w:rsidP="001303B7">
      <w:pPr>
        <w:pStyle w:val="BodyTextIndent3"/>
        <w:spacing w:line="240" w:lineRule="auto"/>
        <w:ind w:left="709" w:firstLine="0"/>
        <w:rPr>
          <w:rFonts w:cs="Arial"/>
          <w:b/>
          <w:bCs/>
        </w:rPr>
      </w:pPr>
    </w:p>
    <w:tbl>
      <w:tblPr>
        <w:tblW w:w="9781" w:type="dxa"/>
        <w:tblInd w:w="699" w:type="dxa"/>
        <w:tblCellMar>
          <w:left w:w="0" w:type="dxa"/>
          <w:right w:w="0" w:type="dxa"/>
        </w:tblCellMar>
        <w:tblLook w:val="04A0" w:firstRow="1" w:lastRow="0" w:firstColumn="1" w:lastColumn="0" w:noHBand="0" w:noVBand="1"/>
      </w:tblPr>
      <w:tblGrid>
        <w:gridCol w:w="7229"/>
        <w:gridCol w:w="2552"/>
      </w:tblGrid>
      <w:tr w:rsidR="00014CF4" w:rsidRPr="00866CB4" w14:paraId="3D44E120" w14:textId="77777777" w:rsidTr="00E47469">
        <w:tc>
          <w:tcPr>
            <w:tcW w:w="7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14C88" w14:textId="77777777" w:rsidR="00014CF4" w:rsidRPr="00866CB4" w:rsidRDefault="00014CF4" w:rsidP="001303B7">
            <w:pPr>
              <w:pStyle w:val="BodyTextIndent3"/>
              <w:spacing w:line="240" w:lineRule="auto"/>
              <w:rPr>
                <w:rFonts w:cs="Arial"/>
                <w:b/>
                <w:bCs/>
              </w:rPr>
            </w:pPr>
            <w:bookmarkStart w:id="7" w:name="_Hlk78194768"/>
            <w:r w:rsidRPr="00866CB4">
              <w:rPr>
                <w:rFonts w:cs="Arial"/>
                <w:b/>
                <w:bCs/>
              </w:rPr>
              <w:t>Activity</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71C2A5" w14:textId="77777777" w:rsidR="00014CF4" w:rsidRPr="00866CB4" w:rsidRDefault="00014CF4" w:rsidP="001303B7">
            <w:pPr>
              <w:pStyle w:val="BodyTextIndent3"/>
              <w:spacing w:line="240" w:lineRule="auto"/>
              <w:rPr>
                <w:rFonts w:cs="Arial"/>
                <w:b/>
                <w:bCs/>
              </w:rPr>
            </w:pPr>
            <w:r w:rsidRPr="00866CB4">
              <w:rPr>
                <w:rFonts w:cs="Arial"/>
                <w:b/>
                <w:bCs/>
              </w:rPr>
              <w:t>Timeline</w:t>
            </w:r>
          </w:p>
        </w:tc>
      </w:tr>
      <w:tr w:rsidR="00014CF4" w:rsidRPr="00866CB4" w14:paraId="097807A9" w14:textId="77777777" w:rsidTr="00E47469">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D5069" w14:textId="46A8B93A" w:rsidR="00014CF4" w:rsidRPr="00866CB4" w:rsidRDefault="00457FD6" w:rsidP="001303B7">
            <w:pPr>
              <w:pStyle w:val="BodyTextIndent3"/>
              <w:spacing w:line="240" w:lineRule="auto"/>
              <w:ind w:left="0" w:firstLine="0"/>
              <w:rPr>
                <w:rFonts w:cs="Arial"/>
              </w:rPr>
            </w:pPr>
            <w:r>
              <w:rPr>
                <w:rFonts w:cs="Arial"/>
              </w:rPr>
              <w:t>Finalisation of Heads for Terms for the sale of Plot 45</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0828011" w14:textId="3A7261AB" w:rsidR="00014CF4" w:rsidRPr="00866CB4" w:rsidRDefault="00BE1133" w:rsidP="001303B7">
            <w:pPr>
              <w:pStyle w:val="BodyTextIndent3"/>
              <w:spacing w:line="240" w:lineRule="auto"/>
              <w:rPr>
                <w:rFonts w:cs="Arial"/>
              </w:rPr>
            </w:pPr>
            <w:r>
              <w:rPr>
                <w:rFonts w:cs="Arial"/>
              </w:rPr>
              <w:t>December 202</w:t>
            </w:r>
            <w:r w:rsidR="006C0534">
              <w:rPr>
                <w:rFonts w:cs="Arial"/>
              </w:rPr>
              <w:t>1</w:t>
            </w:r>
          </w:p>
        </w:tc>
      </w:tr>
      <w:tr w:rsidR="00014CF4" w:rsidRPr="00866CB4" w14:paraId="12E4C3FE" w14:textId="77777777" w:rsidTr="00E47469">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C70A4" w14:textId="5FD2AC6E" w:rsidR="00014CF4" w:rsidRPr="00866CB4" w:rsidRDefault="00457FD6" w:rsidP="001303B7">
            <w:pPr>
              <w:pStyle w:val="BodyTextIndent3"/>
              <w:spacing w:line="240" w:lineRule="auto"/>
              <w:rPr>
                <w:rFonts w:cs="Arial"/>
              </w:rPr>
            </w:pPr>
            <w:r>
              <w:rPr>
                <w:rFonts w:cs="Arial"/>
              </w:rPr>
              <w:t xml:space="preserve">Preparation of property sale contract for Plot 45 </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45A2FB4" w14:textId="06855B6C" w:rsidR="00014CF4" w:rsidRPr="00866CB4" w:rsidRDefault="00BE1133" w:rsidP="001303B7">
            <w:pPr>
              <w:pStyle w:val="BodyTextIndent3"/>
              <w:spacing w:line="240" w:lineRule="auto"/>
              <w:rPr>
                <w:rFonts w:cs="Arial"/>
              </w:rPr>
            </w:pPr>
            <w:r>
              <w:rPr>
                <w:rFonts w:cs="Arial"/>
              </w:rPr>
              <w:t>Jan</w:t>
            </w:r>
            <w:r w:rsidR="00D749FA">
              <w:rPr>
                <w:rFonts w:cs="Arial"/>
              </w:rPr>
              <w:t>uary</w:t>
            </w:r>
            <w:r>
              <w:rPr>
                <w:rFonts w:cs="Arial"/>
              </w:rPr>
              <w:t xml:space="preserve"> </w:t>
            </w:r>
            <w:r w:rsidR="003C795E">
              <w:rPr>
                <w:rFonts w:cs="Arial"/>
              </w:rPr>
              <w:t xml:space="preserve">to March </w:t>
            </w:r>
            <w:r>
              <w:rPr>
                <w:rFonts w:cs="Arial"/>
              </w:rPr>
              <w:t>2022</w:t>
            </w:r>
          </w:p>
        </w:tc>
      </w:tr>
      <w:tr w:rsidR="00014CF4" w:rsidRPr="00866CB4" w14:paraId="67D96D6B" w14:textId="77777777" w:rsidTr="00E47469">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58A3C" w14:textId="550B6728" w:rsidR="00014CF4" w:rsidRPr="00866CB4" w:rsidRDefault="00457FD6" w:rsidP="001303B7">
            <w:pPr>
              <w:pStyle w:val="BodyTextIndent3"/>
              <w:spacing w:line="240" w:lineRule="auto"/>
              <w:rPr>
                <w:rFonts w:cs="Arial"/>
              </w:rPr>
            </w:pPr>
            <w:r>
              <w:rPr>
                <w:rFonts w:cs="Arial"/>
              </w:rPr>
              <w:t>Mayoral Decision authorising the disposa</w:t>
            </w:r>
            <w:r w:rsidR="003C795E">
              <w:rPr>
                <w:rFonts w:cs="Arial"/>
              </w:rPr>
              <w:t>l of Plot 45</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2CE4FD62" w14:textId="2F98B47C" w:rsidR="00014CF4" w:rsidRPr="00866CB4" w:rsidRDefault="003C795E" w:rsidP="001303B7">
            <w:pPr>
              <w:pStyle w:val="BodyTextIndent3"/>
              <w:spacing w:line="240" w:lineRule="auto"/>
              <w:rPr>
                <w:rFonts w:cs="Arial"/>
              </w:rPr>
            </w:pPr>
            <w:r>
              <w:rPr>
                <w:rFonts w:cs="Arial"/>
              </w:rPr>
              <w:t xml:space="preserve">March </w:t>
            </w:r>
            <w:r w:rsidR="00BE1133">
              <w:rPr>
                <w:rFonts w:cs="Arial"/>
              </w:rPr>
              <w:t>2022</w:t>
            </w:r>
          </w:p>
        </w:tc>
      </w:tr>
      <w:tr w:rsidR="00014CF4" w:rsidRPr="00866CB4" w14:paraId="00FEC23A" w14:textId="77777777" w:rsidTr="00E47469">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79364" w14:textId="4510FC93" w:rsidR="00014CF4" w:rsidRPr="00866CB4" w:rsidRDefault="00457FD6" w:rsidP="001303B7">
            <w:pPr>
              <w:pStyle w:val="BodyTextIndent3"/>
              <w:spacing w:line="240" w:lineRule="auto"/>
              <w:ind w:left="0" w:firstLine="0"/>
              <w:rPr>
                <w:rFonts w:cs="Arial"/>
              </w:rPr>
            </w:pPr>
            <w:r>
              <w:rPr>
                <w:rFonts w:cs="Arial"/>
              </w:rPr>
              <w:t xml:space="preserve">Completion of </w:t>
            </w:r>
            <w:r w:rsidR="00773431">
              <w:rPr>
                <w:rFonts w:cs="Arial"/>
              </w:rPr>
              <w:t>sale</w:t>
            </w:r>
            <w:r w:rsidR="00BE69F1">
              <w:rPr>
                <w:rFonts w:cs="Arial"/>
              </w:rPr>
              <w:t xml:space="preserve"> </w:t>
            </w:r>
            <w:r w:rsidR="00D749FA">
              <w:rPr>
                <w:rFonts w:cs="Arial"/>
              </w:rPr>
              <w:t>and</w:t>
            </w:r>
            <w:r w:rsidR="00BE69F1">
              <w:rPr>
                <w:rFonts w:cs="Arial"/>
              </w:rPr>
              <w:t xml:space="preserve"> site handover by GLAP of</w:t>
            </w:r>
            <w:r w:rsidR="0016156D">
              <w:rPr>
                <w:rFonts w:cs="Arial"/>
              </w:rPr>
              <w:t xml:space="preserve"> both plots</w:t>
            </w:r>
            <w:r w:rsidR="003C795E">
              <w:rPr>
                <w:rFonts w:cs="Arial"/>
              </w:rPr>
              <w:t xml:space="preserve"> – </w:t>
            </w:r>
            <w:r w:rsidR="00560702">
              <w:rPr>
                <w:rFonts w:cs="Arial"/>
              </w:rPr>
              <w:t xml:space="preserve">earliest </w:t>
            </w:r>
            <w:r w:rsidR="003C795E">
              <w:rPr>
                <w:rFonts w:cs="Arial"/>
              </w:rPr>
              <w:t>date</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23EE1DED" w14:textId="58D41F1B" w:rsidR="00014CF4" w:rsidRPr="00866CB4" w:rsidRDefault="003C795E" w:rsidP="001303B7">
            <w:pPr>
              <w:pStyle w:val="BodyTextIndent3"/>
              <w:spacing w:line="240" w:lineRule="auto"/>
              <w:rPr>
                <w:rFonts w:cs="Arial"/>
              </w:rPr>
            </w:pPr>
            <w:r>
              <w:rPr>
                <w:rFonts w:cs="Arial"/>
              </w:rPr>
              <w:t>31 Ma</w:t>
            </w:r>
            <w:r w:rsidR="005F0C05">
              <w:rPr>
                <w:rFonts w:cs="Arial"/>
              </w:rPr>
              <w:t xml:space="preserve">y </w:t>
            </w:r>
            <w:r w:rsidR="00BE1133">
              <w:rPr>
                <w:rFonts w:cs="Arial"/>
              </w:rPr>
              <w:t>2022</w:t>
            </w:r>
          </w:p>
        </w:tc>
      </w:tr>
      <w:bookmarkEnd w:id="7"/>
    </w:tbl>
    <w:p w14:paraId="38C060E3" w14:textId="78F8FDBF" w:rsidR="004360DB" w:rsidRDefault="004360DB" w:rsidP="00D749FA">
      <w:pPr>
        <w:pStyle w:val="Header"/>
        <w:tabs>
          <w:tab w:val="clear" w:pos="4320"/>
          <w:tab w:val="clear" w:pos="8640"/>
        </w:tabs>
        <w:ind w:left="0" w:firstLine="0"/>
        <w:rPr>
          <w:rFonts w:ascii="Foundry Form Sans" w:hAnsi="Foundry Form Sans" w:cs="Arial"/>
          <w:b/>
          <w:szCs w:val="24"/>
        </w:rPr>
      </w:pPr>
    </w:p>
    <w:p w14:paraId="032B75F0" w14:textId="77777777" w:rsidR="00FA068A" w:rsidRDefault="00FA068A" w:rsidP="00D749FA">
      <w:pPr>
        <w:pStyle w:val="Header"/>
        <w:tabs>
          <w:tab w:val="clear" w:pos="4320"/>
          <w:tab w:val="clear" w:pos="8640"/>
        </w:tabs>
        <w:ind w:left="0" w:firstLine="0"/>
        <w:rPr>
          <w:rFonts w:ascii="Foundry Form Sans" w:hAnsi="Foundry Form Sans" w:cs="Arial"/>
          <w:b/>
          <w:szCs w:val="24"/>
        </w:rPr>
      </w:pPr>
    </w:p>
    <w:p w14:paraId="4751C665" w14:textId="7E6EEDA2" w:rsidR="000479A9" w:rsidRDefault="000479A9" w:rsidP="00FA068A">
      <w:pPr>
        <w:pStyle w:val="Header"/>
        <w:tabs>
          <w:tab w:val="clear" w:pos="4320"/>
          <w:tab w:val="clear" w:pos="8640"/>
        </w:tabs>
        <w:spacing w:after="200"/>
        <w:ind w:left="0" w:firstLine="0"/>
        <w:rPr>
          <w:rFonts w:ascii="Foundry Form Sans" w:hAnsi="Foundry Form Sans" w:cs="Arial"/>
          <w:b/>
          <w:szCs w:val="24"/>
        </w:rPr>
      </w:pPr>
      <w:r w:rsidRPr="00866CB4">
        <w:rPr>
          <w:rFonts w:ascii="Foundry Form Sans" w:hAnsi="Foundry Form Sans" w:cs="Arial"/>
          <w:b/>
          <w:szCs w:val="24"/>
        </w:rPr>
        <w:t>Appendices and supporting papers:</w:t>
      </w:r>
    </w:p>
    <w:p w14:paraId="268522AE" w14:textId="6E6C8DCE" w:rsidR="00B92B1C" w:rsidRDefault="004D3AB2" w:rsidP="004D3AB2">
      <w:pPr>
        <w:pStyle w:val="BodyTextIndent3"/>
        <w:spacing w:line="240" w:lineRule="auto"/>
        <w:rPr>
          <w:rFonts w:cs="Arial"/>
        </w:rPr>
      </w:pPr>
      <w:r>
        <w:rPr>
          <w:rFonts w:cs="Arial"/>
        </w:rPr>
        <w:t xml:space="preserve">Appendix 1 - </w:t>
      </w:r>
      <w:r w:rsidR="003C795E">
        <w:rPr>
          <w:rFonts w:cs="Arial"/>
        </w:rPr>
        <w:t xml:space="preserve">Site Plan of </w:t>
      </w:r>
      <w:proofErr w:type="spellStart"/>
      <w:r w:rsidR="003C795E">
        <w:rPr>
          <w:rFonts w:cs="Arial"/>
        </w:rPr>
        <w:t>EastPlus</w:t>
      </w:r>
      <w:proofErr w:type="spellEnd"/>
      <w:r w:rsidR="003C795E">
        <w:rPr>
          <w:rFonts w:cs="Arial"/>
        </w:rPr>
        <w:t xml:space="preserve"> Plot 45, Ferry Lane, Rainham (not to scale).</w:t>
      </w:r>
    </w:p>
    <w:p w14:paraId="2734FA0B" w14:textId="216D2C93" w:rsidR="006A4026" w:rsidRPr="00B92B1C" w:rsidRDefault="00B92B1C" w:rsidP="00B92B1C">
      <w:pPr>
        <w:rPr>
          <w:rFonts w:cs="Arial"/>
          <w:szCs w:val="20"/>
        </w:rPr>
      </w:pPr>
      <w:r>
        <w:rPr>
          <w:rFonts w:cs="Arial"/>
        </w:rPr>
        <w:br w:type="page"/>
      </w:r>
    </w:p>
    <w:tbl>
      <w:tblPr>
        <w:tblW w:w="10348" w:type="dxa"/>
        <w:tblInd w:w="10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348"/>
      </w:tblGrid>
      <w:tr w:rsidR="005C7B8C" w:rsidRPr="00866CB4" w14:paraId="7DEEB905" w14:textId="77777777" w:rsidTr="0095176F">
        <w:tc>
          <w:tcPr>
            <w:tcW w:w="10348" w:type="dxa"/>
            <w:tcBorders>
              <w:top w:val="single" w:sz="4" w:space="0" w:color="auto"/>
              <w:left w:val="single" w:sz="4" w:space="0" w:color="auto"/>
              <w:bottom w:val="nil"/>
              <w:right w:val="single" w:sz="4" w:space="0" w:color="auto"/>
            </w:tcBorders>
            <w:shd w:val="clear" w:color="auto" w:fill="F2F2F2"/>
            <w:hideMark/>
          </w:tcPr>
          <w:p w14:paraId="36693A4F" w14:textId="77777777" w:rsidR="005C7B8C" w:rsidRPr="00866CB4" w:rsidRDefault="005C7B8C" w:rsidP="00E47469">
            <w:pPr>
              <w:spacing w:before="120" w:after="60"/>
              <w:rPr>
                <w:rFonts w:cs="Arial"/>
                <w:b/>
              </w:rPr>
            </w:pPr>
            <w:r w:rsidRPr="00866CB4">
              <w:rPr>
                <w:rFonts w:cs="Arial"/>
                <w:b/>
              </w:rPr>
              <w:lastRenderedPageBreak/>
              <w:t>Public access to information</w:t>
            </w:r>
          </w:p>
        </w:tc>
      </w:tr>
      <w:tr w:rsidR="005C7B8C" w:rsidRPr="00866CB4" w14:paraId="00B7EE6B" w14:textId="77777777" w:rsidTr="0095176F">
        <w:tc>
          <w:tcPr>
            <w:tcW w:w="10348" w:type="dxa"/>
            <w:tcBorders>
              <w:top w:val="nil"/>
              <w:left w:val="single" w:sz="4" w:space="0" w:color="auto"/>
              <w:bottom w:val="single" w:sz="4" w:space="0" w:color="auto"/>
              <w:right w:val="single" w:sz="4" w:space="0" w:color="auto"/>
            </w:tcBorders>
            <w:shd w:val="clear" w:color="auto" w:fill="F2F2F2"/>
          </w:tcPr>
          <w:p w14:paraId="4A3CEA3B" w14:textId="413027CD" w:rsidR="005C7B8C" w:rsidRPr="00866CB4" w:rsidRDefault="005C7B8C" w:rsidP="00E47469">
            <w:pPr>
              <w:spacing w:after="60"/>
              <w:rPr>
                <w:rFonts w:cs="Arial"/>
              </w:rPr>
            </w:pPr>
            <w:r w:rsidRPr="00866CB4">
              <w:rPr>
                <w:rFonts w:cs="Arial"/>
              </w:rPr>
              <w:t>Information in this form (Part 1) is subject to the Freedom of Information Act 2000 (</w:t>
            </w:r>
            <w:proofErr w:type="spellStart"/>
            <w:r w:rsidR="004360DB" w:rsidRPr="00866CB4">
              <w:rPr>
                <w:rFonts w:cs="Arial"/>
              </w:rPr>
              <w:t>F</w:t>
            </w:r>
            <w:r w:rsidR="004360DB">
              <w:rPr>
                <w:rFonts w:cs="Arial"/>
              </w:rPr>
              <w:t>o</w:t>
            </w:r>
            <w:r w:rsidR="004360DB" w:rsidRPr="00866CB4">
              <w:rPr>
                <w:rFonts w:cs="Arial"/>
              </w:rPr>
              <w:t>I</w:t>
            </w:r>
            <w:r w:rsidR="004360DB">
              <w:rPr>
                <w:rFonts w:cs="Arial"/>
              </w:rPr>
              <w:t>A</w:t>
            </w:r>
            <w:proofErr w:type="spellEnd"/>
            <w:r w:rsidRPr="00866CB4">
              <w:rPr>
                <w:rFonts w:cs="Arial"/>
              </w:rPr>
              <w:t>) and will be made available on the GLA website within one working day of approval.</w:t>
            </w:r>
            <w:r w:rsidR="00D749FA">
              <w:rPr>
                <w:rFonts w:cs="Arial"/>
              </w:rPr>
              <w:t xml:space="preserve"> </w:t>
            </w:r>
          </w:p>
          <w:p w14:paraId="1DF2A530" w14:textId="40253E20" w:rsidR="005C7B8C" w:rsidRPr="00866CB4" w:rsidRDefault="005C7B8C" w:rsidP="00E47469">
            <w:pPr>
              <w:spacing w:before="120" w:after="60"/>
              <w:rPr>
                <w:rFonts w:cs="Arial"/>
              </w:rPr>
            </w:pPr>
            <w:r w:rsidRPr="00866CB4">
              <w:rPr>
                <w:rFonts w:cs="Arial"/>
              </w:rPr>
              <w:t>If immediate publication risks compromising the implementation of the decision (for example, to complete a procurement process), it can be deferred until a specific date.</w:t>
            </w:r>
            <w:r w:rsidR="00D749FA">
              <w:rPr>
                <w:rFonts w:cs="Arial"/>
              </w:rPr>
              <w:t xml:space="preserve"> </w:t>
            </w:r>
            <w:r w:rsidRPr="00866CB4">
              <w:rPr>
                <w:rFonts w:cs="Arial"/>
              </w:rPr>
              <w:t>Deferral periods should be kept to the shortest length strictly necessary.</w:t>
            </w:r>
            <w:r w:rsidR="00D749FA">
              <w:rPr>
                <w:rFonts w:cs="Arial"/>
              </w:rPr>
              <w:t xml:space="preserve"> </w:t>
            </w:r>
            <w:r w:rsidRPr="00866CB4">
              <w:rPr>
                <w:rFonts w:cs="Arial"/>
                <w:b/>
              </w:rPr>
              <w:t>Note</w:t>
            </w:r>
            <w:r w:rsidRPr="00866CB4">
              <w:rPr>
                <w:rFonts w:cs="Arial"/>
              </w:rPr>
              <w:t xml:space="preserve">: This form (Part 1) will either be published within one working day after </w:t>
            </w:r>
            <w:r w:rsidR="004360DB">
              <w:rPr>
                <w:rFonts w:cs="Arial"/>
              </w:rPr>
              <w:t xml:space="preserve">it has been </w:t>
            </w:r>
            <w:r w:rsidR="00186D88">
              <w:rPr>
                <w:rFonts w:cs="Arial"/>
              </w:rPr>
              <w:t>approved</w:t>
            </w:r>
            <w:r w:rsidRPr="00866CB4">
              <w:rPr>
                <w:rFonts w:cs="Arial"/>
              </w:rPr>
              <w:t xml:space="preserve"> </w:t>
            </w:r>
            <w:r w:rsidRPr="00866CB4">
              <w:rPr>
                <w:rFonts w:cs="Arial"/>
                <w:u w:val="single"/>
              </w:rPr>
              <w:t>or</w:t>
            </w:r>
            <w:r w:rsidRPr="00866CB4">
              <w:rPr>
                <w:rFonts w:cs="Arial"/>
              </w:rPr>
              <w:t xml:space="preserve"> on the defer date.</w:t>
            </w:r>
          </w:p>
        </w:tc>
      </w:tr>
      <w:tr w:rsidR="005C7B8C" w:rsidRPr="00866CB4" w14:paraId="773BB6F9" w14:textId="77777777" w:rsidTr="0095176F">
        <w:tc>
          <w:tcPr>
            <w:tcW w:w="10348" w:type="dxa"/>
            <w:tcBorders>
              <w:top w:val="single" w:sz="4" w:space="0" w:color="auto"/>
              <w:left w:val="single" w:sz="4" w:space="0" w:color="auto"/>
              <w:bottom w:val="nil"/>
              <w:right w:val="single" w:sz="4" w:space="0" w:color="auto"/>
            </w:tcBorders>
            <w:shd w:val="clear" w:color="auto" w:fill="F2F2F2"/>
          </w:tcPr>
          <w:p w14:paraId="2B423964" w14:textId="6FCD2E4F" w:rsidR="005C7B8C" w:rsidRDefault="005C7B8C" w:rsidP="00E47469">
            <w:pPr>
              <w:spacing w:before="120" w:after="60"/>
              <w:rPr>
                <w:rFonts w:cs="Arial"/>
              </w:rPr>
            </w:pPr>
            <w:r w:rsidRPr="00866CB4">
              <w:rPr>
                <w:rFonts w:cs="Arial"/>
                <w:b/>
              </w:rPr>
              <w:t xml:space="preserve">Part 1 </w:t>
            </w:r>
            <w:r w:rsidR="00D749FA">
              <w:rPr>
                <w:rFonts w:cs="Arial"/>
                <w:b/>
              </w:rPr>
              <w:t>–</w:t>
            </w:r>
            <w:r w:rsidR="00FF25B1">
              <w:rPr>
                <w:rFonts w:cs="Arial"/>
                <w:b/>
              </w:rPr>
              <w:t xml:space="preserve"> </w:t>
            </w:r>
            <w:r w:rsidRPr="00866CB4">
              <w:rPr>
                <w:rFonts w:cs="Arial"/>
                <w:b/>
              </w:rPr>
              <w:t>Deferral</w:t>
            </w:r>
          </w:p>
          <w:p w14:paraId="26A085DA" w14:textId="1DBDE3C8" w:rsidR="004360DB" w:rsidRPr="00866CB4" w:rsidRDefault="004360DB" w:rsidP="00E47469">
            <w:pPr>
              <w:spacing w:before="120" w:after="60"/>
              <w:rPr>
                <w:rFonts w:cs="Arial"/>
              </w:rPr>
            </w:pPr>
            <w:r w:rsidRPr="00866CB4">
              <w:rPr>
                <w:rFonts w:cs="Arial"/>
                <w:b/>
              </w:rPr>
              <w:t>Is the publication of Part 1 of this approval to be deferred? YES</w:t>
            </w:r>
          </w:p>
        </w:tc>
      </w:tr>
      <w:tr w:rsidR="005C7B8C" w:rsidRPr="00866CB4" w14:paraId="27EC05AB" w14:textId="77777777" w:rsidTr="0095176F">
        <w:tc>
          <w:tcPr>
            <w:tcW w:w="10348" w:type="dxa"/>
            <w:tcBorders>
              <w:top w:val="nil"/>
              <w:left w:val="single" w:sz="4" w:space="0" w:color="auto"/>
              <w:bottom w:val="nil"/>
              <w:right w:val="single" w:sz="4" w:space="0" w:color="auto"/>
            </w:tcBorders>
            <w:shd w:val="clear" w:color="auto" w:fill="F2F2F2"/>
          </w:tcPr>
          <w:p w14:paraId="7188CB4C" w14:textId="3C6374D5" w:rsidR="00FF25B1" w:rsidRPr="00866CB4" w:rsidRDefault="002E0469" w:rsidP="00E47469">
            <w:pPr>
              <w:spacing w:before="120" w:after="60"/>
              <w:rPr>
                <w:rFonts w:cs="Arial"/>
              </w:rPr>
            </w:pPr>
            <w:r>
              <w:rPr>
                <w:rFonts w:cs="Arial"/>
              </w:rPr>
              <w:t xml:space="preserve">The publication is to be deferred for </w:t>
            </w:r>
            <w:r w:rsidR="000E65C2">
              <w:rPr>
                <w:rFonts w:cs="Arial"/>
              </w:rPr>
              <w:t xml:space="preserve">two </w:t>
            </w:r>
            <w:r>
              <w:rPr>
                <w:rFonts w:cs="Arial"/>
              </w:rPr>
              <w:t xml:space="preserve">months from the date of the decision whilst the detailed terms and conditions of the transfer of </w:t>
            </w:r>
            <w:proofErr w:type="spellStart"/>
            <w:r>
              <w:rPr>
                <w:rFonts w:cs="Arial"/>
              </w:rPr>
              <w:t>EastPlus</w:t>
            </w:r>
            <w:proofErr w:type="spellEnd"/>
            <w:r>
              <w:rPr>
                <w:rFonts w:cs="Arial"/>
              </w:rPr>
              <w:t xml:space="preserve"> Plot 45 and the land off </w:t>
            </w:r>
            <w:proofErr w:type="spellStart"/>
            <w:r>
              <w:rPr>
                <w:rFonts w:cs="Arial"/>
              </w:rPr>
              <w:t>Hindmans</w:t>
            </w:r>
            <w:proofErr w:type="spellEnd"/>
            <w:r>
              <w:rPr>
                <w:rFonts w:cs="Arial"/>
              </w:rPr>
              <w:t xml:space="preserve"> Way, Dagenham</w:t>
            </w:r>
            <w:r w:rsidR="008D6424">
              <w:rPr>
                <w:rFonts w:cs="Arial"/>
              </w:rPr>
              <w:t xml:space="preserve"> are concluded; immediate publication risks compromising the implementation of the decision.</w:t>
            </w:r>
          </w:p>
        </w:tc>
      </w:tr>
      <w:tr w:rsidR="005C7B8C" w:rsidRPr="00866CB4" w14:paraId="3CC6622E" w14:textId="77777777" w:rsidTr="0095176F">
        <w:trPr>
          <w:trHeight w:val="1130"/>
        </w:trPr>
        <w:tc>
          <w:tcPr>
            <w:tcW w:w="10348" w:type="dxa"/>
            <w:tcBorders>
              <w:top w:val="single" w:sz="4" w:space="0" w:color="auto"/>
              <w:left w:val="single" w:sz="4" w:space="0" w:color="auto"/>
              <w:bottom w:val="single" w:sz="4" w:space="0" w:color="auto"/>
              <w:right w:val="single" w:sz="4" w:space="0" w:color="auto"/>
            </w:tcBorders>
            <w:shd w:val="clear" w:color="auto" w:fill="F2F2F2"/>
          </w:tcPr>
          <w:p w14:paraId="64035E91" w14:textId="77777777" w:rsidR="00FF25B1" w:rsidRDefault="005C7B8C" w:rsidP="00E47469">
            <w:pPr>
              <w:spacing w:before="120" w:after="60"/>
              <w:rPr>
                <w:lang w:eastAsia="en-GB"/>
              </w:rPr>
            </w:pPr>
            <w:r w:rsidRPr="00866CB4">
              <w:rPr>
                <w:rFonts w:cs="Arial"/>
                <w:b/>
              </w:rPr>
              <w:t xml:space="preserve">Part 2 </w:t>
            </w:r>
            <w:r w:rsidR="00FF25B1">
              <w:rPr>
                <w:rFonts w:cs="Arial"/>
                <w:b/>
              </w:rPr>
              <w:t>– Sensitive information</w:t>
            </w:r>
            <w:r w:rsidRPr="00866CB4">
              <w:rPr>
                <w:lang w:eastAsia="en-GB"/>
              </w:rPr>
              <w:t xml:space="preserve"> </w:t>
            </w:r>
          </w:p>
          <w:p w14:paraId="704FC873" w14:textId="68A39025" w:rsidR="005C7B8C" w:rsidRPr="00866CB4" w:rsidRDefault="005C7B8C" w:rsidP="00E47469">
            <w:pPr>
              <w:spacing w:before="120" w:after="60"/>
              <w:rPr>
                <w:rFonts w:cs="Arial"/>
              </w:rPr>
            </w:pPr>
            <w:r w:rsidRPr="00866CB4">
              <w:rPr>
                <w:rFonts w:cs="Arial"/>
              </w:rPr>
              <w:t xml:space="preserve">Only the facts or advice </w:t>
            </w:r>
            <w:r w:rsidR="00FF25B1">
              <w:rPr>
                <w:rFonts w:cs="Arial"/>
              </w:rPr>
              <w:t xml:space="preserve">that would be </w:t>
            </w:r>
            <w:r w:rsidRPr="00866CB4">
              <w:rPr>
                <w:rFonts w:cs="Arial"/>
              </w:rPr>
              <w:t xml:space="preserve">exempt from disclosure under </w:t>
            </w:r>
            <w:r w:rsidR="00D749FA">
              <w:rPr>
                <w:rFonts w:cs="Arial"/>
              </w:rPr>
              <w:t xml:space="preserve">the </w:t>
            </w:r>
            <w:proofErr w:type="spellStart"/>
            <w:r w:rsidR="00FF25B1">
              <w:rPr>
                <w:rFonts w:cs="Arial"/>
              </w:rPr>
              <w:t>FoIA</w:t>
            </w:r>
            <w:proofErr w:type="spellEnd"/>
            <w:r w:rsidRPr="00866CB4">
              <w:rPr>
                <w:rFonts w:cs="Arial"/>
              </w:rPr>
              <w:t xml:space="preserve"> should be </w:t>
            </w:r>
            <w:r w:rsidR="00FF25B1">
              <w:rPr>
                <w:rFonts w:cs="Arial"/>
              </w:rPr>
              <w:t xml:space="preserve">included </w:t>
            </w:r>
            <w:r w:rsidRPr="00866CB4">
              <w:rPr>
                <w:rFonts w:cs="Arial"/>
              </w:rPr>
              <w:t>in the separate Part 2 form, together with the legal rationale for non-publication.</w:t>
            </w:r>
          </w:p>
          <w:p w14:paraId="3FC9D392" w14:textId="0EB50BAA" w:rsidR="005C7B8C" w:rsidRPr="00866CB4" w:rsidRDefault="005C7B8C" w:rsidP="00E47469">
            <w:pPr>
              <w:spacing w:before="120" w:after="60"/>
              <w:rPr>
                <w:rFonts w:cs="Arial"/>
                <w:b/>
                <w:u w:val="single"/>
              </w:rPr>
            </w:pPr>
            <w:r w:rsidRPr="00866CB4">
              <w:rPr>
                <w:rFonts w:cs="Arial"/>
                <w:b/>
              </w:rPr>
              <w:t>Is there a part 2 form – YE</w:t>
            </w:r>
            <w:r w:rsidR="008D6424">
              <w:rPr>
                <w:rFonts w:cs="Arial"/>
                <w:b/>
              </w:rPr>
              <w:t>S</w:t>
            </w:r>
          </w:p>
        </w:tc>
      </w:tr>
    </w:tbl>
    <w:p w14:paraId="21B145E5" w14:textId="77777777" w:rsidR="005C7B8C" w:rsidRPr="00060D48" w:rsidRDefault="005C7B8C" w:rsidP="00D749FA">
      <w:pPr>
        <w:outlineLvl w:val="0"/>
        <w:rPr>
          <w:rFonts w:cs="Arial"/>
          <w:b/>
          <w:bCs/>
          <w:sz w:val="12"/>
          <w:szCs w:val="12"/>
        </w:rPr>
      </w:pPr>
    </w:p>
    <w:tbl>
      <w:tblPr>
        <w:tblW w:w="1032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22"/>
        <w:gridCol w:w="2098"/>
      </w:tblGrid>
      <w:tr w:rsidR="006A4026" w:rsidRPr="00866CB4" w14:paraId="6ECF1BDD" w14:textId="77777777" w:rsidTr="003945EF">
        <w:trPr>
          <w:trHeight w:val="409"/>
        </w:trPr>
        <w:tc>
          <w:tcPr>
            <w:tcW w:w="8222" w:type="dxa"/>
          </w:tcPr>
          <w:p w14:paraId="28D32B19" w14:textId="77777777" w:rsidR="006A4026" w:rsidRPr="00866CB4" w:rsidRDefault="003945EF" w:rsidP="00B92B1C">
            <w:pPr>
              <w:pStyle w:val="Header"/>
              <w:tabs>
                <w:tab w:val="clear" w:pos="4320"/>
                <w:tab w:val="clear" w:pos="8640"/>
              </w:tabs>
              <w:ind w:left="0" w:firstLine="0"/>
              <w:rPr>
                <w:rFonts w:ascii="Foundry Form Sans" w:hAnsi="Foundry Form Sans" w:cs="Arial"/>
                <w:b/>
                <w:szCs w:val="24"/>
              </w:rPr>
            </w:pPr>
            <w:r w:rsidRPr="00866CB4">
              <w:rPr>
                <w:rFonts w:ascii="Foundry Form Sans" w:hAnsi="Foundry Form Sans" w:cs="Arial"/>
                <w:b/>
                <w:bCs/>
              </w:rPr>
              <w:t>ORIGINATING OFFICER DECLARATION:</w:t>
            </w:r>
          </w:p>
        </w:tc>
        <w:tc>
          <w:tcPr>
            <w:tcW w:w="2098" w:type="dxa"/>
          </w:tcPr>
          <w:p w14:paraId="48292DCE" w14:textId="77777777" w:rsidR="006A4026" w:rsidRPr="00866CB4" w:rsidRDefault="00AE7616" w:rsidP="00B92B1C">
            <w:pPr>
              <w:pStyle w:val="Header"/>
              <w:tabs>
                <w:tab w:val="clear" w:pos="4320"/>
                <w:tab w:val="clear" w:pos="8640"/>
              </w:tabs>
              <w:ind w:left="0" w:firstLine="0"/>
              <w:rPr>
                <w:rFonts w:ascii="Foundry Form Sans" w:hAnsi="Foundry Form Sans" w:cs="Arial"/>
                <w:szCs w:val="24"/>
              </w:rPr>
            </w:pPr>
            <w:r w:rsidRPr="00866CB4">
              <w:rPr>
                <w:rFonts w:ascii="Foundry Form Sans" w:hAnsi="Foundry Form Sans" w:cs="Arial"/>
                <w:szCs w:val="24"/>
              </w:rPr>
              <w:t>Drafting officer to confirm the following</w:t>
            </w:r>
            <w:r w:rsidR="006A4026" w:rsidRPr="00866CB4">
              <w:rPr>
                <w:rFonts w:ascii="Foundry Form Sans" w:hAnsi="Foundry Form Sans" w:cs="Arial"/>
                <w:szCs w:val="24"/>
              </w:rPr>
              <w:t xml:space="preserve"> (</w:t>
            </w:r>
            <w:r w:rsidR="006A4026" w:rsidRPr="00866CB4">
              <w:rPr>
                <w:rFonts w:ascii="Foundry Form Sans" w:hAnsi="Foundry Form Sans" w:cs="Arial"/>
                <w:szCs w:val="24"/>
              </w:rPr>
              <w:sym w:font="Wingdings" w:char="F0FC"/>
            </w:r>
            <w:r w:rsidR="006A4026" w:rsidRPr="00866CB4">
              <w:rPr>
                <w:rFonts w:ascii="Foundry Form Sans" w:hAnsi="Foundry Form Sans" w:cs="Arial"/>
                <w:szCs w:val="24"/>
              </w:rPr>
              <w:t>)</w:t>
            </w:r>
          </w:p>
        </w:tc>
      </w:tr>
      <w:tr w:rsidR="00360F25" w:rsidRPr="00866CB4" w14:paraId="718C89D8" w14:textId="77777777" w:rsidTr="005C7B8C">
        <w:trPr>
          <w:trHeight w:val="867"/>
        </w:trPr>
        <w:tc>
          <w:tcPr>
            <w:tcW w:w="8222" w:type="dxa"/>
          </w:tcPr>
          <w:p w14:paraId="1A6CD9EF" w14:textId="77777777" w:rsidR="00360F25" w:rsidRPr="00866CB4" w:rsidRDefault="00360F25" w:rsidP="00B92B1C">
            <w:pPr>
              <w:pStyle w:val="Header"/>
              <w:tabs>
                <w:tab w:val="clear" w:pos="4320"/>
                <w:tab w:val="clear" w:pos="8640"/>
              </w:tabs>
              <w:ind w:left="0" w:firstLine="0"/>
              <w:rPr>
                <w:rFonts w:ascii="Foundry Form Sans" w:hAnsi="Foundry Form Sans" w:cs="Arial"/>
                <w:b/>
                <w:szCs w:val="24"/>
              </w:rPr>
            </w:pPr>
            <w:r w:rsidRPr="00866CB4">
              <w:rPr>
                <w:rFonts w:ascii="Foundry Form Sans" w:hAnsi="Foundry Form Sans" w:cs="Arial"/>
                <w:b/>
                <w:szCs w:val="24"/>
              </w:rPr>
              <w:t>Drafting officer:</w:t>
            </w:r>
          </w:p>
          <w:p w14:paraId="5CF167FC" w14:textId="19C8CA4E" w:rsidR="0021671D" w:rsidRPr="00866CB4" w:rsidRDefault="00BE69F1" w:rsidP="00B92B1C">
            <w:pPr>
              <w:pStyle w:val="Header"/>
              <w:tabs>
                <w:tab w:val="clear" w:pos="4320"/>
                <w:tab w:val="clear" w:pos="8640"/>
              </w:tabs>
              <w:ind w:left="0" w:firstLine="0"/>
              <w:rPr>
                <w:rFonts w:ascii="Foundry Form Sans" w:hAnsi="Foundry Form Sans" w:cs="Arial"/>
                <w:szCs w:val="24"/>
              </w:rPr>
            </w:pPr>
            <w:r w:rsidRPr="00060D48">
              <w:rPr>
                <w:rFonts w:ascii="Foundry Form Sans" w:hAnsi="Foundry Form Sans" w:cs="Arial"/>
                <w:szCs w:val="24"/>
                <w:u w:val="single"/>
              </w:rPr>
              <w:t>Christopher Broster</w:t>
            </w:r>
            <w:r w:rsidR="00360F25" w:rsidRPr="00060D48">
              <w:rPr>
                <w:rFonts w:ascii="Foundry Form Sans" w:hAnsi="Foundry Form Sans" w:cs="Arial"/>
                <w:i/>
                <w:iCs/>
                <w:szCs w:val="24"/>
              </w:rPr>
              <w:t xml:space="preserve"> </w:t>
            </w:r>
            <w:r w:rsidR="00360F25" w:rsidRPr="00866CB4">
              <w:rPr>
                <w:rFonts w:ascii="Foundry Form Sans" w:hAnsi="Foundry Form Sans" w:cs="Arial"/>
                <w:szCs w:val="24"/>
              </w:rPr>
              <w:t>has drafted this report in accordance with GLA procedures and confirms the following</w:t>
            </w:r>
            <w:r w:rsidR="0072108F">
              <w:rPr>
                <w:rFonts w:ascii="Foundry Form Sans" w:hAnsi="Foundry Form Sans" w:cs="Arial"/>
                <w:szCs w:val="24"/>
              </w:rPr>
              <w:t>:</w:t>
            </w:r>
          </w:p>
        </w:tc>
        <w:tc>
          <w:tcPr>
            <w:tcW w:w="2098" w:type="dxa"/>
          </w:tcPr>
          <w:p w14:paraId="342F174C" w14:textId="77777777" w:rsidR="00360F25" w:rsidRPr="00866CB4" w:rsidRDefault="00360F25" w:rsidP="00B92B1C">
            <w:pPr>
              <w:pStyle w:val="Header"/>
              <w:tabs>
                <w:tab w:val="clear" w:pos="4320"/>
                <w:tab w:val="clear" w:pos="8640"/>
              </w:tabs>
              <w:ind w:left="0" w:firstLine="0"/>
              <w:jc w:val="center"/>
              <w:rPr>
                <w:rFonts w:ascii="Foundry Form Sans" w:hAnsi="Foundry Form Sans" w:cs="Arial"/>
                <w:b/>
                <w:iCs/>
                <w:szCs w:val="24"/>
              </w:rPr>
            </w:pPr>
          </w:p>
          <w:p w14:paraId="51AEBA2F" w14:textId="77777777" w:rsidR="00360F25" w:rsidRDefault="00360F25" w:rsidP="00B92B1C">
            <w:pPr>
              <w:pStyle w:val="Header"/>
              <w:tabs>
                <w:tab w:val="clear" w:pos="4320"/>
                <w:tab w:val="clear" w:pos="8640"/>
              </w:tabs>
              <w:ind w:left="0" w:firstLine="0"/>
              <w:jc w:val="center"/>
              <w:rPr>
                <w:rFonts w:ascii="Foundry Form Sans" w:hAnsi="Foundry Form Sans" w:cs="Arial"/>
                <w:b/>
                <w:iCs/>
                <w:szCs w:val="24"/>
              </w:rPr>
            </w:pPr>
          </w:p>
          <w:p w14:paraId="0D9D95E7" w14:textId="37298D78" w:rsidR="00FB3A12" w:rsidRPr="00FB3A12" w:rsidRDefault="00FB3A12" w:rsidP="00B92B1C">
            <w:pPr>
              <w:jc w:val="center"/>
            </w:pPr>
            <w:r w:rsidRPr="00866CB4">
              <w:rPr>
                <w:rFonts w:cs="Arial"/>
              </w:rPr>
              <w:sym w:font="Wingdings" w:char="F0FC"/>
            </w:r>
          </w:p>
        </w:tc>
      </w:tr>
      <w:tr w:rsidR="006A4026" w:rsidRPr="00866CB4" w14:paraId="0E5E266E" w14:textId="77777777" w:rsidTr="005C7B8C">
        <w:trPr>
          <w:trHeight w:val="707"/>
        </w:trPr>
        <w:tc>
          <w:tcPr>
            <w:tcW w:w="8222" w:type="dxa"/>
          </w:tcPr>
          <w:p w14:paraId="379115E3" w14:textId="77777777" w:rsidR="006A4026" w:rsidRPr="00866CB4" w:rsidRDefault="006A4026" w:rsidP="00B92B1C">
            <w:pPr>
              <w:pStyle w:val="Header"/>
              <w:tabs>
                <w:tab w:val="clear" w:pos="4320"/>
                <w:tab w:val="clear" w:pos="8640"/>
              </w:tabs>
              <w:ind w:left="0" w:firstLine="0"/>
              <w:rPr>
                <w:rFonts w:ascii="Foundry Form Sans" w:hAnsi="Foundry Form Sans" w:cs="Arial"/>
                <w:b/>
                <w:szCs w:val="24"/>
              </w:rPr>
            </w:pPr>
            <w:r w:rsidRPr="00866CB4">
              <w:rPr>
                <w:rFonts w:ascii="Foundry Form Sans" w:hAnsi="Foundry Form Sans" w:cs="Arial"/>
                <w:b/>
                <w:szCs w:val="24"/>
              </w:rPr>
              <w:t xml:space="preserve">Sponsoring Director: </w:t>
            </w:r>
          </w:p>
          <w:p w14:paraId="54016707" w14:textId="30E51C68" w:rsidR="0021671D" w:rsidRPr="00866CB4" w:rsidRDefault="00FB3A12" w:rsidP="00B92B1C">
            <w:pPr>
              <w:pStyle w:val="Header"/>
              <w:tabs>
                <w:tab w:val="clear" w:pos="4320"/>
                <w:tab w:val="clear" w:pos="8640"/>
              </w:tabs>
              <w:ind w:left="0" w:firstLine="0"/>
              <w:rPr>
                <w:rFonts w:ascii="Foundry Form Sans" w:hAnsi="Foundry Form Sans" w:cs="Arial"/>
                <w:szCs w:val="24"/>
              </w:rPr>
            </w:pPr>
            <w:r w:rsidRPr="00B92B1C">
              <w:rPr>
                <w:rFonts w:ascii="Foundry Form Sans" w:hAnsi="Foundry Form Sans" w:cs="Arial"/>
                <w:szCs w:val="24"/>
                <w:u w:val="single"/>
              </w:rPr>
              <w:t>Rickardo Hyatt</w:t>
            </w:r>
            <w:r w:rsidRPr="0099145B">
              <w:rPr>
                <w:rFonts w:ascii="Foundry Form Sans" w:hAnsi="Foundry Form Sans" w:cs="Arial"/>
                <w:szCs w:val="24"/>
              </w:rPr>
              <w:t xml:space="preserve"> </w:t>
            </w:r>
            <w:r w:rsidR="006A4026" w:rsidRPr="00866CB4">
              <w:rPr>
                <w:rFonts w:ascii="Foundry Form Sans" w:hAnsi="Foundry Form Sans" w:cs="Arial"/>
                <w:szCs w:val="24"/>
              </w:rPr>
              <w:t>has reviewed the request and is satisfied it is correct and consistent with the Mayor’s plans and priorities.</w:t>
            </w:r>
          </w:p>
        </w:tc>
        <w:tc>
          <w:tcPr>
            <w:tcW w:w="2098" w:type="dxa"/>
          </w:tcPr>
          <w:p w14:paraId="54DA4EE9" w14:textId="77777777" w:rsidR="006A4026" w:rsidRPr="00866CB4" w:rsidRDefault="006A4026" w:rsidP="00B92B1C">
            <w:pPr>
              <w:pStyle w:val="Header"/>
              <w:tabs>
                <w:tab w:val="clear" w:pos="4320"/>
                <w:tab w:val="clear" w:pos="8640"/>
              </w:tabs>
              <w:ind w:left="0" w:firstLine="0"/>
              <w:jc w:val="center"/>
              <w:rPr>
                <w:rFonts w:ascii="Foundry Form Sans" w:hAnsi="Foundry Form Sans" w:cs="Arial"/>
                <w:b/>
                <w:iCs/>
                <w:szCs w:val="24"/>
              </w:rPr>
            </w:pPr>
          </w:p>
          <w:p w14:paraId="5612128A" w14:textId="0678E36A" w:rsidR="006A4026" w:rsidRPr="00866CB4" w:rsidRDefault="00B92B1C" w:rsidP="00B92B1C">
            <w:pPr>
              <w:pStyle w:val="Header"/>
              <w:tabs>
                <w:tab w:val="clear" w:pos="4320"/>
                <w:tab w:val="clear" w:pos="8640"/>
              </w:tabs>
              <w:ind w:left="0" w:firstLine="0"/>
              <w:jc w:val="center"/>
              <w:rPr>
                <w:rFonts w:ascii="Foundry Form Sans" w:hAnsi="Foundry Form Sans" w:cs="Arial"/>
                <w:b/>
                <w:iCs/>
                <w:szCs w:val="24"/>
              </w:rPr>
            </w:pPr>
            <w:r w:rsidRPr="00866CB4">
              <w:rPr>
                <w:rFonts w:cs="Arial"/>
              </w:rPr>
              <w:sym w:font="Wingdings" w:char="F0FC"/>
            </w:r>
          </w:p>
        </w:tc>
      </w:tr>
      <w:tr w:rsidR="006A4026" w:rsidRPr="00866CB4" w14:paraId="64F3ADDA" w14:textId="77777777" w:rsidTr="005C7B8C">
        <w:trPr>
          <w:trHeight w:val="761"/>
        </w:trPr>
        <w:tc>
          <w:tcPr>
            <w:tcW w:w="8222" w:type="dxa"/>
          </w:tcPr>
          <w:p w14:paraId="4CF50BD3" w14:textId="77777777" w:rsidR="006A4026" w:rsidRPr="00866CB4" w:rsidRDefault="0036019D" w:rsidP="00B92B1C">
            <w:pPr>
              <w:pStyle w:val="Header"/>
              <w:tabs>
                <w:tab w:val="clear" w:pos="4320"/>
                <w:tab w:val="clear" w:pos="8640"/>
              </w:tabs>
              <w:ind w:left="0" w:firstLine="0"/>
              <w:rPr>
                <w:rFonts w:ascii="Foundry Form Sans" w:hAnsi="Foundry Form Sans" w:cs="Arial"/>
                <w:b/>
                <w:szCs w:val="24"/>
              </w:rPr>
            </w:pPr>
            <w:bookmarkStart w:id="8" w:name="Text14"/>
            <w:r w:rsidRPr="00866CB4">
              <w:rPr>
                <w:rFonts w:ascii="Foundry Form Sans" w:hAnsi="Foundry Form Sans" w:cs="Arial"/>
                <w:b/>
                <w:szCs w:val="24"/>
              </w:rPr>
              <w:t>Mayoral Advise</w:t>
            </w:r>
            <w:r w:rsidR="006A4026" w:rsidRPr="00866CB4">
              <w:rPr>
                <w:rFonts w:ascii="Foundry Form Sans" w:hAnsi="Foundry Form Sans" w:cs="Arial"/>
                <w:b/>
                <w:szCs w:val="24"/>
              </w:rPr>
              <w:t>r:</w:t>
            </w:r>
          </w:p>
          <w:bookmarkEnd w:id="8"/>
          <w:p w14:paraId="6FD36A87" w14:textId="73C5A39D" w:rsidR="0021671D" w:rsidRPr="00866CB4" w:rsidRDefault="00FB3A12" w:rsidP="00B92B1C">
            <w:pPr>
              <w:pStyle w:val="Header"/>
              <w:tabs>
                <w:tab w:val="clear" w:pos="4320"/>
                <w:tab w:val="clear" w:pos="8640"/>
              </w:tabs>
              <w:ind w:left="0" w:firstLine="0"/>
              <w:rPr>
                <w:rFonts w:ascii="Foundry Form Sans" w:hAnsi="Foundry Form Sans" w:cs="Arial"/>
                <w:szCs w:val="24"/>
              </w:rPr>
            </w:pPr>
            <w:r w:rsidRPr="00B92B1C">
              <w:rPr>
                <w:rFonts w:ascii="Foundry Form Sans" w:hAnsi="Foundry Form Sans" w:cs="Arial"/>
                <w:szCs w:val="24"/>
                <w:u w:val="single"/>
              </w:rPr>
              <w:t>Tom Copley</w:t>
            </w:r>
            <w:r w:rsidR="006A4026" w:rsidRPr="00866CB4">
              <w:rPr>
                <w:rFonts w:ascii="Foundry Form Sans" w:hAnsi="Foundry Form Sans" w:cs="Arial"/>
                <w:szCs w:val="24"/>
              </w:rPr>
              <w:t xml:space="preserve"> has been consulted about the proposal and agrees the recommendations.</w:t>
            </w:r>
          </w:p>
        </w:tc>
        <w:tc>
          <w:tcPr>
            <w:tcW w:w="2098" w:type="dxa"/>
          </w:tcPr>
          <w:p w14:paraId="1CAAA4D2" w14:textId="77777777" w:rsidR="006A4026" w:rsidRPr="00866CB4" w:rsidRDefault="006A4026" w:rsidP="00B92B1C">
            <w:pPr>
              <w:pStyle w:val="Header"/>
              <w:tabs>
                <w:tab w:val="clear" w:pos="4320"/>
                <w:tab w:val="clear" w:pos="8640"/>
              </w:tabs>
              <w:ind w:left="0" w:firstLine="0"/>
              <w:jc w:val="center"/>
              <w:rPr>
                <w:rFonts w:ascii="Foundry Form Sans" w:hAnsi="Foundry Form Sans" w:cs="Arial"/>
                <w:b/>
                <w:iCs/>
                <w:szCs w:val="24"/>
              </w:rPr>
            </w:pPr>
          </w:p>
          <w:p w14:paraId="5981D5CB" w14:textId="66B8FD52" w:rsidR="006A4026" w:rsidRPr="00866CB4" w:rsidRDefault="00B92B1C" w:rsidP="00B92B1C">
            <w:pPr>
              <w:pStyle w:val="Header"/>
              <w:tabs>
                <w:tab w:val="clear" w:pos="4320"/>
                <w:tab w:val="clear" w:pos="8640"/>
              </w:tabs>
              <w:ind w:left="0" w:firstLine="0"/>
              <w:jc w:val="center"/>
              <w:rPr>
                <w:rFonts w:ascii="Foundry Form Sans" w:hAnsi="Foundry Form Sans" w:cs="Arial"/>
                <w:b/>
                <w:iCs/>
                <w:szCs w:val="24"/>
              </w:rPr>
            </w:pPr>
            <w:r w:rsidRPr="00866CB4">
              <w:rPr>
                <w:rFonts w:cs="Arial"/>
              </w:rPr>
              <w:sym w:font="Wingdings" w:char="F0FC"/>
            </w:r>
          </w:p>
        </w:tc>
      </w:tr>
      <w:tr w:rsidR="006A4026" w:rsidRPr="00866CB4" w14:paraId="5C866372" w14:textId="77777777" w:rsidTr="003945EF">
        <w:trPr>
          <w:trHeight w:val="694"/>
        </w:trPr>
        <w:tc>
          <w:tcPr>
            <w:tcW w:w="8222" w:type="dxa"/>
          </w:tcPr>
          <w:p w14:paraId="73616D9E" w14:textId="77777777" w:rsidR="006A4026" w:rsidRPr="00866CB4" w:rsidRDefault="006A4026" w:rsidP="00B92B1C">
            <w:pPr>
              <w:pStyle w:val="Header"/>
              <w:tabs>
                <w:tab w:val="clear" w:pos="4320"/>
                <w:tab w:val="clear" w:pos="8640"/>
              </w:tabs>
              <w:ind w:left="0" w:firstLine="0"/>
              <w:rPr>
                <w:rFonts w:ascii="Foundry Form Sans" w:hAnsi="Foundry Form Sans" w:cs="Arial"/>
                <w:b/>
                <w:szCs w:val="24"/>
              </w:rPr>
            </w:pPr>
            <w:r w:rsidRPr="00866CB4">
              <w:rPr>
                <w:rFonts w:ascii="Foundry Form Sans" w:hAnsi="Foundry Form Sans" w:cs="Arial"/>
                <w:b/>
                <w:szCs w:val="24"/>
              </w:rPr>
              <w:t>Advice:</w:t>
            </w:r>
            <w:r w:rsidR="00404C1E" w:rsidRPr="00866CB4">
              <w:rPr>
                <w:rFonts w:ascii="Foundry Form Sans" w:hAnsi="Foundry Form Sans" w:cs="Arial"/>
                <w:b/>
                <w:szCs w:val="24"/>
              </w:rPr>
              <w:t xml:space="preserve"> </w:t>
            </w:r>
          </w:p>
          <w:p w14:paraId="7BB7360A" w14:textId="77777777" w:rsidR="006A4026" w:rsidRPr="00866CB4" w:rsidRDefault="0021671D" w:rsidP="00B92B1C">
            <w:pPr>
              <w:pStyle w:val="Header"/>
              <w:tabs>
                <w:tab w:val="clear" w:pos="4320"/>
                <w:tab w:val="clear" w:pos="8640"/>
              </w:tabs>
              <w:ind w:left="0" w:firstLine="0"/>
              <w:rPr>
                <w:rFonts w:ascii="Foundry Form Sans" w:hAnsi="Foundry Form Sans" w:cs="Arial"/>
                <w:szCs w:val="24"/>
              </w:rPr>
            </w:pPr>
            <w:r w:rsidRPr="00866CB4">
              <w:rPr>
                <w:rFonts w:ascii="Foundry Form Sans" w:hAnsi="Foundry Form Sans" w:cs="Arial"/>
                <w:szCs w:val="24"/>
              </w:rPr>
              <w:t>The Finance and Legal teams have commented on this proposal.</w:t>
            </w:r>
          </w:p>
        </w:tc>
        <w:tc>
          <w:tcPr>
            <w:tcW w:w="2098" w:type="dxa"/>
          </w:tcPr>
          <w:p w14:paraId="3EA11059" w14:textId="77777777" w:rsidR="006A4026" w:rsidRPr="00866CB4" w:rsidRDefault="006A4026" w:rsidP="00B92B1C">
            <w:pPr>
              <w:pStyle w:val="Header"/>
              <w:ind w:left="0" w:firstLine="0"/>
              <w:jc w:val="center"/>
              <w:rPr>
                <w:rFonts w:ascii="Foundry Form Sans" w:hAnsi="Foundry Form Sans" w:cs="Arial"/>
                <w:b/>
                <w:szCs w:val="24"/>
              </w:rPr>
            </w:pPr>
          </w:p>
          <w:p w14:paraId="43FD03C5" w14:textId="61DB2C3F" w:rsidR="006A4026" w:rsidRPr="00866CB4" w:rsidRDefault="00B92B1C" w:rsidP="00B92B1C">
            <w:pPr>
              <w:pStyle w:val="Header"/>
              <w:ind w:left="0" w:firstLine="0"/>
              <w:jc w:val="center"/>
              <w:rPr>
                <w:rFonts w:ascii="Foundry Form Sans" w:hAnsi="Foundry Form Sans" w:cs="Arial"/>
                <w:b/>
                <w:szCs w:val="24"/>
              </w:rPr>
            </w:pPr>
            <w:r w:rsidRPr="00866CB4">
              <w:rPr>
                <w:rFonts w:cs="Arial"/>
              </w:rPr>
              <w:sym w:font="Wingdings" w:char="F0FC"/>
            </w:r>
          </w:p>
        </w:tc>
      </w:tr>
      <w:tr w:rsidR="0072108F" w:rsidRPr="00866CB4" w14:paraId="1A6BD3F6" w14:textId="77777777" w:rsidTr="003945EF">
        <w:trPr>
          <w:trHeight w:val="694"/>
        </w:trPr>
        <w:tc>
          <w:tcPr>
            <w:tcW w:w="8222" w:type="dxa"/>
          </w:tcPr>
          <w:p w14:paraId="2AA2062D" w14:textId="77777777" w:rsidR="0072108F" w:rsidRDefault="0072108F" w:rsidP="00B92B1C">
            <w:pPr>
              <w:pStyle w:val="Header"/>
              <w:tabs>
                <w:tab w:val="clear" w:pos="4320"/>
                <w:tab w:val="clear" w:pos="8640"/>
              </w:tabs>
              <w:ind w:left="0" w:firstLine="0"/>
              <w:rPr>
                <w:rFonts w:ascii="Foundry Form Sans" w:hAnsi="Foundry Form Sans" w:cs="Arial"/>
                <w:b/>
                <w:szCs w:val="24"/>
              </w:rPr>
            </w:pPr>
            <w:r>
              <w:rPr>
                <w:rFonts w:ascii="Foundry Form Sans" w:hAnsi="Foundry Form Sans" w:cs="Arial"/>
                <w:b/>
                <w:szCs w:val="24"/>
              </w:rPr>
              <w:t>Corporate Investment Board</w:t>
            </w:r>
          </w:p>
          <w:p w14:paraId="24D3A632" w14:textId="2BB29CBB" w:rsidR="0072108F" w:rsidRPr="0072108F" w:rsidRDefault="0072108F" w:rsidP="00B92B1C">
            <w:pPr>
              <w:pStyle w:val="Header"/>
              <w:tabs>
                <w:tab w:val="clear" w:pos="4320"/>
                <w:tab w:val="clear" w:pos="8640"/>
              </w:tabs>
              <w:ind w:left="0" w:firstLine="0"/>
              <w:rPr>
                <w:rFonts w:ascii="Foundry Form Sans" w:hAnsi="Foundry Form Sans" w:cs="Arial"/>
                <w:szCs w:val="24"/>
              </w:rPr>
            </w:pPr>
            <w:r w:rsidRPr="0072108F">
              <w:rPr>
                <w:rFonts w:ascii="Foundry Form Sans" w:hAnsi="Foundry Form Sans" w:cs="Arial"/>
                <w:szCs w:val="24"/>
              </w:rPr>
              <w:t>This decisi</w:t>
            </w:r>
            <w:r>
              <w:rPr>
                <w:rFonts w:ascii="Foundry Form Sans" w:hAnsi="Foundry Form Sans" w:cs="Arial"/>
                <w:szCs w:val="24"/>
              </w:rPr>
              <w:t>on was agreed by the Corporate I</w:t>
            </w:r>
            <w:r w:rsidRPr="0072108F">
              <w:rPr>
                <w:rFonts w:ascii="Foundry Form Sans" w:hAnsi="Foundry Form Sans" w:cs="Arial"/>
                <w:szCs w:val="24"/>
              </w:rPr>
              <w:t xml:space="preserve">nvestment Board on </w:t>
            </w:r>
            <w:r w:rsidR="00B92B1C">
              <w:rPr>
                <w:rFonts w:ascii="Foundry Form Sans" w:hAnsi="Foundry Form Sans" w:cs="Arial"/>
                <w:szCs w:val="24"/>
              </w:rPr>
              <w:t>28 March 2022</w:t>
            </w:r>
          </w:p>
        </w:tc>
        <w:tc>
          <w:tcPr>
            <w:tcW w:w="2098" w:type="dxa"/>
          </w:tcPr>
          <w:p w14:paraId="669B8854" w14:textId="77777777" w:rsidR="0072108F" w:rsidRDefault="0072108F" w:rsidP="00B92B1C">
            <w:pPr>
              <w:pStyle w:val="Header"/>
              <w:ind w:left="0" w:firstLine="0"/>
              <w:jc w:val="center"/>
              <w:rPr>
                <w:rFonts w:ascii="Foundry Form Sans" w:hAnsi="Foundry Form Sans" w:cs="Arial"/>
                <w:b/>
                <w:szCs w:val="24"/>
              </w:rPr>
            </w:pPr>
          </w:p>
          <w:p w14:paraId="77C9F93F" w14:textId="209B6AEF" w:rsidR="0072108F" w:rsidRPr="00866CB4" w:rsidRDefault="001B6B3F" w:rsidP="00B92B1C">
            <w:pPr>
              <w:pStyle w:val="Header"/>
              <w:ind w:left="0" w:firstLine="0"/>
              <w:jc w:val="center"/>
              <w:rPr>
                <w:rFonts w:ascii="Foundry Form Sans" w:hAnsi="Foundry Form Sans" w:cs="Arial"/>
                <w:b/>
                <w:szCs w:val="24"/>
              </w:rPr>
            </w:pPr>
            <w:r w:rsidRPr="00866CB4">
              <w:rPr>
                <w:rFonts w:cs="Arial"/>
              </w:rPr>
              <w:sym w:font="Wingdings" w:char="F0FC"/>
            </w:r>
          </w:p>
        </w:tc>
      </w:tr>
    </w:tbl>
    <w:p w14:paraId="35AF3166" w14:textId="77777777" w:rsidR="00C03B0B" w:rsidRPr="00060D48" w:rsidRDefault="00C03B0B" w:rsidP="00D749FA">
      <w:pPr>
        <w:rPr>
          <w:rFonts w:cs="Arial"/>
          <w:sz w:val="12"/>
          <w:szCs w:val="12"/>
        </w:rPr>
      </w:pPr>
    </w:p>
    <w:tbl>
      <w:tblPr>
        <w:tblW w:w="10320" w:type="dxa"/>
        <w:tblInd w:w="108" w:type="dxa"/>
        <w:tblLook w:val="0000" w:firstRow="0" w:lastRow="0" w:firstColumn="0" w:lastColumn="0" w:noHBand="0" w:noVBand="0"/>
      </w:tblPr>
      <w:tblGrid>
        <w:gridCol w:w="6480"/>
        <w:gridCol w:w="3840"/>
      </w:tblGrid>
      <w:tr w:rsidR="00C03B0B" w:rsidRPr="00866CB4" w14:paraId="519F2161" w14:textId="77777777" w:rsidTr="00BB49C3">
        <w:tc>
          <w:tcPr>
            <w:tcW w:w="10320" w:type="dxa"/>
            <w:gridSpan w:val="2"/>
            <w:tcBorders>
              <w:top w:val="single" w:sz="4" w:space="0" w:color="auto"/>
              <w:left w:val="single" w:sz="4" w:space="0" w:color="auto"/>
              <w:right w:val="single" w:sz="4" w:space="0" w:color="auto"/>
            </w:tcBorders>
          </w:tcPr>
          <w:p w14:paraId="1D06F644" w14:textId="77777777" w:rsidR="00C03B0B" w:rsidRPr="00866CB4" w:rsidRDefault="003945EF" w:rsidP="00D749FA">
            <w:pPr>
              <w:spacing w:before="60" w:after="60"/>
              <w:rPr>
                <w:rFonts w:cs="Arial"/>
                <w:b/>
                <w:bCs/>
              </w:rPr>
            </w:pPr>
            <w:r w:rsidRPr="00866CB4">
              <w:rPr>
                <w:rFonts w:cs="Arial"/>
                <w:b/>
                <w:bCs/>
              </w:rPr>
              <w:t>EXECUTIVE DIRECTOR, RESOURCES:</w:t>
            </w:r>
          </w:p>
          <w:p w14:paraId="2F224ADF" w14:textId="77777777" w:rsidR="00CA7041" w:rsidRPr="00866CB4" w:rsidRDefault="00CA7041" w:rsidP="00D749FA">
            <w:pPr>
              <w:pStyle w:val="Header"/>
              <w:tabs>
                <w:tab w:val="clear" w:pos="4320"/>
                <w:tab w:val="clear" w:pos="8640"/>
              </w:tabs>
              <w:spacing w:before="60" w:after="60"/>
              <w:ind w:left="0" w:firstLine="0"/>
              <w:rPr>
                <w:rFonts w:ascii="Foundry Form Sans" w:hAnsi="Foundry Form Sans" w:cs="Arial"/>
                <w:szCs w:val="24"/>
              </w:rPr>
            </w:pPr>
            <w:r w:rsidRPr="00866CB4">
              <w:rPr>
                <w:rFonts w:ascii="Foundry Form Sans" w:hAnsi="Foundry Form Sans" w:cs="Arial"/>
                <w:szCs w:val="24"/>
              </w:rPr>
              <w:t xml:space="preserve">I confirm that financial and legal implications have been appropriately considered in the preparation of this report. </w:t>
            </w:r>
          </w:p>
        </w:tc>
      </w:tr>
      <w:tr w:rsidR="00C03B0B" w:rsidRPr="00866CB4" w14:paraId="204752BD" w14:textId="77777777" w:rsidTr="00BB49C3">
        <w:trPr>
          <w:trHeight w:val="710"/>
        </w:trPr>
        <w:tc>
          <w:tcPr>
            <w:tcW w:w="6480" w:type="dxa"/>
            <w:tcBorders>
              <w:left w:val="single" w:sz="4" w:space="0" w:color="auto"/>
              <w:bottom w:val="single" w:sz="4" w:space="0" w:color="auto"/>
            </w:tcBorders>
          </w:tcPr>
          <w:p w14:paraId="60D0744E" w14:textId="77777777" w:rsidR="00C03B0B" w:rsidRPr="00866CB4" w:rsidRDefault="00C03B0B" w:rsidP="00D749FA">
            <w:pPr>
              <w:spacing w:before="60" w:after="60"/>
              <w:rPr>
                <w:rFonts w:cs="Arial"/>
                <w:b/>
                <w:bCs/>
              </w:rPr>
            </w:pPr>
            <w:r w:rsidRPr="00866CB4">
              <w:rPr>
                <w:rFonts w:cs="Arial"/>
                <w:b/>
                <w:bCs/>
              </w:rPr>
              <w:t>Signature</w:t>
            </w:r>
          </w:p>
          <w:p w14:paraId="380ACE05" w14:textId="2FB4B581" w:rsidR="00C03B0B" w:rsidRPr="00866CB4" w:rsidRDefault="001B6B3F" w:rsidP="00D749FA">
            <w:pPr>
              <w:spacing w:before="60" w:after="60"/>
              <w:rPr>
                <w:rFonts w:cs="Arial"/>
                <w:b/>
                <w:bCs/>
              </w:rPr>
            </w:pPr>
            <w:r>
              <w:object w:dxaOrig="1395" w:dyaOrig="615" w14:anchorId="001E9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9.85pt;height:31.15pt" o:ole="">
                  <v:imagedata r:id="rId10" o:title=""/>
                </v:shape>
                <o:OLEObject Type="Embed" ProgID="PBrush" ShapeID="_x0000_i1028" DrawAspect="Content" ObjectID="_1710919190" r:id="rId11"/>
              </w:object>
            </w:r>
          </w:p>
        </w:tc>
        <w:tc>
          <w:tcPr>
            <w:tcW w:w="3840" w:type="dxa"/>
            <w:tcBorders>
              <w:bottom w:val="single" w:sz="4" w:space="0" w:color="auto"/>
              <w:right w:val="single" w:sz="4" w:space="0" w:color="auto"/>
            </w:tcBorders>
          </w:tcPr>
          <w:p w14:paraId="5CF39C04" w14:textId="77777777" w:rsidR="00C03B0B" w:rsidRDefault="00C03B0B" w:rsidP="00D749FA">
            <w:pPr>
              <w:spacing w:before="60" w:after="60"/>
              <w:rPr>
                <w:rFonts w:cs="Arial"/>
                <w:b/>
                <w:bCs/>
              </w:rPr>
            </w:pPr>
            <w:r w:rsidRPr="00866CB4">
              <w:rPr>
                <w:rFonts w:cs="Arial"/>
                <w:b/>
                <w:bCs/>
              </w:rPr>
              <w:t>Date</w:t>
            </w:r>
          </w:p>
          <w:p w14:paraId="118E6F0F" w14:textId="32AC42BD" w:rsidR="001B6B3F" w:rsidRPr="00866CB4" w:rsidRDefault="001B6B3F" w:rsidP="00D749FA">
            <w:pPr>
              <w:spacing w:before="60" w:after="60"/>
              <w:rPr>
                <w:rFonts w:cs="Arial"/>
                <w:b/>
                <w:bCs/>
              </w:rPr>
            </w:pPr>
            <w:r>
              <w:rPr>
                <w:rFonts w:cs="Arial"/>
                <w:b/>
                <w:bCs/>
              </w:rPr>
              <w:t>7/4/22</w:t>
            </w:r>
          </w:p>
        </w:tc>
      </w:tr>
      <w:tr w:rsidR="00C03B0B" w:rsidRPr="00866CB4" w14:paraId="42462842" w14:textId="77777777" w:rsidTr="00BB49C3">
        <w:trPr>
          <w:trHeight w:val="111"/>
        </w:trPr>
        <w:tc>
          <w:tcPr>
            <w:tcW w:w="10320" w:type="dxa"/>
            <w:gridSpan w:val="2"/>
            <w:tcBorders>
              <w:top w:val="single" w:sz="4" w:space="0" w:color="auto"/>
              <w:bottom w:val="single" w:sz="4" w:space="0" w:color="auto"/>
            </w:tcBorders>
          </w:tcPr>
          <w:p w14:paraId="6B3DF0A7" w14:textId="77777777" w:rsidR="00C03B0B" w:rsidRPr="00B92B1C" w:rsidRDefault="00C03B0B" w:rsidP="00B92B1C">
            <w:pPr>
              <w:rPr>
                <w:rFonts w:cs="Arial"/>
                <w:b/>
                <w:bCs/>
                <w:sz w:val="2"/>
                <w:szCs w:val="2"/>
              </w:rPr>
            </w:pPr>
          </w:p>
        </w:tc>
      </w:tr>
      <w:tr w:rsidR="00C03B0B" w:rsidRPr="00866CB4" w14:paraId="27166E6B" w14:textId="77777777" w:rsidTr="00BB49C3">
        <w:trPr>
          <w:trHeight w:val="851"/>
        </w:trPr>
        <w:tc>
          <w:tcPr>
            <w:tcW w:w="10320" w:type="dxa"/>
            <w:gridSpan w:val="2"/>
            <w:tcBorders>
              <w:top w:val="single" w:sz="4" w:space="0" w:color="auto"/>
              <w:left w:val="single" w:sz="4" w:space="0" w:color="auto"/>
              <w:right w:val="single" w:sz="4" w:space="0" w:color="auto"/>
            </w:tcBorders>
          </w:tcPr>
          <w:p w14:paraId="188353E8" w14:textId="77777777" w:rsidR="00C03B0B" w:rsidRPr="00866CB4" w:rsidRDefault="003945EF" w:rsidP="00D749FA">
            <w:pPr>
              <w:spacing w:before="60" w:after="60"/>
              <w:rPr>
                <w:rFonts w:cs="Arial"/>
                <w:b/>
                <w:bCs/>
              </w:rPr>
            </w:pPr>
            <w:r w:rsidRPr="00866CB4">
              <w:rPr>
                <w:rFonts w:cs="Arial"/>
                <w:b/>
                <w:bCs/>
              </w:rPr>
              <w:t>CHIEF OF STAFF:</w:t>
            </w:r>
          </w:p>
          <w:p w14:paraId="01369C4A" w14:textId="31CF32B6" w:rsidR="003945EF" w:rsidRPr="00866CB4" w:rsidRDefault="00C03B0B" w:rsidP="00D749FA">
            <w:pPr>
              <w:pStyle w:val="Header"/>
              <w:tabs>
                <w:tab w:val="clear" w:pos="4320"/>
                <w:tab w:val="clear" w:pos="8640"/>
              </w:tabs>
              <w:spacing w:before="60" w:after="60"/>
              <w:ind w:left="0" w:firstLine="0"/>
              <w:rPr>
                <w:rFonts w:ascii="Foundry Form Sans" w:hAnsi="Foundry Form Sans" w:cs="Arial"/>
                <w:szCs w:val="24"/>
              </w:rPr>
            </w:pPr>
            <w:r w:rsidRPr="00866CB4">
              <w:rPr>
                <w:rFonts w:ascii="Foundry Form Sans" w:hAnsi="Foundry Form Sans" w:cs="Arial"/>
                <w:szCs w:val="24"/>
              </w:rPr>
              <w:t>I am satisfied that this is an appropriate request to be submitted to the Mayor</w:t>
            </w:r>
            <w:r w:rsidR="000E65C2">
              <w:rPr>
                <w:rFonts w:ascii="Foundry Form Sans" w:hAnsi="Foundry Form Sans" w:cs="Arial"/>
                <w:szCs w:val="24"/>
              </w:rPr>
              <w:t>.</w:t>
            </w:r>
          </w:p>
        </w:tc>
      </w:tr>
      <w:tr w:rsidR="00C03B0B" w:rsidRPr="00866CB4" w14:paraId="1A857B39" w14:textId="77777777" w:rsidTr="00BB49C3">
        <w:trPr>
          <w:trHeight w:val="737"/>
        </w:trPr>
        <w:tc>
          <w:tcPr>
            <w:tcW w:w="6480" w:type="dxa"/>
            <w:tcBorders>
              <w:left w:val="single" w:sz="4" w:space="0" w:color="auto"/>
              <w:bottom w:val="single" w:sz="4" w:space="0" w:color="auto"/>
            </w:tcBorders>
          </w:tcPr>
          <w:p w14:paraId="2296C6CE" w14:textId="77777777" w:rsidR="00C03B0B" w:rsidRPr="00866CB4" w:rsidRDefault="00C03B0B" w:rsidP="00D749FA">
            <w:pPr>
              <w:pStyle w:val="Heading1"/>
              <w:spacing w:before="60" w:after="60"/>
              <w:rPr>
                <w:sz w:val="24"/>
                <w:szCs w:val="24"/>
              </w:rPr>
            </w:pPr>
            <w:r w:rsidRPr="00866CB4">
              <w:rPr>
                <w:sz w:val="24"/>
                <w:szCs w:val="24"/>
              </w:rPr>
              <w:t>Signature</w:t>
            </w:r>
          </w:p>
          <w:p w14:paraId="0D559A34" w14:textId="2DC63875" w:rsidR="00C03B0B" w:rsidRPr="00866CB4" w:rsidRDefault="001B6B3F" w:rsidP="00D749FA">
            <w:pPr>
              <w:spacing w:before="60" w:after="60"/>
              <w:rPr>
                <w:rFonts w:cs="Arial"/>
              </w:rPr>
            </w:pPr>
            <w:r>
              <w:object w:dxaOrig="9450" w:dyaOrig="3645" w14:anchorId="15BF2044">
                <v:shape id="_x0000_i1030" type="#_x0000_t75" style="width:79.5pt;height:31.15pt" o:ole="">
                  <v:imagedata r:id="rId12" o:title=""/>
                </v:shape>
                <o:OLEObject Type="Embed" ProgID="PBrush" ShapeID="_x0000_i1030" DrawAspect="Content" ObjectID="_1710919191" r:id="rId13"/>
              </w:object>
            </w:r>
          </w:p>
        </w:tc>
        <w:tc>
          <w:tcPr>
            <w:tcW w:w="3840" w:type="dxa"/>
            <w:tcBorders>
              <w:bottom w:val="single" w:sz="4" w:space="0" w:color="auto"/>
              <w:right w:val="single" w:sz="4" w:space="0" w:color="auto"/>
            </w:tcBorders>
          </w:tcPr>
          <w:p w14:paraId="2809720E" w14:textId="77777777" w:rsidR="00C03B0B" w:rsidRPr="00866CB4" w:rsidRDefault="00C03B0B" w:rsidP="00D749FA">
            <w:pPr>
              <w:pStyle w:val="Heading1"/>
              <w:spacing w:before="60" w:after="60"/>
              <w:rPr>
                <w:sz w:val="24"/>
                <w:szCs w:val="24"/>
              </w:rPr>
            </w:pPr>
            <w:r w:rsidRPr="00866CB4">
              <w:rPr>
                <w:sz w:val="24"/>
                <w:szCs w:val="24"/>
              </w:rPr>
              <w:t>Date</w:t>
            </w:r>
          </w:p>
          <w:p w14:paraId="0D6944EA" w14:textId="12A04826" w:rsidR="00C03B0B" w:rsidRPr="001B6B3F" w:rsidRDefault="001B6B3F" w:rsidP="00D749FA">
            <w:pPr>
              <w:spacing w:before="60" w:after="60"/>
              <w:rPr>
                <w:rFonts w:cs="Arial"/>
                <w:b/>
                <w:bCs/>
              </w:rPr>
            </w:pPr>
            <w:r>
              <w:rPr>
                <w:rFonts w:cs="Arial"/>
                <w:b/>
                <w:bCs/>
              </w:rPr>
              <w:t>2/4/22</w:t>
            </w:r>
          </w:p>
        </w:tc>
      </w:tr>
    </w:tbl>
    <w:p w14:paraId="0DD4EA00" w14:textId="77777777" w:rsidR="00985ABB" w:rsidRPr="00866CB4" w:rsidRDefault="00985ABB" w:rsidP="00D749FA">
      <w:pPr>
        <w:rPr>
          <w:rFonts w:cs="Arial"/>
        </w:rPr>
      </w:pPr>
    </w:p>
    <w:sectPr w:rsidR="00985ABB" w:rsidRPr="00866CB4" w:rsidSect="003945EF">
      <w:pgSz w:w="11906" w:h="16838"/>
      <w:pgMar w:top="964"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E3BD7" w14:textId="77777777" w:rsidR="00CA5B31" w:rsidRDefault="00CA5B31">
      <w:r>
        <w:separator/>
      </w:r>
    </w:p>
  </w:endnote>
  <w:endnote w:type="continuationSeparator" w:id="0">
    <w:p w14:paraId="73DAD0DB" w14:textId="77777777" w:rsidR="00CA5B31" w:rsidRDefault="00CA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C7B23" w14:textId="77777777" w:rsidR="00D94808" w:rsidRDefault="00D948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ACA8D5" w14:textId="77777777" w:rsidR="00D94808" w:rsidRDefault="00D94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56B6F" w14:textId="77777777" w:rsidR="00CA5B31" w:rsidRDefault="00CA5B31">
      <w:r>
        <w:separator/>
      </w:r>
    </w:p>
  </w:footnote>
  <w:footnote w:type="continuationSeparator" w:id="0">
    <w:p w14:paraId="377A7995" w14:textId="77777777" w:rsidR="00CA5B31" w:rsidRDefault="00CA5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E3528"/>
    <w:multiLevelType w:val="hybridMultilevel"/>
    <w:tmpl w:val="63A886F4"/>
    <w:lvl w:ilvl="0" w:tplc="DABAAA1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01F6D"/>
    <w:multiLevelType w:val="hybridMultilevel"/>
    <w:tmpl w:val="87D8EE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3330"/>
    <w:multiLevelType w:val="hybridMultilevel"/>
    <w:tmpl w:val="D81C418E"/>
    <w:lvl w:ilvl="0" w:tplc="08090001">
      <w:start w:val="1"/>
      <w:numFmt w:val="bullet"/>
      <w:lvlText w:val=""/>
      <w:lvlJc w:val="left"/>
      <w:pPr>
        <w:ind w:left="1287" w:hanging="72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 w15:restartNumberingAfterBreak="0">
    <w:nsid w:val="0D0D67AA"/>
    <w:multiLevelType w:val="multilevel"/>
    <w:tmpl w:val="A1582E46"/>
    <w:lvl w:ilvl="0">
      <w:start w:val="1"/>
      <w:numFmt w:val="decimal"/>
      <w:pStyle w:val="paraheading"/>
      <w:lvlText w:val="%1."/>
      <w:lvlJc w:val="left"/>
      <w:pPr>
        <w:tabs>
          <w:tab w:val="num" w:pos="737"/>
        </w:tabs>
        <w:ind w:left="737" w:hanging="737"/>
      </w:pPr>
      <w:rPr>
        <w:rFonts w:ascii="Arial" w:hAnsi="Arial" w:hint="default"/>
        <w:b/>
        <w:i w:val="0"/>
        <w:strike w:val="0"/>
        <w:dstrike w:val="0"/>
        <w:vanish w:val="0"/>
        <w:color w:val="000000"/>
        <w:sz w:val="24"/>
        <w:vertAlign w:val="baseline"/>
      </w:rPr>
    </w:lvl>
    <w:lvl w:ilvl="1">
      <w:start w:val="1"/>
      <w:numFmt w:val="decimal"/>
      <w:lvlText w:val="%1.%2"/>
      <w:lvlJc w:val="left"/>
      <w:pPr>
        <w:tabs>
          <w:tab w:val="num" w:pos="737"/>
        </w:tabs>
        <w:ind w:left="737" w:hanging="737"/>
      </w:pPr>
      <w:rPr>
        <w:rFonts w:ascii="Arial" w:hAnsi="Arial" w:hint="default"/>
        <w:b w:val="0"/>
        <w:i w:val="0"/>
        <w:caps w:val="0"/>
        <w:strike w:val="0"/>
        <w:dstrike w:val="0"/>
        <w:vanish w:val="0"/>
        <w:color w:val="auto"/>
        <w:sz w:val="24"/>
        <w:vertAlign w:val="baseline"/>
      </w:rPr>
    </w:lvl>
    <w:lvl w:ilvl="2">
      <w:start w:val="1"/>
      <w:numFmt w:val="lowerLetter"/>
      <w:lvlText w:val="(%3)"/>
      <w:lvlJc w:val="left"/>
      <w:pPr>
        <w:tabs>
          <w:tab w:val="num" w:pos="1304"/>
        </w:tabs>
        <w:ind w:left="1304" w:hanging="567"/>
      </w:pPr>
      <w:rPr>
        <w:rFonts w:ascii="Arial" w:hAnsi="Arial" w:hint="default"/>
        <w:b w:val="0"/>
        <w:i w:val="0"/>
        <w:caps w:val="0"/>
        <w:strike w:val="0"/>
        <w:dstrike w:val="0"/>
        <w:vanish w:val="0"/>
        <w:color w:val="000000"/>
        <w:sz w:val="24"/>
        <w:vertAlign w:val="baseline"/>
      </w:rPr>
    </w:lvl>
    <w:lvl w:ilvl="3">
      <w:start w:val="1"/>
      <w:numFmt w:val="lowerRoman"/>
      <w:lvlText w:val="%4)"/>
      <w:lvlJc w:val="left"/>
      <w:pPr>
        <w:tabs>
          <w:tab w:val="num" w:pos="2024"/>
        </w:tabs>
        <w:ind w:left="1871" w:hanging="567"/>
      </w:pPr>
      <w:rPr>
        <w:rFonts w:ascii="Arial" w:hAnsi="Arial" w:hint="default"/>
        <w:b w:val="0"/>
        <w:i w:val="0"/>
        <w:caps w:val="0"/>
        <w:strike w:val="0"/>
        <w:dstrike w:val="0"/>
        <w:vanish w:val="0"/>
        <w:sz w:val="24"/>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EE0487"/>
    <w:multiLevelType w:val="hybridMultilevel"/>
    <w:tmpl w:val="DBD287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8BC733B"/>
    <w:multiLevelType w:val="hybridMultilevel"/>
    <w:tmpl w:val="E2AEC1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90339"/>
    <w:multiLevelType w:val="multilevel"/>
    <w:tmpl w:val="06B6E916"/>
    <w:lvl w:ilvl="0">
      <w:start w:val="6"/>
      <w:numFmt w:val="decimal"/>
      <w:lvlText w:val="%1"/>
      <w:lvlJc w:val="left"/>
      <w:pPr>
        <w:ind w:left="360" w:hanging="360"/>
      </w:pPr>
      <w:rPr>
        <w:rFonts w:hint="default"/>
        <w:b w:val="0"/>
      </w:rPr>
    </w:lvl>
    <w:lvl w:ilvl="1">
      <w:start w:val="1"/>
      <w:numFmt w:val="decimal"/>
      <w:lvlText w:val="6.%2."/>
      <w:lvlJc w:val="left"/>
      <w:pPr>
        <w:ind w:left="1440" w:hanging="36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57100B"/>
    <w:multiLevelType w:val="hybridMultilevel"/>
    <w:tmpl w:val="7108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F6287"/>
    <w:multiLevelType w:val="hybridMultilevel"/>
    <w:tmpl w:val="451EE972"/>
    <w:lvl w:ilvl="0" w:tplc="08090001">
      <w:start w:val="1"/>
      <w:numFmt w:val="bullet"/>
      <w:lvlText w:val=""/>
      <w:lvlJc w:val="left"/>
      <w:pPr>
        <w:ind w:left="1290" w:hanging="720"/>
      </w:pPr>
      <w:rPr>
        <w:rFonts w:ascii="Symbol" w:hAnsi="Symbol"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9" w15:restartNumberingAfterBreak="0">
    <w:nsid w:val="51F9711F"/>
    <w:multiLevelType w:val="multilevel"/>
    <w:tmpl w:val="8DA8D154"/>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955375"/>
    <w:multiLevelType w:val="hybridMultilevel"/>
    <w:tmpl w:val="7108DAE4"/>
    <w:lvl w:ilvl="0" w:tplc="2D6A966E">
      <w:start w:val="1"/>
      <w:numFmt w:val="decimal"/>
      <w:lvlText w:val="5.%1."/>
      <w:lvlJc w:val="left"/>
      <w:pPr>
        <w:ind w:left="720" w:hanging="360"/>
      </w:pPr>
      <w:rPr>
        <w:rFonts w:hint="default"/>
      </w:rPr>
    </w:lvl>
    <w:lvl w:ilvl="1" w:tplc="2D6A966E">
      <w:start w:val="1"/>
      <w:numFmt w:val="decimal"/>
      <w:lvlText w:val="5.%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B66AAC"/>
    <w:multiLevelType w:val="hybridMultilevel"/>
    <w:tmpl w:val="3D38DB36"/>
    <w:lvl w:ilvl="0" w:tplc="65561F44">
      <w:start w:val="2"/>
      <w:numFmt w:val="decimal"/>
      <w:lvlText w:val="6.%1."/>
      <w:lvlJc w:val="lef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AA4E4E"/>
    <w:multiLevelType w:val="hybridMultilevel"/>
    <w:tmpl w:val="7D70A840"/>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98592E"/>
    <w:multiLevelType w:val="hybridMultilevel"/>
    <w:tmpl w:val="2ACC5F28"/>
    <w:lvl w:ilvl="0" w:tplc="2806BEAA">
      <w:start w:val="1"/>
      <w:numFmt w:val="lowerRoman"/>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3"/>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5"/>
  </w:num>
  <w:num w:numId="7">
    <w:abstractNumId w:val="0"/>
  </w:num>
  <w:num w:numId="8">
    <w:abstractNumId w:val="8"/>
  </w:num>
  <w:num w:numId="9">
    <w:abstractNumId w:val="10"/>
  </w:num>
  <w:num w:numId="10">
    <w:abstractNumId w:val="11"/>
  </w:num>
  <w:num w:numId="11">
    <w:abstractNumId w:val="2"/>
  </w:num>
  <w:num w:numId="12">
    <w:abstractNumId w:val="4"/>
  </w:num>
  <w:num w:numId="13">
    <w:abstractNumId w:val="13"/>
  </w:num>
  <w:num w:numId="14">
    <w:abstractNumId w:val="7"/>
  </w:num>
  <w:num w:numId="1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12"/>
    <w:rsid w:val="00014CF4"/>
    <w:rsid w:val="000222F5"/>
    <w:rsid w:val="00030D82"/>
    <w:rsid w:val="00035993"/>
    <w:rsid w:val="00037AE1"/>
    <w:rsid w:val="00042F9D"/>
    <w:rsid w:val="000479A9"/>
    <w:rsid w:val="00051587"/>
    <w:rsid w:val="00052B8F"/>
    <w:rsid w:val="00054952"/>
    <w:rsid w:val="00060D48"/>
    <w:rsid w:val="0006657B"/>
    <w:rsid w:val="00094AC9"/>
    <w:rsid w:val="000B3492"/>
    <w:rsid w:val="000C29E3"/>
    <w:rsid w:val="000D7FB7"/>
    <w:rsid w:val="000E5307"/>
    <w:rsid w:val="000E65C2"/>
    <w:rsid w:val="000F0600"/>
    <w:rsid w:val="00114701"/>
    <w:rsid w:val="00122012"/>
    <w:rsid w:val="001303B7"/>
    <w:rsid w:val="00132CD3"/>
    <w:rsid w:val="0015084F"/>
    <w:rsid w:val="0016156D"/>
    <w:rsid w:val="00176364"/>
    <w:rsid w:val="00186D88"/>
    <w:rsid w:val="001A2F7E"/>
    <w:rsid w:val="001B1702"/>
    <w:rsid w:val="001B6B3F"/>
    <w:rsid w:val="001B7B27"/>
    <w:rsid w:val="001C3CBA"/>
    <w:rsid w:val="001C5047"/>
    <w:rsid w:val="001D5A14"/>
    <w:rsid w:val="001F4C41"/>
    <w:rsid w:val="00201EAA"/>
    <w:rsid w:val="00205820"/>
    <w:rsid w:val="00206610"/>
    <w:rsid w:val="0021671D"/>
    <w:rsid w:val="00223AE6"/>
    <w:rsid w:val="00226075"/>
    <w:rsid w:val="0024320E"/>
    <w:rsid w:val="00264079"/>
    <w:rsid w:val="002762F5"/>
    <w:rsid w:val="002803DE"/>
    <w:rsid w:val="002928EC"/>
    <w:rsid w:val="00293164"/>
    <w:rsid w:val="002B5FB9"/>
    <w:rsid w:val="002C0417"/>
    <w:rsid w:val="002C34E5"/>
    <w:rsid w:val="002D52DD"/>
    <w:rsid w:val="002E0469"/>
    <w:rsid w:val="002E1E0E"/>
    <w:rsid w:val="00312BE7"/>
    <w:rsid w:val="003132A1"/>
    <w:rsid w:val="00317645"/>
    <w:rsid w:val="0032052C"/>
    <w:rsid w:val="0033283C"/>
    <w:rsid w:val="003330A4"/>
    <w:rsid w:val="00352A33"/>
    <w:rsid w:val="00354335"/>
    <w:rsid w:val="00355381"/>
    <w:rsid w:val="00355C59"/>
    <w:rsid w:val="0036019D"/>
    <w:rsid w:val="00360F25"/>
    <w:rsid w:val="0036679E"/>
    <w:rsid w:val="00385C43"/>
    <w:rsid w:val="003945EF"/>
    <w:rsid w:val="003B6CC4"/>
    <w:rsid w:val="003C57F3"/>
    <w:rsid w:val="003C739D"/>
    <w:rsid w:val="003C795E"/>
    <w:rsid w:val="003E74E9"/>
    <w:rsid w:val="00404C1E"/>
    <w:rsid w:val="00410963"/>
    <w:rsid w:val="004360DB"/>
    <w:rsid w:val="00450288"/>
    <w:rsid w:val="00457FD6"/>
    <w:rsid w:val="004603BB"/>
    <w:rsid w:val="00485D3F"/>
    <w:rsid w:val="00496F2A"/>
    <w:rsid w:val="00497CAD"/>
    <w:rsid w:val="004A1119"/>
    <w:rsid w:val="004A23B9"/>
    <w:rsid w:val="004A5154"/>
    <w:rsid w:val="004B2EDE"/>
    <w:rsid w:val="004D3AB2"/>
    <w:rsid w:val="004F23C8"/>
    <w:rsid w:val="00500473"/>
    <w:rsid w:val="0050285E"/>
    <w:rsid w:val="00506481"/>
    <w:rsid w:val="00510A73"/>
    <w:rsid w:val="00533FF1"/>
    <w:rsid w:val="005410FF"/>
    <w:rsid w:val="005439AD"/>
    <w:rsid w:val="005456BD"/>
    <w:rsid w:val="00560702"/>
    <w:rsid w:val="00561072"/>
    <w:rsid w:val="00582358"/>
    <w:rsid w:val="005827EB"/>
    <w:rsid w:val="00590A00"/>
    <w:rsid w:val="005B049E"/>
    <w:rsid w:val="005C7B8C"/>
    <w:rsid w:val="005D472A"/>
    <w:rsid w:val="005E2221"/>
    <w:rsid w:val="005E7BFE"/>
    <w:rsid w:val="005F0C05"/>
    <w:rsid w:val="005F23B6"/>
    <w:rsid w:val="005F5F47"/>
    <w:rsid w:val="00603715"/>
    <w:rsid w:val="00603EA2"/>
    <w:rsid w:val="006047B9"/>
    <w:rsid w:val="00617ABC"/>
    <w:rsid w:val="0062186A"/>
    <w:rsid w:val="00636E91"/>
    <w:rsid w:val="00645AC5"/>
    <w:rsid w:val="0067208A"/>
    <w:rsid w:val="0067558E"/>
    <w:rsid w:val="006A4026"/>
    <w:rsid w:val="006B089B"/>
    <w:rsid w:val="006B4391"/>
    <w:rsid w:val="006B461B"/>
    <w:rsid w:val="006B64C5"/>
    <w:rsid w:val="006B7B6F"/>
    <w:rsid w:val="006C0534"/>
    <w:rsid w:val="006C2440"/>
    <w:rsid w:val="006E612D"/>
    <w:rsid w:val="006F60FF"/>
    <w:rsid w:val="006F7481"/>
    <w:rsid w:val="00717C8A"/>
    <w:rsid w:val="0072108F"/>
    <w:rsid w:val="007657C0"/>
    <w:rsid w:val="0077313D"/>
    <w:rsid w:val="00773431"/>
    <w:rsid w:val="007A2172"/>
    <w:rsid w:val="007B5857"/>
    <w:rsid w:val="007C42C2"/>
    <w:rsid w:val="007F560E"/>
    <w:rsid w:val="007F75B3"/>
    <w:rsid w:val="00811F6D"/>
    <w:rsid w:val="00824825"/>
    <w:rsid w:val="00846CD0"/>
    <w:rsid w:val="00861903"/>
    <w:rsid w:val="00866CB4"/>
    <w:rsid w:val="00895F4F"/>
    <w:rsid w:val="008A0397"/>
    <w:rsid w:val="008B6278"/>
    <w:rsid w:val="008C0E69"/>
    <w:rsid w:val="008D6424"/>
    <w:rsid w:val="008E506D"/>
    <w:rsid w:val="0090095D"/>
    <w:rsid w:val="009018CB"/>
    <w:rsid w:val="00916BC4"/>
    <w:rsid w:val="009448B2"/>
    <w:rsid w:val="009458A0"/>
    <w:rsid w:val="0095176F"/>
    <w:rsid w:val="009545FE"/>
    <w:rsid w:val="00963943"/>
    <w:rsid w:val="00985ABB"/>
    <w:rsid w:val="0099145B"/>
    <w:rsid w:val="0099235B"/>
    <w:rsid w:val="009A28F9"/>
    <w:rsid w:val="009D4046"/>
    <w:rsid w:val="00A14A16"/>
    <w:rsid w:val="00A24E2A"/>
    <w:rsid w:val="00A44AC7"/>
    <w:rsid w:val="00A450ED"/>
    <w:rsid w:val="00A500E4"/>
    <w:rsid w:val="00A56624"/>
    <w:rsid w:val="00A64E67"/>
    <w:rsid w:val="00A76FCD"/>
    <w:rsid w:val="00AA23EF"/>
    <w:rsid w:val="00AA30FD"/>
    <w:rsid w:val="00AA5A40"/>
    <w:rsid w:val="00AA5B09"/>
    <w:rsid w:val="00AB6A75"/>
    <w:rsid w:val="00AB7DFA"/>
    <w:rsid w:val="00AC449A"/>
    <w:rsid w:val="00AD3336"/>
    <w:rsid w:val="00AE13D6"/>
    <w:rsid w:val="00AE29CC"/>
    <w:rsid w:val="00AE5A5B"/>
    <w:rsid w:val="00AE6BC9"/>
    <w:rsid w:val="00AE7616"/>
    <w:rsid w:val="00AF1F5D"/>
    <w:rsid w:val="00B007EA"/>
    <w:rsid w:val="00B258C3"/>
    <w:rsid w:val="00B31584"/>
    <w:rsid w:val="00B55EE2"/>
    <w:rsid w:val="00B613C8"/>
    <w:rsid w:val="00B64D66"/>
    <w:rsid w:val="00B65949"/>
    <w:rsid w:val="00B92505"/>
    <w:rsid w:val="00B92B1C"/>
    <w:rsid w:val="00BB49C3"/>
    <w:rsid w:val="00BC3CA7"/>
    <w:rsid w:val="00BD7B3B"/>
    <w:rsid w:val="00BE1133"/>
    <w:rsid w:val="00BE4E02"/>
    <w:rsid w:val="00BE69F1"/>
    <w:rsid w:val="00BE6A6F"/>
    <w:rsid w:val="00BF3E8A"/>
    <w:rsid w:val="00C03B0B"/>
    <w:rsid w:val="00C043C9"/>
    <w:rsid w:val="00C10818"/>
    <w:rsid w:val="00C166A0"/>
    <w:rsid w:val="00C2609B"/>
    <w:rsid w:val="00C432CE"/>
    <w:rsid w:val="00C47A94"/>
    <w:rsid w:val="00C65EBA"/>
    <w:rsid w:val="00C77140"/>
    <w:rsid w:val="00C776B4"/>
    <w:rsid w:val="00CA5B31"/>
    <w:rsid w:val="00CA7041"/>
    <w:rsid w:val="00CC315D"/>
    <w:rsid w:val="00CC5CE5"/>
    <w:rsid w:val="00CD2C3A"/>
    <w:rsid w:val="00CD2F71"/>
    <w:rsid w:val="00D0403D"/>
    <w:rsid w:val="00D10835"/>
    <w:rsid w:val="00D117E3"/>
    <w:rsid w:val="00D11C93"/>
    <w:rsid w:val="00D12F28"/>
    <w:rsid w:val="00D159EF"/>
    <w:rsid w:val="00D23E22"/>
    <w:rsid w:val="00D55CE5"/>
    <w:rsid w:val="00D610E4"/>
    <w:rsid w:val="00D749FA"/>
    <w:rsid w:val="00D94808"/>
    <w:rsid w:val="00D954DC"/>
    <w:rsid w:val="00DD1BC4"/>
    <w:rsid w:val="00DD2423"/>
    <w:rsid w:val="00DE439E"/>
    <w:rsid w:val="00E10E71"/>
    <w:rsid w:val="00E159C7"/>
    <w:rsid w:val="00E47469"/>
    <w:rsid w:val="00E5166C"/>
    <w:rsid w:val="00EC5B2D"/>
    <w:rsid w:val="00EF7BCD"/>
    <w:rsid w:val="00F053A2"/>
    <w:rsid w:val="00F14D3F"/>
    <w:rsid w:val="00F15F06"/>
    <w:rsid w:val="00F27079"/>
    <w:rsid w:val="00F31D65"/>
    <w:rsid w:val="00F37439"/>
    <w:rsid w:val="00F4087A"/>
    <w:rsid w:val="00F51DB9"/>
    <w:rsid w:val="00F53F9E"/>
    <w:rsid w:val="00F61B09"/>
    <w:rsid w:val="00F65856"/>
    <w:rsid w:val="00F658D7"/>
    <w:rsid w:val="00F7356B"/>
    <w:rsid w:val="00F86916"/>
    <w:rsid w:val="00F9036E"/>
    <w:rsid w:val="00FA068A"/>
    <w:rsid w:val="00FA1D98"/>
    <w:rsid w:val="00FB3A12"/>
    <w:rsid w:val="00FB7BAB"/>
    <w:rsid w:val="00FC4741"/>
    <w:rsid w:val="00FD01EF"/>
    <w:rsid w:val="00FD1A1E"/>
    <w:rsid w:val="00FD3EE0"/>
    <w:rsid w:val="00FE2F33"/>
    <w:rsid w:val="00FE4825"/>
    <w:rsid w:val="00FE4B48"/>
    <w:rsid w:val="00FF25B1"/>
    <w:rsid w:val="00FF3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966BA8"/>
  <w15:docId w15:val="{DED68DC8-A716-482B-939E-C29B07A4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pPr>
      <w:keepNext/>
      <w:outlineLvl w:val="0"/>
    </w:pPr>
    <w:rPr>
      <w:rFonts w:cs="Arial"/>
      <w:b/>
      <w:bCs/>
      <w:kern w:val="32"/>
      <w:sz w:val="28"/>
      <w:szCs w:val="32"/>
    </w:rPr>
  </w:style>
  <w:style w:type="paragraph" w:styleId="Heading2">
    <w:name w:val="heading 2"/>
    <w:basedOn w:val="Normal"/>
    <w:next w:val="Normal"/>
    <w:link w:val="Heading2Char"/>
    <w:qFormat/>
    <w:pPr>
      <w:keepNext/>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ind w:left="720" w:hanging="720"/>
    </w:pPr>
    <w:rPr>
      <w:rFonts w:ascii="Arial" w:hAnsi="Arial"/>
      <w:szCs w:val="20"/>
    </w:rPr>
  </w:style>
  <w:style w:type="paragraph" w:styleId="Footer">
    <w:name w:val="footer"/>
    <w:basedOn w:val="Normal"/>
    <w:link w:val="FooterChar"/>
    <w:pPr>
      <w:tabs>
        <w:tab w:val="center" w:pos="4320"/>
        <w:tab w:val="right" w:pos="8640"/>
      </w:tabs>
    </w:pPr>
  </w:style>
  <w:style w:type="paragraph" w:styleId="BodyTextIndent3">
    <w:name w:val="Body Text Indent 3"/>
    <w:basedOn w:val="Normal"/>
    <w:link w:val="BodyTextIndent3Char"/>
    <w:uiPriority w:val="99"/>
    <w:pPr>
      <w:spacing w:line="280" w:lineRule="exact"/>
      <w:ind w:left="720" w:hanging="720"/>
    </w:pPr>
    <w:rPr>
      <w:szCs w:val="20"/>
    </w:rPr>
  </w:style>
  <w:style w:type="character" w:styleId="PageNumber">
    <w:name w:val="page number"/>
    <w:basedOn w:val="DefaultParagraphFont"/>
  </w:style>
  <w:style w:type="paragraph" w:styleId="BodyText">
    <w:name w:val="Body Text"/>
    <w:aliases w:val="Body Text bold underlined"/>
    <w:basedOn w:val="Normal"/>
    <w:rPr>
      <w:b/>
      <w:bCs/>
      <w:szCs w:val="20"/>
    </w:rPr>
  </w:style>
  <w:style w:type="paragraph" w:customStyle="1" w:styleId="paraheading">
    <w:name w:val="para heading"/>
    <w:basedOn w:val="Normal"/>
    <w:pPr>
      <w:numPr>
        <w:numId w:val="1"/>
      </w:numPr>
      <w:spacing w:after="120"/>
    </w:pPr>
    <w:rPr>
      <w:rFonts w:ascii="Arial" w:hAnsi="Arial" w:cs="Arial"/>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character" w:customStyle="1" w:styleId="HeaderChar">
    <w:name w:val="Header Char"/>
    <w:link w:val="Header"/>
    <w:rsid w:val="000479A9"/>
    <w:rPr>
      <w:rFonts w:ascii="Arial" w:hAnsi="Arial"/>
      <w:sz w:val="24"/>
      <w:lang w:eastAsia="en-US"/>
    </w:rPr>
  </w:style>
  <w:style w:type="character" w:customStyle="1" w:styleId="FooterChar">
    <w:name w:val="Footer Char"/>
    <w:link w:val="Footer"/>
    <w:rsid w:val="000479A9"/>
    <w:rPr>
      <w:rFonts w:ascii="Foundry Form Sans" w:hAnsi="Foundry Form Sans"/>
      <w:sz w:val="24"/>
      <w:szCs w:val="24"/>
      <w:lang w:eastAsia="en-US"/>
    </w:rPr>
  </w:style>
  <w:style w:type="character" w:customStyle="1" w:styleId="BodyTextIndent3Char">
    <w:name w:val="Body Text Indent 3 Char"/>
    <w:link w:val="BodyTextIndent3"/>
    <w:rsid w:val="000479A9"/>
    <w:rPr>
      <w:rFonts w:ascii="Foundry Form Sans" w:hAnsi="Foundry Form Sans"/>
      <w:sz w:val="24"/>
      <w:lang w:eastAsia="en-US"/>
    </w:rPr>
  </w:style>
  <w:style w:type="character" w:customStyle="1" w:styleId="Heading2Char">
    <w:name w:val="Heading 2 Char"/>
    <w:link w:val="Heading2"/>
    <w:rsid w:val="006B089B"/>
    <w:rPr>
      <w:rFonts w:ascii="Foundry Form Sans" w:hAnsi="Foundry Form Sans" w:cs="Arial"/>
      <w:b/>
      <w:bCs/>
      <w:iCs/>
      <w:sz w:val="24"/>
      <w:szCs w:val="28"/>
      <w:lang w:eastAsia="en-US"/>
    </w:rPr>
  </w:style>
  <w:style w:type="paragraph" w:styleId="ListParagraph">
    <w:name w:val="List Paragraph"/>
    <w:basedOn w:val="Normal"/>
    <w:uiPriority w:val="34"/>
    <w:qFormat/>
    <w:rsid w:val="009A28F9"/>
    <w:pPr>
      <w:ind w:left="720"/>
      <w:contextualSpacing/>
    </w:pPr>
  </w:style>
  <w:style w:type="character" w:styleId="FollowedHyperlink">
    <w:name w:val="FollowedHyperlink"/>
    <w:basedOn w:val="DefaultParagraphFont"/>
    <w:uiPriority w:val="99"/>
    <w:semiHidden/>
    <w:unhideWhenUsed/>
    <w:rsid w:val="00223AE6"/>
    <w:rPr>
      <w:color w:val="800080" w:themeColor="followedHyperlink"/>
      <w:u w:val="single"/>
    </w:rPr>
  </w:style>
  <w:style w:type="character" w:styleId="CommentReference">
    <w:name w:val="annotation reference"/>
    <w:basedOn w:val="DefaultParagraphFont"/>
    <w:uiPriority w:val="99"/>
    <w:semiHidden/>
    <w:unhideWhenUsed/>
    <w:rsid w:val="00AD3336"/>
    <w:rPr>
      <w:sz w:val="16"/>
      <w:szCs w:val="16"/>
    </w:rPr>
  </w:style>
  <w:style w:type="paragraph" w:styleId="CommentText">
    <w:name w:val="annotation text"/>
    <w:basedOn w:val="Normal"/>
    <w:link w:val="CommentTextChar"/>
    <w:uiPriority w:val="99"/>
    <w:unhideWhenUsed/>
    <w:rsid w:val="00AD3336"/>
    <w:rPr>
      <w:sz w:val="20"/>
      <w:szCs w:val="20"/>
    </w:rPr>
  </w:style>
  <w:style w:type="character" w:customStyle="1" w:styleId="CommentTextChar">
    <w:name w:val="Comment Text Char"/>
    <w:basedOn w:val="DefaultParagraphFont"/>
    <w:link w:val="CommentText"/>
    <w:uiPriority w:val="99"/>
    <w:rsid w:val="00AD3336"/>
    <w:rPr>
      <w:rFonts w:ascii="Foundry Form Sans" w:hAnsi="Foundry Form Sans"/>
      <w:lang w:eastAsia="en-US"/>
    </w:rPr>
  </w:style>
  <w:style w:type="paragraph" w:styleId="CommentSubject">
    <w:name w:val="annotation subject"/>
    <w:basedOn w:val="CommentText"/>
    <w:next w:val="CommentText"/>
    <w:link w:val="CommentSubjectChar"/>
    <w:uiPriority w:val="99"/>
    <w:semiHidden/>
    <w:unhideWhenUsed/>
    <w:rsid w:val="00AD3336"/>
    <w:rPr>
      <w:b/>
      <w:bCs/>
    </w:rPr>
  </w:style>
  <w:style w:type="character" w:customStyle="1" w:styleId="CommentSubjectChar">
    <w:name w:val="Comment Subject Char"/>
    <w:basedOn w:val="CommentTextChar"/>
    <w:link w:val="CommentSubject"/>
    <w:uiPriority w:val="99"/>
    <w:semiHidden/>
    <w:rsid w:val="00AD3336"/>
    <w:rPr>
      <w:rFonts w:ascii="Foundry Form Sans" w:hAnsi="Foundry Form Sans"/>
      <w:b/>
      <w:bCs/>
      <w:lang w:eastAsia="en-US"/>
    </w:rPr>
  </w:style>
  <w:style w:type="paragraph" w:styleId="Revision">
    <w:name w:val="Revision"/>
    <w:hidden/>
    <w:uiPriority w:val="99"/>
    <w:semiHidden/>
    <w:rsid w:val="003C739D"/>
    <w:rPr>
      <w:rFonts w:ascii="Foundry Form Sans" w:hAnsi="Foundry Form 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85794">
      <w:bodyDiv w:val="1"/>
      <w:marLeft w:val="0"/>
      <w:marRight w:val="0"/>
      <w:marTop w:val="0"/>
      <w:marBottom w:val="0"/>
      <w:divBdr>
        <w:top w:val="none" w:sz="0" w:space="0" w:color="auto"/>
        <w:left w:val="none" w:sz="0" w:space="0" w:color="auto"/>
        <w:bottom w:val="none" w:sz="0" w:space="0" w:color="auto"/>
        <w:right w:val="none" w:sz="0" w:space="0" w:color="auto"/>
      </w:divBdr>
    </w:div>
    <w:div w:id="365107929">
      <w:bodyDiv w:val="1"/>
      <w:marLeft w:val="0"/>
      <w:marRight w:val="0"/>
      <w:marTop w:val="0"/>
      <w:marBottom w:val="0"/>
      <w:divBdr>
        <w:top w:val="none" w:sz="0" w:space="0" w:color="auto"/>
        <w:left w:val="none" w:sz="0" w:space="0" w:color="auto"/>
        <w:bottom w:val="none" w:sz="0" w:space="0" w:color="auto"/>
        <w:right w:val="none" w:sz="0" w:space="0" w:color="auto"/>
      </w:divBdr>
    </w:div>
    <w:div w:id="376927802">
      <w:bodyDiv w:val="1"/>
      <w:marLeft w:val="0"/>
      <w:marRight w:val="0"/>
      <w:marTop w:val="0"/>
      <w:marBottom w:val="0"/>
      <w:divBdr>
        <w:top w:val="none" w:sz="0" w:space="0" w:color="auto"/>
        <w:left w:val="none" w:sz="0" w:space="0" w:color="auto"/>
        <w:bottom w:val="none" w:sz="0" w:space="0" w:color="auto"/>
        <w:right w:val="none" w:sz="0" w:space="0" w:color="auto"/>
      </w:divBdr>
    </w:div>
    <w:div w:id="378406126">
      <w:bodyDiv w:val="1"/>
      <w:marLeft w:val="0"/>
      <w:marRight w:val="0"/>
      <w:marTop w:val="0"/>
      <w:marBottom w:val="0"/>
      <w:divBdr>
        <w:top w:val="none" w:sz="0" w:space="0" w:color="auto"/>
        <w:left w:val="none" w:sz="0" w:space="0" w:color="auto"/>
        <w:bottom w:val="none" w:sz="0" w:space="0" w:color="auto"/>
        <w:right w:val="none" w:sz="0" w:space="0" w:color="auto"/>
      </w:divBdr>
    </w:div>
    <w:div w:id="662591892">
      <w:bodyDiv w:val="1"/>
      <w:marLeft w:val="0"/>
      <w:marRight w:val="0"/>
      <w:marTop w:val="0"/>
      <w:marBottom w:val="0"/>
      <w:divBdr>
        <w:top w:val="none" w:sz="0" w:space="0" w:color="auto"/>
        <w:left w:val="none" w:sz="0" w:space="0" w:color="auto"/>
        <w:bottom w:val="none" w:sz="0" w:space="0" w:color="auto"/>
        <w:right w:val="none" w:sz="0" w:space="0" w:color="auto"/>
      </w:divBdr>
    </w:div>
    <w:div w:id="972977101">
      <w:bodyDiv w:val="1"/>
      <w:marLeft w:val="0"/>
      <w:marRight w:val="0"/>
      <w:marTop w:val="0"/>
      <w:marBottom w:val="0"/>
      <w:divBdr>
        <w:top w:val="none" w:sz="0" w:space="0" w:color="auto"/>
        <w:left w:val="none" w:sz="0" w:space="0" w:color="auto"/>
        <w:bottom w:val="none" w:sz="0" w:space="0" w:color="auto"/>
        <w:right w:val="none" w:sz="0" w:space="0" w:color="auto"/>
      </w:divBdr>
    </w:div>
    <w:div w:id="1313098979">
      <w:bodyDiv w:val="1"/>
      <w:marLeft w:val="0"/>
      <w:marRight w:val="0"/>
      <w:marTop w:val="0"/>
      <w:marBottom w:val="0"/>
      <w:divBdr>
        <w:top w:val="none" w:sz="0" w:space="0" w:color="auto"/>
        <w:left w:val="none" w:sz="0" w:space="0" w:color="auto"/>
        <w:bottom w:val="none" w:sz="0" w:space="0" w:color="auto"/>
        <w:right w:val="none" w:sz="0" w:space="0" w:color="auto"/>
      </w:divBdr>
    </w:div>
    <w:div w:id="1466581092">
      <w:bodyDiv w:val="1"/>
      <w:marLeft w:val="0"/>
      <w:marRight w:val="0"/>
      <w:marTop w:val="0"/>
      <w:marBottom w:val="0"/>
      <w:divBdr>
        <w:top w:val="none" w:sz="0" w:space="0" w:color="auto"/>
        <w:left w:val="none" w:sz="0" w:space="0" w:color="auto"/>
        <w:bottom w:val="none" w:sz="0" w:space="0" w:color="auto"/>
        <w:right w:val="none" w:sz="0" w:space="0" w:color="auto"/>
      </w:divBdr>
    </w:div>
    <w:div w:id="1649699974">
      <w:bodyDiv w:val="1"/>
      <w:marLeft w:val="0"/>
      <w:marRight w:val="0"/>
      <w:marTop w:val="0"/>
      <w:marBottom w:val="0"/>
      <w:divBdr>
        <w:top w:val="none" w:sz="0" w:space="0" w:color="auto"/>
        <w:left w:val="none" w:sz="0" w:space="0" w:color="auto"/>
        <w:bottom w:val="none" w:sz="0" w:space="0" w:color="auto"/>
        <w:right w:val="none" w:sz="0" w:space="0" w:color="auto"/>
      </w:divBdr>
    </w:div>
    <w:div w:id="1790081402">
      <w:bodyDiv w:val="1"/>
      <w:marLeft w:val="0"/>
      <w:marRight w:val="0"/>
      <w:marTop w:val="0"/>
      <w:marBottom w:val="0"/>
      <w:divBdr>
        <w:top w:val="none" w:sz="0" w:space="0" w:color="auto"/>
        <w:left w:val="none" w:sz="0" w:space="0" w:color="auto"/>
        <w:bottom w:val="none" w:sz="0" w:space="0" w:color="auto"/>
        <w:right w:val="none" w:sz="0" w:space="0" w:color="auto"/>
      </w:divBdr>
    </w:div>
    <w:div w:id="1987976590">
      <w:bodyDiv w:val="1"/>
      <w:marLeft w:val="0"/>
      <w:marRight w:val="0"/>
      <w:marTop w:val="0"/>
      <w:marBottom w:val="0"/>
      <w:divBdr>
        <w:top w:val="none" w:sz="0" w:space="0" w:color="auto"/>
        <w:left w:val="none" w:sz="0" w:space="0" w:color="auto"/>
        <w:bottom w:val="none" w:sz="0" w:space="0" w:color="auto"/>
        <w:right w:val="none" w:sz="0" w:space="0" w:color="auto"/>
      </w:divBdr>
    </w:div>
    <w:div w:id="1988776144">
      <w:bodyDiv w:val="1"/>
      <w:marLeft w:val="0"/>
      <w:marRight w:val="0"/>
      <w:marTop w:val="0"/>
      <w:marBottom w:val="0"/>
      <w:divBdr>
        <w:top w:val="none" w:sz="0" w:space="0" w:color="auto"/>
        <w:left w:val="none" w:sz="0" w:space="0" w:color="auto"/>
        <w:bottom w:val="none" w:sz="0" w:space="0" w:color="auto"/>
        <w:right w:val="none" w:sz="0" w:space="0" w:color="auto"/>
      </w:divBdr>
    </w:div>
    <w:div w:id="211420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8441A-4F59-413F-8A28-29462DAD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2800</Words>
  <Characters>14214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Greater London Authority</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Greater London Authority</dc:creator>
  <cp:lastModifiedBy>Richard Kember</cp:lastModifiedBy>
  <cp:revision>6</cp:revision>
  <cp:lastPrinted>2016-09-21T09:43:00Z</cp:lastPrinted>
  <dcterms:created xsi:type="dcterms:W3CDTF">2022-03-28T11:12:00Z</dcterms:created>
  <dcterms:modified xsi:type="dcterms:W3CDTF">2022-04-08T09:33:00Z</dcterms:modified>
</cp:coreProperties>
</file>